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垫江县鹤游镇退役军人服务站</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pPr>
        <w:keepNext w:val="0"/>
        <w:keepLines w:val="0"/>
        <w:pageBreakBefore w:val="0"/>
        <w:widowControl w:val="0"/>
        <w:kinsoku/>
        <w:overflowPunct/>
        <w:topLinePunct w:val="0"/>
        <w:autoSpaceDN/>
        <w:bidi w:val="0"/>
        <w:adjustRightInd w:val="0"/>
        <w:snapToGrid w:val="0"/>
        <w:spacing w:beforeAutospacing="0" w:afterAutospacing="0" w:line="594" w:lineRule="exact"/>
        <w:ind w:lef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keepNext w:val="0"/>
        <w:keepLines w:val="0"/>
        <w:pageBreakBefore w:val="0"/>
        <w:shd w:val="clear" w:color="auto" w:fill="FFFFFF"/>
        <w:kinsoku/>
        <w:overflowPunct/>
        <w:topLinePunct w:val="0"/>
        <w:autoSpaceDN/>
        <w:bidi w:val="0"/>
        <w:spacing w:before="100" w:beforeAutospacing="0" w:after="0" w:afterAutospacing="0" w:line="594" w:lineRule="exact"/>
        <w:ind w:left="0" w:firstLine="643" w:firstLineChars="200"/>
        <w:rPr>
          <w:rFonts w:hint="default" w:ascii="Times New Roman" w:hAnsi="Times New Roman" w:eastAsia="楷体" w:cs="Times New Roman"/>
          <w:sz w:val="32"/>
          <w:szCs w:val="32"/>
          <w:lang w:val="en-US" w:eastAsia="zh-CN" w:bidi="ar-SA"/>
        </w:rPr>
      </w:pPr>
      <w:r>
        <w:rPr>
          <w:rStyle w:val="10"/>
          <w:rFonts w:hint="default" w:ascii="Times New Roman" w:hAnsi="Times New Roman" w:eastAsia="楷体" w:cs="Times New Roman"/>
          <w:sz w:val="32"/>
          <w:szCs w:val="32"/>
          <w:shd w:val="clear" w:color="auto" w:fill="FFFFFF"/>
          <w:lang w:val="en-US" w:eastAsia="zh-CN" w:bidi="ar-SA"/>
        </w:rPr>
        <w:t>（二）机构设置</w:t>
      </w:r>
    </w:p>
    <w:p>
      <w:pPr>
        <w:keepNext w:val="0"/>
        <w:keepLines w:val="0"/>
        <w:pageBreakBefore w:val="0"/>
        <w:shd w:val="clear" w:color="auto" w:fill="FFFFFF"/>
        <w:kinsoku/>
        <w:overflowPunct/>
        <w:topLinePunct w:val="0"/>
        <w:autoSpaceDN/>
        <w:bidi w:val="0"/>
        <w:spacing w:before="100" w:beforeAutospacing="0" w:after="0" w:afterAutospacing="0" w:line="594" w:lineRule="exact"/>
        <w:ind w:left="0" w:firstLine="640" w:firstLineChars="200"/>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1.事业单位1个。退役军人服务站。</w:t>
      </w:r>
    </w:p>
    <w:p>
      <w:pPr>
        <w:keepNext w:val="0"/>
        <w:keepLines w:val="0"/>
        <w:pageBreakBefore w:val="0"/>
        <w:shd w:val="clear" w:color="auto" w:fill="FFFFFF"/>
        <w:kinsoku/>
        <w:overflowPunct/>
        <w:topLinePunct w:val="0"/>
        <w:autoSpaceDN/>
        <w:bidi w:val="0"/>
        <w:spacing w:before="100" w:beforeAutospacing="0" w:after="0" w:afterAutospacing="0" w:line="594" w:lineRule="exact"/>
        <w:ind w:left="0" w:firstLine="640" w:firstLineChars="200"/>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2.人员情况：202</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年末垫江县鹤游镇退役军人服务站。编制</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人，实有在职职工</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度收入总计40.67万元，支出总计</w:t>
      </w:r>
      <w:r>
        <w:rPr>
          <w:rFonts w:hint="default" w:ascii="Times New Roman" w:hAnsi="Times New Roman" w:eastAsia="方正仿宋_GBK" w:cs="Times New Roman"/>
          <w:sz w:val="32"/>
          <w:szCs w:val="32"/>
        </w:rPr>
        <w:t>40.67</w:t>
      </w:r>
      <w:r>
        <w:rPr>
          <w:rFonts w:hint="default" w:ascii="Times New Roman" w:hAnsi="Times New Roman" w:eastAsia="方正仿宋_GBK" w:cs="Times New Roman"/>
          <w:sz w:val="32"/>
          <w:szCs w:val="32"/>
          <w:shd w:val="clear" w:color="auto" w:fill="FFFFFF"/>
        </w:rPr>
        <w:t>万元。收支与2023年度相比，增加3.48万元，增长9.36%，主要原因是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度收入合计40.67万元，与2023年度相比，增加3.48万元，增长9.36%，主要原因是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40.67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40.67</w:t>
      </w:r>
      <w:r>
        <w:rPr>
          <w:rFonts w:hint="default" w:ascii="Times New Roman" w:hAnsi="Times New Roman" w:eastAsia="方正仿宋_GBK" w:cs="Times New Roman"/>
          <w:color w:val="auto"/>
          <w:sz w:val="32"/>
          <w:szCs w:val="32"/>
          <w:shd w:val="clear" w:color="auto" w:fill="FFFFFF"/>
        </w:rPr>
        <w:t>万元，与2023年度相比，增加3.48万元，增长9.36%，主要原因是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40.67</w:t>
      </w:r>
      <w:r>
        <w:rPr>
          <w:rFonts w:hint="default" w:ascii="Times New Roman" w:hAnsi="Times New Roman" w:eastAsia="方正仿宋_GBK" w:cs="Times New Roman"/>
          <w:color w:val="auto"/>
          <w:sz w:val="32"/>
          <w:szCs w:val="32"/>
          <w:shd w:val="clear" w:color="auto" w:fill="FFFFFF"/>
        </w:rPr>
        <w:t>万元，占100.00%；项目支出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上年和本年均无结转结余</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w:t>
      </w:r>
      <w:r>
        <w:rPr>
          <w:rFonts w:hint="eastAsia"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总计40.67万元。与202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w:t>
      </w:r>
      <w:r>
        <w:rPr>
          <w:rFonts w:hint="default" w:ascii="Times New Roman" w:hAnsi="Times New Roman" w:eastAsia="方正仿宋_GBK" w:cs="Times New Roman"/>
          <w:color w:val="auto"/>
          <w:sz w:val="32"/>
          <w:szCs w:val="32"/>
          <w:shd w:val="clear" w:color="auto" w:fill="FFFFFF"/>
        </w:rPr>
        <w:t>财政拨款</w:t>
      </w:r>
      <w:r>
        <w:rPr>
          <w:rFonts w:hint="eastAsia" w:ascii="Times New Roman" w:hAnsi="Times New Roman" w:eastAsia="方正仿宋_GBK" w:cs="Times New Roman"/>
          <w:color w:val="auto"/>
          <w:sz w:val="32"/>
          <w:szCs w:val="32"/>
          <w:shd w:val="clear" w:color="auto" w:fill="FFFFFF"/>
          <w:lang w:eastAsia="zh-CN"/>
        </w:rPr>
        <w:t>收支</w:t>
      </w:r>
      <w:r>
        <w:rPr>
          <w:rFonts w:hint="default" w:ascii="Times New Roman" w:hAnsi="Times New Roman" w:eastAsia="方正仿宋_GBK" w:cs="Times New Roman"/>
          <w:color w:val="auto"/>
          <w:sz w:val="32"/>
          <w:szCs w:val="32"/>
          <w:shd w:val="clear" w:color="auto" w:fill="FFFFFF"/>
        </w:rPr>
        <w:t>总计各增加3.48万元，增长9.36%。主要原因是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eastAsia" w:ascii="Times New Roman" w:hAnsi="Times New Roman" w:eastAsia="方正仿宋_GBK" w:cs="Times New Roman"/>
          <w:color w:val="auto"/>
          <w:sz w:val="32"/>
          <w:szCs w:val="32"/>
          <w:shd w:val="clear" w:color="auto" w:fill="FFFFFF"/>
          <w:lang w:val="en-US" w:eastAsia="zh-CN"/>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40.67</w:t>
      </w:r>
      <w:r>
        <w:rPr>
          <w:rFonts w:hint="default" w:ascii="Times New Roman" w:hAnsi="Times New Roman" w:eastAsia="方正仿宋_GBK" w:cs="Times New Roman"/>
          <w:sz w:val="32"/>
          <w:szCs w:val="32"/>
          <w:shd w:val="clear" w:color="auto" w:fill="FFFFFF"/>
        </w:rPr>
        <w:t>万</w:t>
      </w:r>
      <w:r>
        <w:rPr>
          <w:rFonts w:hint="default" w:ascii="Times New Roman" w:hAnsi="Times New Roman" w:eastAsia="方正仿宋_GBK" w:cs="Times New Roman"/>
          <w:color w:val="auto"/>
          <w:sz w:val="32"/>
          <w:szCs w:val="32"/>
          <w:shd w:val="clear" w:color="auto" w:fill="FFFFFF"/>
        </w:rPr>
        <w:t>元，与2023年度相比，增加3.48万元，增长9.36%。主要原因是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default" w:ascii="Times New Roman" w:hAnsi="Times New Roman" w:eastAsia="方正仿宋_GBK" w:cs="Times New Roman"/>
          <w:color w:val="auto"/>
          <w:sz w:val="32"/>
          <w:szCs w:val="32"/>
          <w:shd w:val="clear" w:color="auto" w:fill="FFFFFF"/>
        </w:rPr>
        <w:t>。较年初预算数增加3.10万元，增长8.25%。主要原因是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40.67</w:t>
      </w:r>
      <w:r>
        <w:rPr>
          <w:rFonts w:hint="default" w:ascii="Times New Roman" w:hAnsi="Times New Roman" w:eastAsia="方正仿宋_GBK" w:cs="Times New Roman"/>
          <w:color w:val="auto"/>
          <w:sz w:val="32"/>
          <w:szCs w:val="32"/>
          <w:shd w:val="clear" w:color="auto" w:fill="FFFFFF"/>
        </w:rPr>
        <w:t>万元，与2023年度相比，增加3.48万元，增长9.36%。主要原因是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default" w:ascii="Times New Roman" w:hAnsi="Times New Roman" w:eastAsia="方正仿宋_GBK" w:cs="Times New Roman"/>
          <w:color w:val="auto"/>
          <w:sz w:val="32"/>
          <w:szCs w:val="32"/>
          <w:shd w:val="clear" w:color="auto" w:fill="FFFFFF"/>
        </w:rPr>
        <w:t>。较年初预算数增加3.10万元，增长8.25%。主要原因是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w:t>
      </w:r>
      <w:r>
        <w:rPr>
          <w:rFonts w:hint="default" w:ascii="Times New Roman" w:hAnsi="Times New Roman" w:eastAsia="方正仿宋_GBK" w:cs="Times New Roman"/>
          <w:color w:val="auto"/>
          <w:sz w:val="32"/>
          <w:szCs w:val="32"/>
          <w:shd w:val="clear" w:color="auto" w:fill="FFFFFF"/>
        </w:rPr>
        <w:t>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上年和本年均无结转结余。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36.56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89.90</w:t>
      </w:r>
      <w:r>
        <w:rPr>
          <w:rFonts w:hint="default" w:ascii="Times New Roman" w:hAnsi="Times New Roman" w:eastAsia="方正仿宋_GBK" w:cs="Times New Roman"/>
          <w:sz w:val="32"/>
          <w:szCs w:val="32"/>
          <w:shd w:val="clear" w:color="auto" w:fill="FFFFFF"/>
        </w:rPr>
        <w:t>%，较年初预</w:t>
      </w:r>
      <w:r>
        <w:rPr>
          <w:rFonts w:hint="default" w:ascii="Times New Roman" w:hAnsi="Times New Roman" w:eastAsia="方正仿宋_GBK" w:cs="Times New Roman"/>
          <w:color w:val="auto"/>
          <w:sz w:val="32"/>
          <w:szCs w:val="32"/>
          <w:shd w:val="clear" w:color="auto" w:fill="FFFFFF"/>
        </w:rPr>
        <w:t>算数增加2.06万元，增长5.97%，主要原因是</w:t>
      </w:r>
      <w:r>
        <w:rPr>
          <w:rFonts w:hint="default" w:ascii="Times New Roman" w:hAnsi="Times New Roman" w:eastAsia="方正仿宋_GBK" w:cs="Times New Roman"/>
          <w:color w:val="auto"/>
          <w:sz w:val="32"/>
          <w:szCs w:val="32"/>
          <w:shd w:val="clear" w:color="auto" w:fill="FFFFFF"/>
          <w:lang w:eastAsia="zh-CN"/>
        </w:rPr>
        <w:t>补缴事业人员养老保险、职业年金等费用。</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3.44</w:t>
      </w:r>
      <w:r>
        <w:rPr>
          <w:rFonts w:hint="default" w:ascii="Times New Roman" w:hAnsi="Times New Roman" w:eastAsia="方正仿宋_GBK" w:cs="Times New Roman"/>
          <w:sz w:val="32"/>
          <w:szCs w:val="32"/>
          <w:shd w:val="clear" w:color="auto" w:fill="FFFFFF"/>
        </w:rPr>
        <w:t>%，较年初预算数无增减，主要原</w:t>
      </w:r>
      <w:r>
        <w:rPr>
          <w:rFonts w:hint="default" w:ascii="Times New Roman" w:hAnsi="Times New Roman" w:eastAsia="方正仿宋_GBK" w:cs="Times New Roman"/>
          <w:color w:val="auto"/>
          <w:sz w:val="32"/>
          <w:szCs w:val="32"/>
          <w:shd w:val="clear" w:color="auto" w:fill="FFFFFF"/>
        </w:rPr>
        <w:t>因是</w:t>
      </w:r>
      <w:r>
        <w:rPr>
          <w:rFonts w:hint="default" w:ascii="Times New Roman" w:hAnsi="Times New Roman" w:eastAsia="方正仿宋_GBK" w:cs="Times New Roman"/>
          <w:color w:val="auto"/>
          <w:sz w:val="32"/>
          <w:szCs w:val="32"/>
          <w:shd w:val="clear" w:color="auto" w:fill="FFFFFF"/>
          <w:lang w:eastAsia="zh-CN"/>
        </w:rPr>
        <w:t>事业人员医疗保险费用支出减少。</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住房保障支出2.71</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6.67</w:t>
      </w:r>
      <w:r>
        <w:rPr>
          <w:rFonts w:hint="default" w:ascii="Times New Roman" w:hAnsi="Times New Roman" w:eastAsia="方正仿宋_GBK" w:cs="Times New Roman"/>
          <w:color w:val="auto"/>
          <w:sz w:val="32"/>
          <w:szCs w:val="32"/>
          <w:shd w:val="clear" w:color="auto" w:fill="FFFFFF"/>
        </w:rPr>
        <w:t>%，较年初预算数增加1.04万元，增长62.28%，主要原因是</w:t>
      </w:r>
      <w:r>
        <w:rPr>
          <w:rFonts w:hint="eastAsia" w:ascii="Times New Roman" w:hAnsi="Times New Roman" w:eastAsia="方正仿宋_GBK" w:cs="Times New Roman"/>
          <w:color w:val="auto"/>
          <w:sz w:val="32"/>
          <w:szCs w:val="32"/>
          <w:shd w:val="clear" w:color="auto" w:fill="FFFFFF"/>
          <w:lang w:eastAsia="zh-CN"/>
        </w:rPr>
        <w:t>对公积金基数进行了调整，住房保障支出增加。</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（四）一般公共预算财政拨款基本支出决算情况说明</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度一般公共财政拨款基本支出</w:t>
      </w:r>
      <w:r>
        <w:rPr>
          <w:rFonts w:hint="default" w:ascii="Times New Roman" w:hAnsi="Times New Roman" w:eastAsia="方正仿宋_GBK" w:cs="Times New Roman"/>
          <w:color w:val="auto"/>
          <w:sz w:val="32"/>
          <w:szCs w:val="32"/>
        </w:rPr>
        <w:t>40.67</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sz w:val="32"/>
          <w:szCs w:val="32"/>
          <w:shd w:val="clear" w:color="auto" w:fill="FFFFFF"/>
        </w:rPr>
        <w:t>其中：人员经费</w:t>
      </w:r>
      <w:r>
        <w:rPr>
          <w:rFonts w:hint="default" w:ascii="Times New Roman" w:hAnsi="Times New Roman" w:eastAsia="方正仿宋_GBK" w:cs="Times New Roman"/>
          <w:sz w:val="32"/>
          <w:szCs w:val="32"/>
        </w:rPr>
        <w:t>37.86</w:t>
      </w:r>
      <w:r>
        <w:rPr>
          <w:rFonts w:hint="default" w:ascii="Times New Roman" w:hAnsi="Times New Roman" w:eastAsia="方正仿宋_GBK" w:cs="Times New Roman"/>
          <w:sz w:val="32"/>
          <w:szCs w:val="32"/>
          <w:shd w:val="clear" w:color="auto" w:fill="FFFFFF"/>
        </w:rPr>
        <w:t>万元，与2023年度相比，增加4.27万元，增长12.71%，主要原因是</w:t>
      </w:r>
      <w:r>
        <w:rPr>
          <w:rFonts w:hint="default" w:ascii="Times New Roman" w:hAnsi="Times New Roman" w:eastAsia="方正仿宋_GBK" w:cs="Times New Roman"/>
          <w:color w:val="auto"/>
          <w:sz w:val="32"/>
          <w:szCs w:val="32"/>
          <w:shd w:val="clear" w:color="auto" w:fill="FFFFFF"/>
          <w:lang w:eastAsia="zh-CN"/>
        </w:rPr>
        <w:t>补缴事业人员养老保险和职业年金等</w:t>
      </w:r>
      <w:r>
        <w:rPr>
          <w:rFonts w:hint="default" w:ascii="Times New Roman" w:hAnsi="Times New Roman" w:eastAsia="方正仿宋_GBK" w:cs="Times New Roman"/>
          <w:color w:val="auto"/>
          <w:sz w:val="32"/>
          <w:szCs w:val="32"/>
          <w:shd w:val="clear" w:color="auto" w:fill="FFFFFF"/>
        </w:rPr>
        <w:t>。人员经费用途主要包括基本工资、津贴补贴、奖金、绩效工资、伙食补助费、养老保险、职业年金、医疗保障缴费、其他工资福利支出等</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2.80</w:t>
      </w:r>
      <w:r>
        <w:rPr>
          <w:rFonts w:hint="default" w:ascii="Times New Roman" w:hAnsi="Times New Roman" w:eastAsia="方正仿宋_GBK" w:cs="Times New Roman"/>
          <w:color w:val="auto"/>
          <w:sz w:val="32"/>
          <w:szCs w:val="32"/>
          <w:shd w:val="clear" w:color="auto" w:fill="FFFFFF"/>
        </w:rPr>
        <w:t>万元，与2023年度相比，减少0.80万元，下降22.22%，主要原因是</w:t>
      </w:r>
      <w:r>
        <w:rPr>
          <w:rFonts w:hint="default" w:ascii="Times New Roman" w:hAnsi="Times New Roman" w:eastAsia="方正仿宋_GBK" w:cs="Times New Roman"/>
          <w:color w:val="auto"/>
          <w:sz w:val="32"/>
          <w:szCs w:val="32"/>
          <w:shd w:val="clear" w:color="auto" w:fill="FFFFFF"/>
          <w:lang w:eastAsia="zh-CN"/>
        </w:rPr>
        <w:t>厉行节约，压缩公用经费开支</w:t>
      </w:r>
      <w:r>
        <w:rPr>
          <w:rFonts w:hint="default" w:ascii="Times New Roman" w:hAnsi="Times New Roman" w:eastAsia="方正仿宋_GBK" w:cs="Times New Roman"/>
          <w:color w:val="auto"/>
          <w:sz w:val="32"/>
          <w:szCs w:val="32"/>
          <w:shd w:val="clear" w:color="auto" w:fill="FFFFFF"/>
        </w:rPr>
        <w:t>。公用经费用途主要包括办公费、印刷费、水费、电费、差旅费、维修费、劳务费、委托业务费、工会经费、其他商品服务支出等组成。</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SA"/>
        </w:rPr>
      </w:pPr>
      <w:r>
        <w:rPr>
          <w:rFonts w:hint="default" w:ascii="Times New Roman" w:hAnsi="Times New Roman" w:eastAsia="楷体" w:cs="Times New Roman"/>
          <w:b/>
          <w:bCs/>
          <w:color w:val="auto"/>
          <w:sz w:val="32"/>
          <w:szCs w:val="32"/>
          <w:shd w:val="clear" w:color="auto" w:fill="FFFFFF"/>
          <w:lang w:val="en-US" w:eastAsia="zh-CN" w:bidi="ar-SA"/>
        </w:rPr>
        <w:t>（五）政府性基金预算收支决算情况说明</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SA"/>
        </w:rPr>
      </w:pPr>
      <w:r>
        <w:rPr>
          <w:rFonts w:hint="default" w:ascii="Times New Roman" w:hAnsi="Times New Roman" w:eastAsia="楷体" w:cs="Times New Roman"/>
          <w:b/>
          <w:bCs/>
          <w:color w:val="auto"/>
          <w:sz w:val="32"/>
          <w:szCs w:val="32"/>
          <w:shd w:val="clear" w:color="auto" w:fill="FFFFFF"/>
          <w:lang w:val="en-US" w:eastAsia="zh-CN" w:bidi="ar-SA"/>
        </w:rPr>
        <w:t>（六）国有资本经营预算财政拨款支出决算情况说明</w:t>
      </w:r>
    </w:p>
    <w:p>
      <w:pPr>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2024年度“三公”经费支出共计0.00万元，较年初预算数无增减，主要原因是我单位</w:t>
      </w:r>
      <w:r>
        <w:rPr>
          <w:rFonts w:hint="default" w:ascii="Times New Roman" w:hAnsi="Times New Roman" w:eastAsia="方正仿宋_GBK" w:cs="Times New Roman"/>
          <w:sz w:val="32"/>
          <w:szCs w:val="32"/>
          <w:shd w:val="clear" w:color="auto" w:fill="FFFFFF"/>
          <w:lang w:val="en-US" w:eastAsia="zh-CN"/>
        </w:rPr>
        <w:t>2024年未发生“三公”经费支出</w:t>
      </w:r>
      <w:r>
        <w:rPr>
          <w:rFonts w:hint="default" w:ascii="Times New Roman" w:hAnsi="Times New Roman" w:eastAsia="方正仿宋_GBK" w:cs="Times New Roman"/>
          <w:sz w:val="32"/>
          <w:szCs w:val="32"/>
          <w:shd w:val="clear" w:color="auto" w:fill="FFFFFF"/>
          <w:lang w:eastAsia="zh-CN"/>
        </w:rPr>
        <w:t>。较上年支出数无增减，主要原因是我单位本年及上年均未发生“三公”经费支出。</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公务车购置费0.00万元。费用支出较年初预算数无增减，主要原因是年初预算数未安排且本年未发生公务车购置费用。较上年支出数无增减，主要原因是上年和本年均未发生公务车购置费用。</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公务车运行维护费0.00万元。费用支出较年初预算数无增减，主要原因是年初预算数未安排且本年未发生公务车运行维护费用。较上年支出数无增减，主要原因是上年和本年均未发生公务车运行维护费用。</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公务接待费0.00万元。费用支出较年初预算数无增减，主要原因是年初预算数未安排且本年未发生公务接待费用。较上年支出数无增减，主要原因是上年和本年均未发生公务接待费用。</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上年和本年均未发生会议费支出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0.20</w:t>
      </w:r>
      <w:r>
        <w:rPr>
          <w:rFonts w:hint="default" w:ascii="Times New Roman" w:hAnsi="Times New Roman" w:eastAsia="方正仿宋_GBK" w:cs="Times New Roman"/>
          <w:sz w:val="32"/>
          <w:szCs w:val="32"/>
          <w:shd w:val="clear" w:color="auto" w:fill="FFFFFF"/>
        </w:rPr>
        <w:t>万元，与2023年度相比，增加0.20万元，增长100.00%，主要原因是</w:t>
      </w:r>
      <w:r>
        <w:rPr>
          <w:rFonts w:hint="default" w:ascii="Times New Roman" w:hAnsi="Times New Roman" w:eastAsia="方正仿宋_GBK" w:cs="Times New Roman"/>
          <w:sz w:val="32"/>
          <w:szCs w:val="32"/>
          <w:shd w:val="clear" w:color="auto" w:fill="FFFFFF"/>
          <w:lang w:eastAsia="zh-CN"/>
        </w:rPr>
        <w:t>增加专技人员公需科目培训、事业人员在岗培训费用。</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（二）机关运行经费情况说明</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2024年度本单位机关运行经费支出0.00万元，机关运行经费较上年支出数无增减，主要原因是按照部门决算列报口径，我单位不在机关运行经费统计范围之内。</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（三）国有资产占用情况说明</w:t>
      </w:r>
    </w:p>
    <w:p>
      <w:pPr>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截至2024年12月31日，本单位共有车辆</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辆，其中，副部（省）级及以上领导用车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辆、主要负责人用车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辆、机要通信用车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辆、应急保障用车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辆、执法执勤用车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辆，特种专业技术用车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辆，离退休干</w:t>
      </w:r>
      <w:bookmarkStart w:id="0" w:name="_GoBack"/>
      <w:bookmarkEnd w:id="0"/>
      <w:r>
        <w:rPr>
          <w:rFonts w:hint="default" w:ascii="Times New Roman" w:hAnsi="Times New Roman" w:eastAsia="方正仿宋_GBK" w:cs="Times New Roman"/>
          <w:sz w:val="32"/>
          <w:szCs w:val="32"/>
          <w:shd w:val="clear" w:color="auto" w:fill="FFFFFF"/>
          <w:lang w:val="en-US" w:eastAsia="zh-CN" w:bidi="ar-SA"/>
        </w:rPr>
        <w:t>部用车</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辆。单价100万元（含）以上专用设备</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台（套）。</w:t>
      </w:r>
    </w:p>
    <w:p>
      <w:pPr>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（四）政府采购支出情况说明</w:t>
      </w:r>
    </w:p>
    <w:p>
      <w:pPr>
        <w:keepNext w:val="0"/>
        <w:keepLines w:val="0"/>
        <w:pageBreakBefore w:val="0"/>
        <w:widowControl/>
        <w:shd w:val="clear" w:color="auto" w:fill="FFFFFF"/>
        <w:kinsoku/>
        <w:wordWrap/>
        <w:overflowPunct/>
        <w:topLinePunct w:val="0"/>
        <w:autoSpaceDE/>
        <w:autoSpaceDN/>
        <w:bidi w:val="0"/>
        <w:adjustRightInd/>
        <w:snapToGrid/>
        <w:spacing w:before="100"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2024年度本单位政府采购支出总额</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lang w:val="en-US" w:eastAsia="zh-CN" w:bidi="ar-SA"/>
        </w:rPr>
        <w:t>万元，其中：政府采购货物支出</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lang w:val="en-US" w:eastAsia="zh-CN" w:bidi="ar-SA"/>
        </w:rPr>
        <w:t>万元、政府采购工程支出</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lang w:val="en-US" w:eastAsia="zh-CN" w:bidi="ar-SA"/>
        </w:rPr>
        <w:t>万元、政府采购服务支出</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lang w:val="en-US" w:eastAsia="zh-CN" w:bidi="ar-SA"/>
        </w:rPr>
        <w:t>万元。授予中小企业合同金额</w:t>
      </w:r>
      <w:r>
        <w:rPr>
          <w:rFonts w:hint="default" w:ascii="Times New Roman" w:hAnsi="Times New Roman" w:eastAsia="方正仿宋_GBK" w:cs="Times New Roman"/>
          <w:sz w:val="32"/>
          <w:szCs w:val="32"/>
          <w:lang w:val="en-US" w:eastAsia="zh-CN" w:bidi="ar-SA"/>
        </w:rPr>
        <w:t>0.00万</w:t>
      </w:r>
      <w:r>
        <w:rPr>
          <w:rFonts w:hint="default" w:ascii="Times New Roman" w:hAnsi="Times New Roman" w:eastAsia="方正仿宋_GBK" w:cs="Times New Roman"/>
          <w:sz w:val="32"/>
          <w:szCs w:val="32"/>
          <w:shd w:val="clear" w:color="auto" w:fill="FFFFFF"/>
          <w:lang w:val="en-US" w:eastAsia="zh-CN" w:bidi="ar-SA"/>
        </w:rPr>
        <w:t>元，占政府采购支出总额的</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%，其中：授予小微企业合同金额</w:t>
      </w:r>
      <w:r>
        <w:rPr>
          <w:rFonts w:hint="default" w:ascii="Times New Roman" w:hAnsi="Times New Roman" w:eastAsia="方正仿宋_GBK" w:cs="Times New Roman"/>
          <w:sz w:val="32"/>
          <w:szCs w:val="32"/>
          <w:lang w:val="en-US" w:eastAsia="zh-CN" w:bidi="ar-SA"/>
        </w:rPr>
        <w:t>0.00</w:t>
      </w:r>
      <w:r>
        <w:rPr>
          <w:rFonts w:hint="default" w:ascii="Times New Roman" w:hAnsi="Times New Roman" w:eastAsia="方正仿宋_GBK" w:cs="Times New Roman"/>
          <w:sz w:val="32"/>
          <w:szCs w:val="32"/>
          <w:shd w:val="clear" w:color="auto" w:fill="FFFFFF"/>
          <w:lang w:val="en-US" w:eastAsia="zh-CN" w:bidi="ar-SA"/>
        </w:rPr>
        <w:t>万元，占政府采购支出总额的</w:t>
      </w:r>
      <w:r>
        <w:rPr>
          <w:rFonts w:hint="default" w:ascii="Times New Roman" w:hAnsi="Times New Roman" w:eastAsia="方正仿宋_GBK" w:cs="Times New Roman"/>
          <w:sz w:val="32"/>
          <w:szCs w:val="32"/>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color w:val="auto"/>
          <w:sz w:val="32"/>
          <w:szCs w:val="32"/>
          <w:shd w:val="clear" w:color="auto" w:fill="FFFFFF"/>
          <w:lang w:val="en-US" w:eastAsia="zh-CN" w:bidi="ar-SA"/>
        </w:rPr>
        <w:t>2024年度我单位未发生政府采购事项，无相关经费支出。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pPr>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（一）单位自评情况</w:t>
      </w:r>
    </w:p>
    <w:p>
      <w:pPr>
        <w:keepNext w:val="0"/>
        <w:keepLines w:val="0"/>
        <w:pageBreakBefore w:val="0"/>
        <w:kinsoku/>
        <w:wordWrap/>
        <w:overflowPunct/>
        <w:topLinePunct w:val="0"/>
        <w:autoSpaceDE w:val="0"/>
        <w:autoSpaceDN/>
        <w:bidi w:val="0"/>
        <w:spacing w:before="0" w:beforeAutospacing="0" w:after="0" w:afterAutospacing="0" w:line="594" w:lineRule="exact"/>
        <w:ind w:firstLine="640" w:firstLineChars="200"/>
        <w:rPr>
          <w:rFonts w:hint="eastAsia" w:ascii="Times New Roman" w:hAnsi="Times New Roman" w:eastAsia="方正仿宋_GBK" w:cs="Times New Roman"/>
          <w:sz w:val="32"/>
          <w:szCs w:val="32"/>
          <w:highlight w:val="yellow"/>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根据预算绩效管理要求，我单位对</w:t>
      </w:r>
      <w:r>
        <w:rPr>
          <w:rFonts w:hint="eastAsia" w:ascii="Times New Roman" w:hAnsi="Times New Roman" w:eastAsia="方正仿宋_GBK" w:cs="Times New Roman"/>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万元</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（二）单位绩效评价情况</w:t>
      </w:r>
    </w:p>
    <w:p>
      <w:pPr>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w:t>
      </w:r>
      <w:r>
        <w:rPr>
          <w:rFonts w:hint="eastAsia" w:ascii="Times New Roman" w:hAnsi="Times New Roman" w:eastAsia="方正仿宋_GBK" w:cs="Times New Roman"/>
          <w:sz w:val="32"/>
          <w:szCs w:val="32"/>
          <w:shd w:val="clear" w:color="auto" w:fill="FFFFFF"/>
          <w:lang w:val="en-US" w:eastAsia="zh-CN" w:bidi="ar-SA"/>
        </w:rPr>
        <w:t>未组织</w:t>
      </w:r>
      <w:r>
        <w:rPr>
          <w:rFonts w:hint="default" w:ascii="Times New Roman" w:hAnsi="Times New Roman" w:eastAsia="方正仿宋_GBK" w:cs="Times New Roman"/>
          <w:sz w:val="32"/>
          <w:szCs w:val="32"/>
          <w:shd w:val="clear" w:color="auto" w:fill="FFFFFF"/>
          <w:lang w:val="en-US" w:eastAsia="zh-CN" w:bidi="ar-SA"/>
        </w:rPr>
        <w:t>开</w:t>
      </w:r>
      <w:r>
        <w:rPr>
          <w:rFonts w:hint="eastAsia" w:ascii="Times New Roman" w:hAnsi="Times New Roman" w:eastAsia="方正仿宋_GBK" w:cs="Times New Roman"/>
          <w:sz w:val="32"/>
          <w:szCs w:val="32"/>
          <w:shd w:val="clear" w:color="auto" w:fill="FFFFFF"/>
          <w:lang w:val="en-US" w:eastAsia="zh-CN" w:bidi="ar-SA"/>
        </w:rPr>
        <w:t>展</w:t>
      </w:r>
      <w:r>
        <w:rPr>
          <w:rFonts w:hint="default" w:ascii="Times New Roman" w:hAnsi="Times New Roman" w:eastAsia="方正仿宋_GBK" w:cs="Times New Roman"/>
          <w:sz w:val="32"/>
          <w:szCs w:val="32"/>
          <w:shd w:val="clear" w:color="auto" w:fill="FFFFFF"/>
          <w:lang w:val="en-US" w:eastAsia="zh-CN" w:bidi="ar-SA"/>
        </w:rPr>
        <w:t>绩效评价</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（三）财政绩效评价情况</w:t>
      </w:r>
    </w:p>
    <w:p>
      <w:pPr>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县</w:t>
      </w:r>
      <w:r>
        <w:rPr>
          <w:rFonts w:hint="default" w:ascii="Times New Roman" w:hAnsi="Times New Roman" w:eastAsia="方正仿宋_GBK" w:cs="Times New Roman"/>
          <w:sz w:val="32"/>
          <w:szCs w:val="32"/>
          <w:shd w:val="clear" w:color="auto" w:fill="FFFFFF"/>
          <w:lang w:val="en-US" w:eastAsia="zh-CN" w:bidi="ar-SA"/>
        </w:rPr>
        <w:t>财政局</w:t>
      </w:r>
      <w:r>
        <w:rPr>
          <w:rFonts w:hint="eastAsia" w:ascii="Times New Roman" w:hAnsi="Times New Roman" w:eastAsia="方正仿宋_GBK" w:cs="Times New Roman"/>
          <w:sz w:val="32"/>
          <w:szCs w:val="32"/>
          <w:shd w:val="clear" w:color="auto" w:fill="FFFFFF"/>
          <w:lang w:val="en-US" w:eastAsia="zh-CN" w:bidi="ar-SA"/>
        </w:rPr>
        <w:t>未</w:t>
      </w:r>
      <w:r>
        <w:rPr>
          <w:rFonts w:hint="default" w:ascii="Times New Roman" w:hAnsi="Times New Roman" w:eastAsia="方正仿宋_GBK" w:cs="Times New Roman"/>
          <w:sz w:val="32"/>
          <w:szCs w:val="32"/>
          <w:shd w:val="clear" w:color="auto" w:fill="FFFFFF"/>
          <w:lang w:val="en-US" w:eastAsia="zh-CN" w:bidi="ar-SA"/>
        </w:rPr>
        <w:t>委托第三方对我单位开展绩效评价</w:t>
      </w:r>
      <w:r>
        <w:rPr>
          <w:rFonts w:hint="eastAsia" w:ascii="Times New Roman" w:hAnsi="Times New Roman" w:eastAsia="方正仿宋_GBK" w:cs="Times New Roman"/>
          <w:sz w:val="32"/>
          <w:szCs w:val="32"/>
          <w:shd w:val="clear" w:color="auto" w:fill="FFFFFF"/>
          <w:lang w:val="en-US" w:eastAsia="zh-CN" w:bidi="ar-SA"/>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lang w:val="en-US" w:eastAsia="zh-CN"/>
        </w:rPr>
      </w:pPr>
      <w:r>
        <w:rPr>
          <w:rStyle w:val="10"/>
          <w:rFonts w:hint="default" w:ascii="Times New Roman" w:hAnsi="Times New Roman" w:eastAsia="黑体" w:cs="Times New Roman"/>
          <w:sz w:val="32"/>
          <w:szCs w:val="32"/>
          <w:shd w:val="clear" w:color="auto" w:fill="FFFFFF"/>
          <w:lang w:val="en-US" w:eastAsia="zh-CN"/>
        </w:rPr>
        <w:t>  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rPr>
          <w:rFonts w:hint="eastAsia"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本单位决算公开信息反馈和联系</w:t>
      </w:r>
      <w:r>
        <w:rPr>
          <w:rFonts w:hint="default" w:ascii="Times New Roman" w:hAnsi="Times New Roman" w:eastAsia="方正仿宋_GBK" w:cs="Times New Roman"/>
          <w:color w:val="auto"/>
          <w:sz w:val="32"/>
          <w:szCs w:val="32"/>
          <w:shd w:val="clear" w:color="auto" w:fill="FFFFFF"/>
        </w:rPr>
        <w:t>方式：</w:t>
      </w:r>
      <w:r>
        <w:rPr>
          <w:rFonts w:hint="eastAsia" w:ascii="Times New Roman" w:hAnsi="Times New Roman" w:eastAsia="方正仿宋_GBK" w:cs="Times New Roman"/>
          <w:color w:val="auto"/>
          <w:sz w:val="32"/>
          <w:szCs w:val="32"/>
          <w:shd w:val="clear" w:color="auto" w:fill="FFFFFF"/>
          <w:lang w:val="en-US" w:eastAsia="zh-CN"/>
        </w:rPr>
        <w:t>023-74582700。</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rPr>
          <w:rFonts w:hint="eastAsia" w:ascii="Times New Roman" w:hAnsi="Times New Roman" w:eastAsia="方正仿宋_GBK" w:cs="Times New Roman"/>
          <w:color w:val="auto"/>
          <w:sz w:val="32"/>
          <w:szCs w:val="32"/>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垫江县鹤游镇退役军人服务站</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垫江县鹤游镇退役军人服务站</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40.67</w:t>
            </w:r>
            <w:r>
              <w:rPr>
                <w:rFonts w:ascii="Times New Roman" w:hAnsi="Times New Roman"/>
                <w:b/>
                <w:color w:val="000000"/>
                <w:sz w:val="20"/>
                <w:u w:color="auto"/>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40.67</w:t>
            </w:r>
            <w:r>
              <w:rPr>
                <w:rFonts w:ascii="Times New Roman" w:hAnsi="Times New Roman"/>
                <w:b/>
                <w:color w:val="000000"/>
                <w:sz w:val="20"/>
                <w:u w:color="auto"/>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36.56</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36.56</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垫江县鹤游镇退役军人服务站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40.67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40.67</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垫江县鹤游镇退役军人服务站</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垫江县鹤游镇退役军人服务站</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40.67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40.67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垫江县鹤游镇退役军人服务站</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37.86</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垫江县鹤游镇退役军人服务站</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垫江县鹤游镇退役军人服务站</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垫江县鹤游镇退役军人服务站</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6607BA"/>
    <w:rsid w:val="22403BD3"/>
    <w:rsid w:val="24B92327"/>
    <w:rsid w:val="24C14514"/>
    <w:rsid w:val="24D82FF2"/>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C04D95"/>
    <w:rsid w:val="31D84415"/>
    <w:rsid w:val="32285F6F"/>
    <w:rsid w:val="32770556"/>
    <w:rsid w:val="329C0913"/>
    <w:rsid w:val="32AA0460"/>
    <w:rsid w:val="3337290D"/>
    <w:rsid w:val="33E31118"/>
    <w:rsid w:val="33EF7674"/>
    <w:rsid w:val="342D7BC6"/>
    <w:rsid w:val="352930DB"/>
    <w:rsid w:val="35573069"/>
    <w:rsid w:val="355F6038"/>
    <w:rsid w:val="358C217E"/>
    <w:rsid w:val="36C9128A"/>
    <w:rsid w:val="36F11EE1"/>
    <w:rsid w:val="37841E99"/>
    <w:rsid w:val="37BF1123"/>
    <w:rsid w:val="383C3F15"/>
    <w:rsid w:val="38BE4696"/>
    <w:rsid w:val="3939115E"/>
    <w:rsid w:val="39B82A39"/>
    <w:rsid w:val="39C42CA8"/>
    <w:rsid w:val="39DC4FD6"/>
    <w:rsid w:val="39F03D7A"/>
    <w:rsid w:val="39F33306"/>
    <w:rsid w:val="3A2C1C67"/>
    <w:rsid w:val="3ADD7F09"/>
    <w:rsid w:val="3B1705E5"/>
    <w:rsid w:val="3B18334B"/>
    <w:rsid w:val="3B234F47"/>
    <w:rsid w:val="3B36794F"/>
    <w:rsid w:val="3B6F6EE0"/>
    <w:rsid w:val="3C566AD6"/>
    <w:rsid w:val="3C594871"/>
    <w:rsid w:val="3C6A5B02"/>
    <w:rsid w:val="3D2757A1"/>
    <w:rsid w:val="3D3D4FC4"/>
    <w:rsid w:val="3DDF3AB1"/>
    <w:rsid w:val="3E1D0952"/>
    <w:rsid w:val="3E42660A"/>
    <w:rsid w:val="3E7555B1"/>
    <w:rsid w:val="3E787ED9"/>
    <w:rsid w:val="3F032E93"/>
    <w:rsid w:val="3F0527E5"/>
    <w:rsid w:val="3F3C4201"/>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35607C"/>
    <w:rsid w:val="4748792B"/>
    <w:rsid w:val="475D719D"/>
    <w:rsid w:val="47674801"/>
    <w:rsid w:val="47C92F7D"/>
    <w:rsid w:val="48225EF7"/>
    <w:rsid w:val="488F422B"/>
    <w:rsid w:val="48E36915"/>
    <w:rsid w:val="48EB6572"/>
    <w:rsid w:val="495C4A24"/>
    <w:rsid w:val="497135DF"/>
    <w:rsid w:val="4A263DF2"/>
    <w:rsid w:val="4A6F6675"/>
    <w:rsid w:val="4ACA0D66"/>
    <w:rsid w:val="4B135857"/>
    <w:rsid w:val="4B7951CB"/>
    <w:rsid w:val="4B7C315C"/>
    <w:rsid w:val="4C4C103A"/>
    <w:rsid w:val="4DAC4ACA"/>
    <w:rsid w:val="4DBE01D2"/>
    <w:rsid w:val="4F0C6BA3"/>
    <w:rsid w:val="4F186D58"/>
    <w:rsid w:val="50F06B6E"/>
    <w:rsid w:val="50F463E1"/>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3A755D"/>
    <w:rsid w:val="656152C6"/>
    <w:rsid w:val="6587477F"/>
    <w:rsid w:val="658C3A08"/>
    <w:rsid w:val="65C031CA"/>
    <w:rsid w:val="65CE6852"/>
    <w:rsid w:val="66267C04"/>
    <w:rsid w:val="663F505A"/>
    <w:rsid w:val="66EE5541"/>
    <w:rsid w:val="672543D1"/>
    <w:rsid w:val="672D5683"/>
    <w:rsid w:val="67924660"/>
    <w:rsid w:val="67DC5489"/>
    <w:rsid w:val="68407834"/>
    <w:rsid w:val="6883293E"/>
    <w:rsid w:val="688412AD"/>
    <w:rsid w:val="68B97383"/>
    <w:rsid w:val="68EB1B71"/>
    <w:rsid w:val="6A6C7940"/>
    <w:rsid w:val="6AAD2300"/>
    <w:rsid w:val="6B3660C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BE9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5404</Words>
  <Characters>6247</Characters>
  <Lines>190</Lines>
  <Paragraphs>53</Paragraphs>
  <TotalTime>1</TotalTime>
  <ScaleCrop>false</ScaleCrop>
  <LinksUpToDate>false</LinksUpToDate>
  <CharactersWithSpaces>6433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汪涛</cp:lastModifiedBy>
  <dcterms:modified xsi:type="dcterms:W3CDTF">2025-09-18T01:56:44Z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