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垫江县鹤游镇文化服务中心</w:t>
      </w:r>
    </w:p>
    <w:p>
      <w:pPr>
        <w:pStyle w:val="6"/>
        <w:keepNext w:val="0"/>
        <w:keepLines w:val="0"/>
        <w:pageBreakBefore w:val="0"/>
        <w:shd w:val="clear" w:color="auto" w:fill="FFFFFF"/>
        <w:kinsoku/>
        <w:wordWrap/>
        <w:overflowPunct/>
        <w:topLinePunct w:val="0"/>
        <w:autoSpaceDN/>
        <w:bidi w:val="0"/>
        <w:spacing w:beforeAutospacing="0" w:afterAutospacing="0" w:line="594" w:lineRule="exact"/>
        <w:jc w:val="center"/>
        <w:textAlignment w:val="top"/>
        <w:rPr>
          <w:rFonts w:hint="default" w:ascii="Times New Roman" w:hAnsi="Times New Roman" w:eastAsia="方正小标宋_GBK" w:cs="Times New Roman"/>
          <w:sz w:val="44"/>
          <w:szCs w:val="44"/>
          <w:shd w:val="clear" w:color="auto" w:fill="FFFFFF"/>
          <w:lang w:eastAsia="zh-CN"/>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黑体" w:cs="Times New Roman"/>
          <w:sz w:val="32"/>
          <w:szCs w:val="32"/>
        </w:rPr>
      </w:pPr>
      <w:r>
        <w:rPr>
          <w:rStyle w:val="11"/>
          <w:rFonts w:hint="default" w:ascii="Times New Roman" w:hAnsi="Times New Roman" w:eastAsia="黑体" w:cs="Times New Roman"/>
          <w:sz w:val="32"/>
          <w:szCs w:val="32"/>
          <w:shd w:val="clear" w:color="auto" w:fill="FFFFFF"/>
        </w:rPr>
        <w:t>一、单位基本情况</w:t>
      </w:r>
    </w:p>
    <w:p>
      <w:pPr>
        <w:keepNext w:val="0"/>
        <w:keepLines w:val="0"/>
        <w:pageBreakBefore w:val="0"/>
        <w:widowControl w:val="0"/>
        <w:kinsoku/>
        <w:wordWrap/>
        <w:overflowPunct/>
        <w:topLinePunct w:val="0"/>
        <w:autoSpaceDN/>
        <w:bidi w:val="0"/>
        <w:adjustRightInd w:val="0"/>
        <w:snapToGrid w:val="0"/>
        <w:spacing w:beforeAutospacing="0" w:afterAutospacing="0" w:line="594" w:lineRule="exact"/>
        <w:ind w:left="0"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宗旨：组织群众文化活动，繁荣文化旅游事业。主要职责：负责文化宣传、文化广播业务培训，组织开展群众文化、文艺活动等工作。负责组织开展群众性体育及全民健身活动。负责辖区内广播、旅游、文化设施的建设、维护和管理等工作。协助做好文物宣传保护工作。负责组织开展文化交流、民间文化艺术遗产收集整理与保护和地方文献资料收集整理上报等工作。</w:t>
      </w:r>
    </w:p>
    <w:p>
      <w:pPr>
        <w:keepNext w:val="0"/>
        <w:keepLines w:val="0"/>
        <w:pageBreakBefore w:val="0"/>
        <w:shd w:val="clear" w:color="auto" w:fill="FFFFFF"/>
        <w:kinsoku/>
        <w:wordWrap/>
        <w:overflowPunct/>
        <w:topLinePunct w:val="0"/>
        <w:autoSpaceDN/>
        <w:bidi w:val="0"/>
        <w:spacing w:before="0" w:beforeAutospacing="0" w:after="0" w:afterAutospacing="0" w:line="594" w:lineRule="exact"/>
        <w:ind w:left="0" w:firstLine="643" w:firstLineChars="200"/>
        <w:rPr>
          <w:rFonts w:hint="default" w:ascii="Times New Roman" w:hAnsi="Times New Roman" w:eastAsia="楷体" w:cs="Times New Roman"/>
          <w:color w:val="auto"/>
          <w:sz w:val="32"/>
          <w:szCs w:val="32"/>
          <w:lang w:val="en-US" w:eastAsia="zh-CN" w:bidi="ar-SA"/>
        </w:rPr>
      </w:pPr>
      <w:r>
        <w:rPr>
          <w:rStyle w:val="11"/>
          <w:rFonts w:hint="default" w:ascii="Times New Roman" w:hAnsi="Times New Roman" w:eastAsia="楷体" w:cs="Times New Roman"/>
          <w:color w:val="auto"/>
          <w:sz w:val="32"/>
          <w:szCs w:val="32"/>
          <w:shd w:val="clear" w:color="auto" w:fill="FFFFFF"/>
          <w:lang w:val="en-US" w:eastAsia="zh-CN" w:bidi="ar-SA"/>
        </w:rPr>
        <w:t>（二）机构设置</w:t>
      </w:r>
    </w:p>
    <w:p>
      <w:pPr>
        <w:keepNext w:val="0"/>
        <w:keepLines w:val="0"/>
        <w:pageBreakBefore w:val="0"/>
        <w:shd w:val="clear" w:color="auto" w:fill="FFFFFF"/>
        <w:kinsoku/>
        <w:wordWrap/>
        <w:overflowPunct/>
        <w:topLinePunct w:val="0"/>
        <w:autoSpaceDN/>
        <w:bidi w:val="0"/>
        <w:spacing w:beforeAutospacing="0" w:afterAutospacing="0" w:line="594" w:lineRule="exact"/>
        <w:ind w:left="0" w:firstLine="640" w:firstLineChars="200"/>
        <w:rPr>
          <w:rFonts w:hint="default" w:ascii="Times New Roman" w:hAnsi="Times New Roman" w:eastAsia="方正仿宋_GBK" w:cs="Times New Roman"/>
          <w:color w:val="auto"/>
          <w:sz w:val="32"/>
          <w:szCs w:val="32"/>
          <w:shd w:val="clear" w:color="auto" w:fill="FFFFFF"/>
          <w:lang w:val="en-US" w:eastAsia="zh-CN" w:bidi="ar-SA"/>
        </w:rPr>
      </w:pPr>
      <w:r>
        <w:rPr>
          <w:rFonts w:hint="default" w:ascii="Times New Roman" w:hAnsi="Times New Roman" w:eastAsia="方正仿宋_GBK" w:cs="Times New Roman"/>
          <w:color w:val="auto"/>
          <w:sz w:val="32"/>
          <w:szCs w:val="32"/>
          <w:shd w:val="clear" w:color="auto" w:fill="FFFFFF"/>
          <w:lang w:val="en-US" w:eastAsia="zh-CN" w:bidi="ar-SA"/>
        </w:rPr>
        <w:t>1.事业单位1个。文化服务中心。</w:t>
      </w:r>
    </w:p>
    <w:p>
      <w:pPr>
        <w:keepNext w:val="0"/>
        <w:keepLines w:val="0"/>
        <w:pageBreakBefore w:val="0"/>
        <w:shd w:val="clear" w:color="auto" w:fill="FFFFFF"/>
        <w:kinsoku/>
        <w:wordWrap/>
        <w:overflowPunct/>
        <w:topLinePunct w:val="0"/>
        <w:autoSpaceDN/>
        <w:bidi w:val="0"/>
        <w:spacing w:beforeAutospacing="0" w:afterAutospacing="0" w:line="594" w:lineRule="exact"/>
        <w:ind w:left="0" w:firstLine="640" w:firstLineChars="200"/>
        <w:rPr>
          <w:rFonts w:hint="default" w:ascii="Times New Roman" w:hAnsi="Times New Roman" w:eastAsia="方正仿宋_GBK" w:cs="Times New Roman"/>
          <w:color w:val="auto"/>
          <w:sz w:val="32"/>
          <w:szCs w:val="32"/>
          <w:shd w:val="clear" w:color="auto" w:fill="FFFFFF"/>
          <w:lang w:val="en-US" w:eastAsia="zh-CN" w:bidi="ar-SA"/>
        </w:rPr>
      </w:pPr>
      <w:r>
        <w:rPr>
          <w:rFonts w:hint="default" w:ascii="Times New Roman" w:hAnsi="Times New Roman" w:eastAsia="方正仿宋_GBK" w:cs="Times New Roman"/>
          <w:color w:val="auto"/>
          <w:sz w:val="32"/>
          <w:szCs w:val="32"/>
          <w:shd w:val="clear" w:color="auto" w:fill="FFFFFF"/>
          <w:lang w:val="en-US" w:eastAsia="zh-CN" w:bidi="ar-SA"/>
        </w:rPr>
        <w:t>2.人员情况：2024年末垫江县鹤游镇文化服务中心编制2人，实有在职职工2人。较上年减少1人，因机构改革</w:t>
      </w:r>
      <w:r>
        <w:rPr>
          <w:rFonts w:hint="eastAsia" w:ascii="Times New Roman" w:hAnsi="Times New Roman" w:eastAsia="方正仿宋_GBK" w:cs="Times New Roman"/>
          <w:color w:val="auto"/>
          <w:sz w:val="32"/>
          <w:szCs w:val="32"/>
          <w:shd w:val="clear" w:color="auto" w:fill="FFFFFF"/>
          <w:lang w:val="en-US" w:eastAsia="zh-CN" w:bidi="ar-SA"/>
        </w:rPr>
        <w:t>，</w:t>
      </w:r>
      <w:r>
        <w:rPr>
          <w:rFonts w:hint="default" w:ascii="Times New Roman" w:hAnsi="Times New Roman" w:eastAsia="方正仿宋_GBK" w:cs="Times New Roman"/>
          <w:color w:val="auto"/>
          <w:sz w:val="32"/>
          <w:szCs w:val="32"/>
          <w:shd w:val="clear" w:color="auto" w:fill="FFFFFF"/>
          <w:lang w:val="en-US" w:eastAsia="zh-CN" w:bidi="ar-SA"/>
        </w:rPr>
        <w:t>事业站所室内部调出。</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sz w:val="32"/>
          <w:szCs w:val="32"/>
        </w:rPr>
      </w:pPr>
      <w:r>
        <w:rPr>
          <w:rStyle w:val="11"/>
          <w:rFonts w:ascii="黑体" w:hAnsi="黑体" w:eastAsia="黑体" w:cs="黑体"/>
          <w:sz w:val="32"/>
          <w:szCs w:val="32"/>
          <w:shd w:val="clear" w:color="auto" w:fill="FFFFFF"/>
        </w:rPr>
        <w:t>二、</w:t>
      </w:r>
      <w:r>
        <w:rPr>
          <w:rStyle w:val="11"/>
          <w:rFonts w:hint="eastAsia" w:ascii="黑体" w:hAnsi="黑体" w:eastAsia="黑体" w:cs="黑体"/>
          <w:sz w:val="32"/>
          <w:szCs w:val="32"/>
          <w:shd w:val="clear" w:color="auto" w:fill="FFFFFF"/>
          <w:lang w:eastAsia="zh-CN"/>
        </w:rPr>
        <w:t>单位</w:t>
      </w:r>
      <w:r>
        <w:rPr>
          <w:rStyle w:val="11"/>
          <w:rFonts w:ascii="黑体" w:hAnsi="黑体" w:eastAsia="黑体" w:cs="黑体"/>
          <w:sz w:val="32"/>
          <w:szCs w:val="32"/>
          <w:shd w:val="clear" w:color="auto" w:fill="FFFFFF"/>
        </w:rPr>
        <w:t>决算</w:t>
      </w:r>
      <w:r>
        <w:rPr>
          <w:rStyle w:val="11"/>
          <w:rFonts w:hint="eastAsia" w:ascii="黑体" w:hAnsi="黑体" w:eastAsia="黑体" w:cs="黑体"/>
          <w:sz w:val="32"/>
          <w:szCs w:val="32"/>
          <w:shd w:val="clear" w:color="auto" w:fill="FFFFFF"/>
          <w:lang w:eastAsia="zh-CN"/>
        </w:rPr>
        <w:t>收支</w:t>
      </w:r>
      <w:r>
        <w:rPr>
          <w:rStyle w:val="11"/>
          <w:rFonts w:ascii="黑体" w:hAnsi="黑体" w:eastAsia="黑体" w:cs="黑体"/>
          <w:sz w:val="32"/>
          <w:szCs w:val="32"/>
          <w:shd w:val="clear" w:color="auto" w:fill="FFFFFF"/>
        </w:rPr>
        <w:t>情况说明</w:t>
      </w:r>
    </w:p>
    <w:p>
      <w:pPr>
        <w:pStyle w:val="12"/>
        <w:keepNext w:val="0"/>
        <w:keepLines w:val="0"/>
        <w:pageBreakBefore w:val="0"/>
        <w:kinsoku/>
        <w:wordWrap/>
        <w:overflowPunct/>
        <w:topLinePunct w:val="0"/>
        <w:autoSpaceDE w:val="0"/>
        <w:autoSpaceDN/>
        <w:bidi w:val="0"/>
        <w:spacing w:beforeAutospacing="0" w:afterAutospacing="0" w:line="594" w:lineRule="exact"/>
        <w:ind w:firstLine="643" w:firstLineChars="200"/>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（一）收入支出决算总体情况说明。</w:t>
      </w:r>
    </w:p>
    <w:p>
      <w:pPr>
        <w:pStyle w:val="7"/>
        <w:keepNext w:val="0"/>
        <w:keepLines w:val="0"/>
        <w:pageBreakBefore w:val="0"/>
        <w:shd w:val="clear" w:color="auto" w:fill="FFFFFF"/>
        <w:kinsoku/>
        <w:wordWrap/>
        <w:overflowPunct/>
        <w:topLinePunct w:val="0"/>
        <w:autoSpaceDN/>
        <w:bidi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度收入总计68.22万元，支出总计</w:t>
      </w:r>
      <w:r>
        <w:rPr>
          <w:rFonts w:hint="default" w:ascii="Times New Roman" w:hAnsi="Times New Roman" w:eastAsia="方正仿宋_GBK" w:cs="Times New Roman"/>
          <w:sz w:val="32"/>
          <w:szCs w:val="32"/>
        </w:rPr>
        <w:t>68.22</w:t>
      </w:r>
      <w:r>
        <w:rPr>
          <w:rFonts w:hint="default" w:ascii="Times New Roman" w:hAnsi="Times New Roman" w:eastAsia="方正仿宋_GBK" w:cs="Times New Roman"/>
          <w:sz w:val="32"/>
          <w:szCs w:val="32"/>
          <w:shd w:val="clear" w:color="auto" w:fill="FFFFFF"/>
        </w:rPr>
        <w:t>万元。</w:t>
      </w:r>
      <w:r>
        <w:rPr>
          <w:rFonts w:hint="eastAsia" w:ascii="Times New Roman" w:hAnsi="Times New Roman" w:eastAsia="方正仿宋_GBK" w:cs="Times New Roman"/>
          <w:sz w:val="32"/>
          <w:szCs w:val="32"/>
          <w:shd w:val="clear" w:color="auto" w:fill="FFFFFF"/>
          <w:lang w:eastAsia="zh-CN"/>
        </w:rPr>
        <w:t>收支</w:t>
      </w:r>
      <w:r>
        <w:rPr>
          <w:rFonts w:hint="default" w:ascii="Times New Roman" w:hAnsi="Times New Roman" w:eastAsia="方正仿宋_GBK" w:cs="Times New Roman"/>
          <w:sz w:val="32"/>
          <w:szCs w:val="32"/>
          <w:shd w:val="clear" w:color="auto" w:fill="FFFFFF"/>
        </w:rPr>
        <w:t>与2023年度相比，减少0.06万元，下降0.09%，主要原因</w:t>
      </w:r>
      <w:r>
        <w:rPr>
          <w:rFonts w:hint="default" w:ascii="Times New Roman" w:hAnsi="Times New Roman" w:eastAsia="方正仿宋_GBK" w:cs="Times New Roman"/>
          <w:color w:val="auto"/>
          <w:sz w:val="32"/>
          <w:szCs w:val="32"/>
          <w:shd w:val="clear" w:color="auto" w:fill="FFFFFF"/>
        </w:rPr>
        <w:t>是</w:t>
      </w:r>
      <w:r>
        <w:rPr>
          <w:rFonts w:hint="default" w:ascii="Times New Roman" w:hAnsi="Times New Roman" w:eastAsia="方正仿宋_GBK" w:cs="Times New Roman"/>
          <w:color w:val="auto"/>
          <w:sz w:val="32"/>
          <w:szCs w:val="32"/>
          <w:shd w:val="clear" w:color="auto" w:fill="FFFFFF"/>
          <w:lang w:eastAsia="zh-CN"/>
        </w:rPr>
        <w:t>厉行节约，缩减费用开支。</w:t>
      </w:r>
    </w:p>
    <w:p>
      <w:pPr>
        <w:pStyle w:val="7"/>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度收入合计68.22万元，与2023年度相比，减少0.06万元，下降0.09%，主要原</w:t>
      </w:r>
      <w:r>
        <w:rPr>
          <w:rFonts w:hint="default" w:ascii="Times New Roman" w:hAnsi="Times New Roman" w:eastAsia="方正仿宋_GBK" w:cs="Times New Roman"/>
          <w:color w:val="auto"/>
          <w:sz w:val="32"/>
          <w:szCs w:val="32"/>
          <w:shd w:val="clear" w:color="auto" w:fill="FFFFFF"/>
        </w:rPr>
        <w:t>因是</w:t>
      </w:r>
      <w:r>
        <w:rPr>
          <w:rFonts w:hint="default" w:ascii="Times New Roman" w:hAnsi="Times New Roman" w:eastAsia="方正仿宋_GBK" w:cs="Times New Roman"/>
          <w:color w:val="auto"/>
          <w:sz w:val="32"/>
          <w:szCs w:val="32"/>
          <w:shd w:val="clear" w:color="auto" w:fill="FFFFFF"/>
          <w:lang w:eastAsia="zh-CN"/>
        </w:rPr>
        <w:t>厉行节约，缩减费用开支。</w:t>
      </w:r>
      <w:r>
        <w:rPr>
          <w:rFonts w:hint="default" w:ascii="Times New Roman" w:hAnsi="Times New Roman" w:eastAsia="方正仿宋_GBK" w:cs="Times New Roman"/>
          <w:color w:val="auto"/>
          <w:sz w:val="32"/>
          <w:szCs w:val="32"/>
          <w:shd w:val="clear" w:color="auto" w:fill="FFFFFF"/>
        </w:rPr>
        <w:t>其中：财政拨款收入</w:t>
      </w:r>
      <w:r>
        <w:rPr>
          <w:rFonts w:hint="default" w:ascii="Times New Roman" w:hAnsi="Times New Roman" w:eastAsia="方正仿宋_GBK" w:cs="Times New Roman"/>
          <w:color w:val="auto"/>
          <w:sz w:val="32"/>
          <w:szCs w:val="32"/>
        </w:rPr>
        <w:t>68.22</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100.00</w:t>
      </w:r>
      <w:r>
        <w:rPr>
          <w:rFonts w:hint="default" w:ascii="Times New Roman" w:hAnsi="Times New Roman" w:eastAsia="方正仿宋_GBK" w:cs="Times New Roman"/>
          <w:color w:val="auto"/>
          <w:sz w:val="32"/>
          <w:szCs w:val="32"/>
          <w:shd w:val="clear" w:color="auto" w:fill="FFFFFF"/>
        </w:rPr>
        <w:t>%；事</w:t>
      </w:r>
      <w:r>
        <w:rPr>
          <w:rFonts w:hint="default" w:ascii="Times New Roman" w:hAnsi="Times New Roman" w:eastAsia="方正仿宋_GBK" w:cs="Times New Roman"/>
          <w:sz w:val="32"/>
          <w:szCs w:val="32"/>
          <w:shd w:val="clear" w:color="auto" w:fill="FFFFFF"/>
        </w:rPr>
        <w:t>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7"/>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度支出合计</w:t>
      </w:r>
      <w:r>
        <w:rPr>
          <w:rFonts w:hint="default" w:ascii="Times New Roman" w:hAnsi="Times New Roman" w:eastAsia="方正仿宋_GBK" w:cs="Times New Roman"/>
          <w:sz w:val="32"/>
          <w:szCs w:val="32"/>
        </w:rPr>
        <w:t>68.22</w:t>
      </w:r>
      <w:r>
        <w:rPr>
          <w:rFonts w:hint="default" w:ascii="Times New Roman" w:hAnsi="Times New Roman" w:eastAsia="方正仿宋_GBK" w:cs="Times New Roman"/>
          <w:sz w:val="32"/>
          <w:szCs w:val="32"/>
          <w:shd w:val="clear" w:color="auto" w:fill="FFFFFF"/>
        </w:rPr>
        <w:t>万元，与2023年度相比，减少0.06万元，下降0.09%，主要原因是</w:t>
      </w:r>
      <w:r>
        <w:rPr>
          <w:rFonts w:hint="default" w:ascii="Times New Roman" w:hAnsi="Times New Roman" w:eastAsia="方正仿宋_GBK" w:cs="Times New Roman"/>
          <w:color w:val="auto"/>
          <w:sz w:val="32"/>
          <w:szCs w:val="32"/>
          <w:shd w:val="clear" w:color="auto" w:fill="FFFFFF"/>
          <w:lang w:eastAsia="zh-CN"/>
        </w:rPr>
        <w:t>厉行节约，缩减费用开支</w:t>
      </w: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其中：基本支出</w:t>
      </w:r>
      <w:r>
        <w:rPr>
          <w:rFonts w:hint="default" w:ascii="Times New Roman" w:hAnsi="Times New Roman" w:eastAsia="方正仿宋_GBK" w:cs="Times New Roman"/>
          <w:color w:val="auto"/>
          <w:sz w:val="32"/>
          <w:szCs w:val="32"/>
        </w:rPr>
        <w:t>68.22</w:t>
      </w:r>
      <w:r>
        <w:rPr>
          <w:rFonts w:hint="default" w:ascii="Times New Roman" w:hAnsi="Times New Roman" w:eastAsia="方正仿宋_GBK" w:cs="Times New Roman"/>
          <w:color w:val="auto"/>
          <w:sz w:val="32"/>
          <w:szCs w:val="32"/>
          <w:shd w:val="clear" w:color="auto" w:fill="FFFFFF"/>
        </w:rPr>
        <w:t>万元，占100.00%；项目支出</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万元，占0.00%；经营支出</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万元，占0.00%。此外，</w:t>
      </w:r>
      <w:r>
        <w:rPr>
          <w:rFonts w:hint="default" w:ascii="Times New Roman" w:hAnsi="Times New Roman" w:eastAsia="方正仿宋_GBK" w:cs="Times New Roman"/>
          <w:sz w:val="32"/>
          <w:szCs w:val="32"/>
          <w:shd w:val="clear" w:color="auto" w:fill="FFFFFF"/>
        </w:rPr>
        <w:t>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12"/>
        <w:keepNext w:val="0"/>
        <w:keepLines w:val="0"/>
        <w:pageBreakBefore w:val="0"/>
        <w:kinsoku/>
        <w:wordWrap/>
        <w:overflowPunct/>
        <w:topLinePunct w:val="0"/>
        <w:autoSpaceDE w:val="0"/>
        <w:autoSpaceDN/>
        <w:bidi w:val="0"/>
        <w:spacing w:beforeAutospacing="0" w:afterAutospacing="0" w:line="594" w:lineRule="exact"/>
        <w:ind w:firstLine="643" w:firstLineChars="200"/>
        <w:rPr>
          <w:rFonts w:hint="default" w:ascii="Times New Roman" w:hAnsi="Times New Roman" w:eastAsia="方正仿宋_GBK" w:cs="Times New Roman"/>
          <w:color w:val="FF0000"/>
          <w:sz w:val="32"/>
          <w:szCs w:val="32"/>
          <w:shd w:val="clear" w:color="auto" w:fill="FFFFFF"/>
          <w:lang w:eastAsia="zh-CN"/>
        </w:rPr>
      </w:pPr>
      <w:r>
        <w:rPr>
          <w:rStyle w:val="11"/>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w:t>
      </w:r>
      <w:r>
        <w:rPr>
          <w:rFonts w:hint="default" w:ascii="Times New Roman" w:hAnsi="Times New Roman" w:eastAsia="方正仿宋_GBK" w:cs="Times New Roman"/>
          <w:color w:val="auto"/>
          <w:sz w:val="32"/>
          <w:szCs w:val="32"/>
          <w:shd w:val="clear" w:color="auto" w:fill="FFFFFF"/>
        </w:rPr>
        <w:t>要原因是</w:t>
      </w:r>
      <w:r>
        <w:rPr>
          <w:rFonts w:hint="default" w:ascii="Times New Roman" w:hAnsi="Times New Roman" w:eastAsia="方正仿宋_GBK" w:cs="Times New Roman"/>
          <w:color w:val="auto"/>
          <w:sz w:val="32"/>
          <w:szCs w:val="32"/>
          <w:shd w:val="clear" w:color="auto" w:fill="FFFFFF"/>
          <w:lang w:eastAsia="zh-CN"/>
        </w:rPr>
        <w:t>上年和本年均无结转结余。</w:t>
      </w:r>
    </w:p>
    <w:p>
      <w:pPr>
        <w:pStyle w:val="12"/>
        <w:keepNext w:val="0"/>
        <w:keepLines w:val="0"/>
        <w:pageBreakBefore w:val="0"/>
        <w:kinsoku/>
        <w:wordWrap/>
        <w:overflowPunct/>
        <w:topLinePunct w:val="0"/>
        <w:autoSpaceDE w:val="0"/>
        <w:autoSpaceDN/>
        <w:bidi w:val="0"/>
        <w:spacing w:beforeAutospacing="0" w:afterAutospacing="0" w:line="594" w:lineRule="exact"/>
        <w:ind w:firstLine="643" w:firstLineChars="200"/>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（二）财政拨款收入支出决算总体情况说明</w:t>
      </w:r>
    </w:p>
    <w:p>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度财政拨款</w:t>
      </w:r>
      <w:r>
        <w:rPr>
          <w:rFonts w:hint="eastAsia" w:ascii="Times New Roman" w:hAnsi="Times New Roman" w:eastAsia="方正仿宋_GBK" w:cs="Times New Roman"/>
          <w:sz w:val="32"/>
          <w:szCs w:val="32"/>
          <w:shd w:val="clear" w:color="auto" w:fill="FFFFFF"/>
          <w:lang w:eastAsia="zh-CN"/>
        </w:rPr>
        <w:t>收支</w:t>
      </w:r>
      <w:r>
        <w:rPr>
          <w:rFonts w:hint="default" w:ascii="Times New Roman" w:hAnsi="Times New Roman" w:eastAsia="方正仿宋_GBK" w:cs="Times New Roman"/>
          <w:sz w:val="32"/>
          <w:szCs w:val="32"/>
          <w:shd w:val="clear" w:color="auto" w:fill="FFFFFF"/>
        </w:rPr>
        <w:t>总计68.22万元。与202</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年相比，财政拨款</w:t>
      </w:r>
      <w:r>
        <w:rPr>
          <w:rFonts w:hint="eastAsia" w:ascii="Times New Roman" w:hAnsi="Times New Roman" w:eastAsia="方正仿宋_GBK" w:cs="Times New Roman"/>
          <w:sz w:val="32"/>
          <w:szCs w:val="32"/>
          <w:shd w:val="clear" w:color="auto" w:fill="FFFFFF"/>
          <w:lang w:eastAsia="zh-CN"/>
        </w:rPr>
        <w:t>收支</w:t>
      </w:r>
      <w:r>
        <w:rPr>
          <w:rFonts w:hint="default" w:ascii="Times New Roman" w:hAnsi="Times New Roman" w:eastAsia="方正仿宋_GBK" w:cs="Times New Roman"/>
          <w:sz w:val="32"/>
          <w:szCs w:val="32"/>
          <w:shd w:val="clear" w:color="auto" w:fill="FFFFFF"/>
        </w:rPr>
        <w:t>总计各减少0.06万元，下降0.09%。主要原因是</w:t>
      </w:r>
      <w:r>
        <w:rPr>
          <w:rFonts w:hint="default" w:ascii="Times New Roman" w:hAnsi="Times New Roman" w:eastAsia="方正仿宋_GBK" w:cs="Times New Roman"/>
          <w:color w:val="auto"/>
          <w:sz w:val="32"/>
          <w:szCs w:val="32"/>
          <w:shd w:val="clear" w:color="auto" w:fill="FFFFFF"/>
          <w:lang w:eastAsia="zh-CN"/>
        </w:rPr>
        <w:t>厉行节约，缩减费用开支。</w:t>
      </w:r>
    </w:p>
    <w:p>
      <w:pPr>
        <w:pStyle w:val="12"/>
        <w:keepNext w:val="0"/>
        <w:keepLines w:val="0"/>
        <w:pageBreakBefore w:val="0"/>
        <w:kinsoku/>
        <w:wordWrap/>
        <w:overflowPunct/>
        <w:topLinePunct w:val="0"/>
        <w:autoSpaceDE w:val="0"/>
        <w:autoSpaceDN/>
        <w:bidi w:val="0"/>
        <w:spacing w:beforeAutospacing="0" w:afterAutospacing="0" w:line="594" w:lineRule="exact"/>
        <w:ind w:firstLine="643" w:firstLineChars="200"/>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（三）一般公共预算财政拨款收入支出决算情况说明</w:t>
      </w:r>
    </w:p>
    <w:p>
      <w:pPr>
        <w:pStyle w:val="7"/>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color w:val="auto"/>
          <w:sz w:val="32"/>
          <w:szCs w:val="32"/>
        </w:rPr>
      </w:pPr>
      <w:r>
        <w:rPr>
          <w:rStyle w:val="11"/>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度一般公共预算财政拨款收入</w:t>
      </w:r>
      <w:r>
        <w:rPr>
          <w:rFonts w:hint="default" w:ascii="Times New Roman" w:hAnsi="Times New Roman" w:eastAsia="方正仿宋_GBK" w:cs="Times New Roman"/>
          <w:sz w:val="32"/>
          <w:szCs w:val="32"/>
        </w:rPr>
        <w:t>68.22</w:t>
      </w:r>
      <w:r>
        <w:rPr>
          <w:rFonts w:hint="default" w:ascii="Times New Roman" w:hAnsi="Times New Roman" w:eastAsia="方正仿宋_GBK" w:cs="Times New Roman"/>
          <w:sz w:val="32"/>
          <w:szCs w:val="32"/>
          <w:shd w:val="clear" w:color="auto" w:fill="FFFFFF"/>
        </w:rPr>
        <w:t>万元，与202</w:t>
      </w:r>
      <w:r>
        <w:rPr>
          <w:rFonts w:hint="default" w:ascii="Times New Roman" w:hAnsi="Times New Roman" w:eastAsia="方正仿宋_GBK" w:cs="Times New Roman"/>
          <w:color w:val="auto"/>
          <w:sz w:val="32"/>
          <w:szCs w:val="32"/>
          <w:shd w:val="clear" w:color="auto" w:fill="FFFFFF"/>
        </w:rPr>
        <w:t>3年度相比，减少0.06万元，下降0.09%。主要原因是</w:t>
      </w:r>
      <w:r>
        <w:rPr>
          <w:rFonts w:hint="default" w:ascii="Times New Roman" w:hAnsi="Times New Roman" w:eastAsia="方正仿宋_GBK" w:cs="Times New Roman"/>
          <w:color w:val="auto"/>
          <w:sz w:val="32"/>
          <w:szCs w:val="32"/>
          <w:shd w:val="clear" w:color="auto" w:fill="FFFFFF"/>
          <w:lang w:eastAsia="zh-CN"/>
        </w:rPr>
        <w:t>厉行节约，缩减费用开支。</w:t>
      </w:r>
      <w:r>
        <w:rPr>
          <w:rFonts w:hint="default" w:ascii="Times New Roman" w:hAnsi="Times New Roman" w:eastAsia="方正仿宋_GBK" w:cs="Times New Roman"/>
          <w:color w:val="auto"/>
          <w:sz w:val="32"/>
          <w:szCs w:val="32"/>
          <w:shd w:val="clear" w:color="auto" w:fill="FFFFFF"/>
        </w:rPr>
        <w:t>较年初预算数增加8.28万元，增长13.81%。主要原因是</w:t>
      </w:r>
      <w:r>
        <w:rPr>
          <w:rFonts w:hint="default" w:ascii="Times New Roman" w:hAnsi="Times New Roman" w:eastAsia="方正仿宋_GBK" w:cs="Times New Roman"/>
          <w:color w:val="auto"/>
          <w:sz w:val="32"/>
          <w:szCs w:val="32"/>
          <w:shd w:val="clear" w:color="auto" w:fill="FFFFFF"/>
          <w:lang w:val="en-US" w:eastAsia="zh-CN"/>
        </w:rPr>
        <w:t>补缴事业人员养老保险、职业年金等费用</w:t>
      </w:r>
      <w:r>
        <w:rPr>
          <w:rFonts w:hint="default" w:ascii="Times New Roman" w:hAnsi="Times New Roman" w:eastAsia="方正仿宋_GBK" w:cs="Times New Roman"/>
          <w:color w:val="auto"/>
          <w:sz w:val="32"/>
          <w:szCs w:val="32"/>
          <w:shd w:val="clear" w:color="auto" w:fill="FFFFFF"/>
        </w:rPr>
        <w:t>。此外，年初财政拨款结转和结余</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w:t>
      </w:r>
    </w:p>
    <w:p>
      <w:pPr>
        <w:pStyle w:val="7"/>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color w:val="auto"/>
          <w:sz w:val="32"/>
          <w:szCs w:val="32"/>
          <w:shd w:val="clear" w:color="auto" w:fill="FFFFFF"/>
        </w:rPr>
      </w:pPr>
      <w:r>
        <w:rPr>
          <w:rStyle w:val="11"/>
          <w:rFonts w:hint="default" w:ascii="Times New Roman" w:hAnsi="Times New Roman" w:eastAsia="方正仿宋_GBK" w:cs="Times New Roman"/>
          <w:color w:val="auto"/>
          <w:sz w:val="32"/>
          <w:szCs w:val="32"/>
          <w:shd w:val="clear" w:color="auto" w:fill="FFFFFF"/>
        </w:rPr>
        <w:t>2.支出情况。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度一般公共预算财政拨款支出</w:t>
      </w:r>
      <w:r>
        <w:rPr>
          <w:rFonts w:hint="default" w:ascii="Times New Roman" w:hAnsi="Times New Roman" w:eastAsia="方正仿宋_GBK" w:cs="Times New Roman"/>
          <w:color w:val="auto"/>
          <w:sz w:val="32"/>
          <w:szCs w:val="32"/>
        </w:rPr>
        <w:t>68.22</w:t>
      </w:r>
      <w:r>
        <w:rPr>
          <w:rFonts w:hint="default" w:ascii="Times New Roman" w:hAnsi="Times New Roman" w:eastAsia="方正仿宋_GBK" w:cs="Times New Roman"/>
          <w:color w:val="auto"/>
          <w:sz w:val="32"/>
          <w:szCs w:val="32"/>
          <w:shd w:val="clear" w:color="auto" w:fill="FFFFFF"/>
        </w:rPr>
        <w:t>万元，与2023年度相比，减少0.06万元，下降0.09%。主要原因是</w:t>
      </w:r>
      <w:r>
        <w:rPr>
          <w:rFonts w:hint="eastAsia" w:ascii="Times New Roman" w:hAnsi="Times New Roman" w:eastAsia="方正仿宋_GBK" w:cs="Times New Roman"/>
          <w:color w:val="auto"/>
          <w:sz w:val="32"/>
          <w:szCs w:val="32"/>
          <w:shd w:val="clear" w:color="auto" w:fill="FFFFFF"/>
          <w:lang w:eastAsia="zh-CN"/>
        </w:rPr>
        <w:t>厉行节约，缩减费用开支</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较年初预算数增加8.28万元，增长13.81%。主要原因是</w:t>
      </w:r>
      <w:r>
        <w:rPr>
          <w:rFonts w:hint="default" w:ascii="Times New Roman" w:hAnsi="Times New Roman" w:eastAsia="方正仿宋_GBK" w:cs="Times New Roman"/>
          <w:color w:val="auto"/>
          <w:sz w:val="32"/>
          <w:szCs w:val="32"/>
          <w:shd w:val="clear" w:color="auto" w:fill="FFFFFF"/>
          <w:lang w:val="en-US" w:eastAsia="zh-CN"/>
        </w:rPr>
        <w:t>补缴事业人员养老保险、职业年金等费用</w:t>
      </w:r>
      <w:r>
        <w:rPr>
          <w:rFonts w:hint="default" w:ascii="Times New Roman" w:hAnsi="Times New Roman" w:eastAsia="方正仿宋_GBK" w:cs="Times New Roman"/>
          <w:color w:val="auto"/>
          <w:sz w:val="32"/>
          <w:szCs w:val="32"/>
          <w:shd w:val="clear" w:color="auto" w:fill="FFFFFF"/>
        </w:rPr>
        <w:t>。</w:t>
      </w:r>
    </w:p>
    <w:p>
      <w:pPr>
        <w:pStyle w:val="7"/>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color w:val="auto"/>
          <w:sz w:val="32"/>
          <w:szCs w:val="32"/>
          <w:shd w:val="clear" w:color="auto" w:fill="FFFFFF"/>
          <w:lang w:eastAsia="zh-CN"/>
        </w:rPr>
      </w:pPr>
      <w:r>
        <w:rPr>
          <w:rStyle w:val="11"/>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color w:val="auto"/>
          <w:sz w:val="32"/>
          <w:szCs w:val="32"/>
          <w:shd w:val="clear" w:color="auto" w:fill="FFFFFF"/>
          <w:lang w:eastAsia="zh-CN"/>
        </w:rPr>
        <w:t>上年和本年均无结转结余。</w:t>
      </w:r>
    </w:p>
    <w:p>
      <w:pPr>
        <w:pStyle w:val="7"/>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color w:val="auto"/>
          <w:sz w:val="32"/>
          <w:szCs w:val="32"/>
          <w:shd w:val="clear" w:color="auto" w:fill="FFFFFF"/>
        </w:rPr>
      </w:pPr>
      <w:r>
        <w:rPr>
          <w:rStyle w:val="11"/>
          <w:rFonts w:hint="default" w:ascii="Times New Roman" w:hAnsi="Times New Roman" w:eastAsia="方正仿宋_GBK" w:cs="Times New Roman"/>
          <w:color w:val="auto"/>
          <w:sz w:val="32"/>
          <w:szCs w:val="32"/>
          <w:shd w:val="clear" w:color="auto" w:fill="FFFFFF"/>
        </w:rPr>
        <w:t xml:space="preserve"> 4.比较情况。</w:t>
      </w:r>
      <w:r>
        <w:rPr>
          <w:rFonts w:hint="default" w:ascii="Times New Roman" w:hAnsi="Times New Roman" w:eastAsia="方正仿宋_GBK" w:cs="Times New Roman"/>
          <w:color w:val="auto"/>
          <w:sz w:val="32"/>
          <w:szCs w:val="32"/>
          <w:shd w:val="clear" w:color="auto" w:fill="FFFFFF"/>
        </w:rPr>
        <w:t>本单位</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度一般公共预算财政拨款支出主要用于以下几个方面：</w:t>
      </w:r>
    </w:p>
    <w:p>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1</w:t>
      </w:r>
      <w:r>
        <w:rPr>
          <w:rFonts w:hint="default" w:ascii="Times New Roman" w:hAnsi="Times New Roman" w:eastAsia="方正仿宋_GBK" w:cs="Times New Roman"/>
          <w:color w:val="auto"/>
          <w:sz w:val="32"/>
          <w:szCs w:val="32"/>
          <w:shd w:val="clear" w:color="auto" w:fill="FFFFFF"/>
        </w:rPr>
        <w:t>）文化旅游体育与传媒支出</w:t>
      </w:r>
      <w:r>
        <w:rPr>
          <w:rFonts w:hint="default" w:ascii="Times New Roman" w:hAnsi="Times New Roman" w:eastAsia="方正仿宋_GBK" w:cs="Times New Roman"/>
          <w:color w:val="auto"/>
          <w:sz w:val="32"/>
          <w:szCs w:val="32"/>
        </w:rPr>
        <w:t>46.17</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67.67</w:t>
      </w:r>
      <w:r>
        <w:rPr>
          <w:rFonts w:hint="default" w:ascii="Times New Roman" w:hAnsi="Times New Roman" w:eastAsia="方正仿宋_GBK" w:cs="Times New Roman"/>
          <w:color w:val="auto"/>
          <w:sz w:val="32"/>
          <w:szCs w:val="32"/>
          <w:shd w:val="clear" w:color="auto" w:fill="FFFFFF"/>
        </w:rPr>
        <w:t>%，较年初预算数减少3.05万元，下降6.20%，主要原因是</w:t>
      </w:r>
      <w:r>
        <w:rPr>
          <w:rFonts w:hint="eastAsia" w:ascii="Times New Roman" w:hAnsi="Times New Roman" w:eastAsia="方正仿宋_GBK" w:cs="Times New Roman"/>
          <w:color w:val="auto"/>
          <w:sz w:val="32"/>
          <w:szCs w:val="32"/>
          <w:shd w:val="clear" w:color="auto" w:fill="FFFFFF"/>
          <w:lang w:eastAsia="zh-CN"/>
        </w:rPr>
        <w:t>本年度人员变动导致工资、绩效等支出下降。</w:t>
      </w:r>
    </w:p>
    <w:p>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2</w:t>
      </w:r>
      <w:r>
        <w:rPr>
          <w:rFonts w:hint="default" w:ascii="Times New Roman" w:hAnsi="Times New Roman" w:eastAsia="方正仿宋_GBK" w:cs="Times New Roman"/>
          <w:color w:val="auto"/>
          <w:sz w:val="32"/>
          <w:szCs w:val="32"/>
          <w:shd w:val="clear" w:color="auto" w:fill="FFFFFF"/>
        </w:rPr>
        <w:t>）社会保障与就业支出</w:t>
      </w:r>
      <w:r>
        <w:rPr>
          <w:rFonts w:hint="default" w:ascii="Times New Roman" w:hAnsi="Times New Roman" w:eastAsia="方正仿宋_GBK" w:cs="Times New Roman"/>
          <w:color w:val="auto"/>
          <w:sz w:val="32"/>
          <w:szCs w:val="32"/>
        </w:rPr>
        <w:t>15</w:t>
      </w:r>
      <w:r>
        <w:rPr>
          <w:rFonts w:hint="default" w:ascii="Times New Roman" w:hAnsi="Times New Roman" w:eastAsia="方正仿宋_GBK" w:cs="Times New Roman"/>
          <w:sz w:val="32"/>
          <w:szCs w:val="32"/>
        </w:rPr>
        <w:t>.57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22.82</w:t>
      </w:r>
      <w:r>
        <w:rPr>
          <w:rFonts w:hint="default" w:ascii="Times New Roman" w:hAnsi="Times New Roman" w:eastAsia="方正仿宋_GBK" w:cs="Times New Roman"/>
          <w:sz w:val="32"/>
          <w:szCs w:val="32"/>
          <w:shd w:val="clear" w:color="auto" w:fill="FFFFFF"/>
        </w:rPr>
        <w:t>%，较年初预算数增加9.97万元，增长178.04%，主要原因</w:t>
      </w:r>
      <w:r>
        <w:rPr>
          <w:rFonts w:hint="default" w:ascii="Times New Roman" w:hAnsi="Times New Roman" w:eastAsia="方正仿宋_GBK" w:cs="Times New Roman"/>
          <w:color w:val="auto"/>
          <w:sz w:val="32"/>
          <w:szCs w:val="32"/>
          <w:shd w:val="clear" w:color="auto" w:fill="FFFFFF"/>
        </w:rPr>
        <w:t>是</w:t>
      </w:r>
      <w:r>
        <w:rPr>
          <w:rFonts w:hint="default" w:ascii="Times New Roman" w:hAnsi="Times New Roman" w:eastAsia="方正仿宋_GBK" w:cs="Times New Roman"/>
          <w:color w:val="auto"/>
          <w:sz w:val="32"/>
          <w:szCs w:val="32"/>
          <w:shd w:val="clear" w:color="auto" w:fill="FFFFFF"/>
          <w:lang w:eastAsia="zh-CN"/>
        </w:rPr>
        <w:t>补缴事业人员养老保险、职业年金等费用。</w:t>
      </w:r>
    </w:p>
    <w:p>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rPr>
        <w:t>2.33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3.42</w:t>
      </w:r>
      <w:r>
        <w:rPr>
          <w:rFonts w:hint="default" w:ascii="Times New Roman" w:hAnsi="Times New Roman" w:eastAsia="方正仿宋_GBK" w:cs="Times New Roman"/>
          <w:sz w:val="32"/>
          <w:szCs w:val="32"/>
          <w:shd w:val="clear" w:color="auto" w:fill="FFFFFF"/>
        </w:rPr>
        <w:t>%，较年初预算数无增减，主要原因</w:t>
      </w:r>
      <w:r>
        <w:rPr>
          <w:rFonts w:hint="default" w:ascii="Times New Roman" w:hAnsi="Times New Roman" w:eastAsia="方正仿宋_GBK" w:cs="Times New Roman"/>
          <w:color w:val="auto"/>
          <w:sz w:val="32"/>
          <w:szCs w:val="32"/>
          <w:shd w:val="clear" w:color="auto" w:fill="FFFFFF"/>
        </w:rPr>
        <w:t>是</w:t>
      </w:r>
      <w:r>
        <w:rPr>
          <w:rFonts w:hint="eastAsia" w:ascii="Times New Roman" w:hAnsi="Times New Roman" w:eastAsia="方正仿宋_GBK" w:cs="Times New Roman"/>
          <w:color w:val="auto"/>
          <w:sz w:val="32"/>
          <w:szCs w:val="32"/>
          <w:shd w:val="clear" w:color="auto" w:fill="FFFFFF"/>
          <w:lang w:eastAsia="zh-CN"/>
        </w:rPr>
        <w:t>本年度医疗保险基数未变动。</w:t>
      </w:r>
    </w:p>
    <w:p>
      <w:pPr>
        <w:pStyle w:val="12"/>
        <w:keepNext w:val="0"/>
        <w:keepLines w:val="0"/>
        <w:pageBreakBefore w:val="0"/>
        <w:kinsoku/>
        <w:wordWrap/>
        <w:overflowPunct/>
        <w:topLinePunct w:val="0"/>
        <w:autoSpaceDE w:val="0"/>
        <w:autoSpaceDN/>
        <w:bidi w:val="0"/>
        <w:spacing w:beforeAutospacing="0" w:afterAutospacing="0" w:line="594" w:lineRule="exact"/>
        <w:ind w:firstLine="640" w:firstLineChars="200"/>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住房保障支出4.16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6.09</w:t>
      </w:r>
      <w:r>
        <w:rPr>
          <w:rFonts w:hint="default" w:ascii="Times New Roman" w:hAnsi="Times New Roman" w:eastAsia="方正仿宋_GBK" w:cs="Times New Roman"/>
          <w:sz w:val="32"/>
          <w:szCs w:val="32"/>
          <w:shd w:val="clear" w:color="auto" w:fill="FFFFFF"/>
        </w:rPr>
        <w:t>%，较年初预算数增加1.36万元，增长48.57%，主要原因</w:t>
      </w:r>
      <w:r>
        <w:rPr>
          <w:rFonts w:hint="default" w:ascii="Times New Roman" w:hAnsi="Times New Roman" w:eastAsia="方正仿宋_GBK" w:cs="Times New Roman"/>
          <w:color w:val="auto"/>
          <w:sz w:val="32"/>
          <w:szCs w:val="32"/>
          <w:shd w:val="clear" w:color="auto" w:fill="FFFFFF"/>
        </w:rPr>
        <w:t>是</w:t>
      </w:r>
      <w:r>
        <w:rPr>
          <w:rFonts w:hint="default" w:ascii="Times New Roman" w:hAnsi="Times New Roman" w:eastAsia="方正仿宋_GBK" w:cs="Times New Roman"/>
          <w:color w:val="auto"/>
          <w:sz w:val="32"/>
          <w:szCs w:val="32"/>
          <w:shd w:val="clear" w:color="auto" w:fill="FFFFFF"/>
          <w:lang w:eastAsia="zh-CN"/>
        </w:rPr>
        <w:t>对公积金基数进行了调整，住房保障支出增加。</w:t>
      </w:r>
    </w:p>
    <w:p>
      <w:pPr>
        <w:pStyle w:val="12"/>
        <w:keepNext w:val="0"/>
        <w:keepLines w:val="0"/>
        <w:pageBreakBefore w:val="0"/>
        <w:kinsoku/>
        <w:wordWrap/>
        <w:overflowPunct/>
        <w:topLinePunct w:val="0"/>
        <w:autoSpaceDE w:val="0"/>
        <w:autoSpaceDN/>
        <w:bidi w:val="0"/>
        <w:spacing w:beforeAutospacing="0" w:afterAutospacing="0" w:line="594" w:lineRule="exact"/>
        <w:ind w:firstLine="643" w:firstLineChars="200"/>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（四）一般公共预算财政拨款基本支出决算情况说明</w:t>
      </w:r>
    </w:p>
    <w:p>
      <w:pPr>
        <w:pStyle w:val="12"/>
        <w:keepNext w:val="0"/>
        <w:keepLines w:val="0"/>
        <w:pageBreakBefore w:val="0"/>
        <w:kinsoku/>
        <w:wordWrap/>
        <w:overflowPunct/>
        <w:topLinePunct w:val="0"/>
        <w:autoSpaceDE w:val="0"/>
        <w:autoSpaceDN/>
        <w:bidi w:val="0"/>
        <w:spacing w:beforeAutospacing="0" w:afterAutospacing="0" w:line="594"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度一般公共财政拨款基本支出</w:t>
      </w:r>
      <w:r>
        <w:rPr>
          <w:rFonts w:hint="default" w:ascii="Times New Roman" w:hAnsi="Times New Roman" w:eastAsia="方正仿宋_GBK" w:cs="Times New Roman"/>
          <w:sz w:val="32"/>
          <w:szCs w:val="32"/>
        </w:rPr>
        <w:t>68.22</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64.90</w:t>
      </w:r>
      <w:r>
        <w:rPr>
          <w:rFonts w:hint="default" w:ascii="Times New Roman" w:hAnsi="Times New Roman" w:eastAsia="方正仿宋_GBK" w:cs="Times New Roman"/>
          <w:sz w:val="32"/>
          <w:szCs w:val="32"/>
          <w:shd w:val="clear" w:color="auto" w:fill="FFFFFF"/>
        </w:rPr>
        <w:t>万元，与2023年度相比，增加3.00万元，增长4.85%，主要原因是</w:t>
      </w:r>
      <w:r>
        <w:rPr>
          <w:rFonts w:hint="default" w:ascii="Times New Roman" w:hAnsi="Times New Roman" w:eastAsia="方正仿宋_GBK" w:cs="Times New Roman"/>
          <w:color w:val="auto"/>
          <w:sz w:val="32"/>
          <w:szCs w:val="32"/>
          <w:shd w:val="clear" w:color="auto" w:fill="FFFFFF"/>
          <w:lang w:eastAsia="zh-CN"/>
        </w:rPr>
        <w:t>补缴事业人员养老保险和职业年金等</w:t>
      </w:r>
      <w:r>
        <w:rPr>
          <w:rFonts w:hint="default" w:ascii="Times New Roman" w:hAnsi="Times New Roman" w:eastAsia="方正仿宋_GBK" w:cs="Times New Roman"/>
          <w:color w:val="auto"/>
          <w:sz w:val="32"/>
          <w:szCs w:val="32"/>
          <w:shd w:val="clear" w:color="auto" w:fill="FFFFFF"/>
        </w:rPr>
        <w:t>。人员经费用途主要包括基本工资、津贴补贴、奖金、绩效工资、伙食补助费、养老保险、职业年金、医疗保障缴费、其他工资福利支出等</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公用经费</w:t>
      </w:r>
      <w:r>
        <w:rPr>
          <w:rFonts w:hint="default" w:ascii="Times New Roman" w:hAnsi="Times New Roman" w:eastAsia="方正仿宋_GBK" w:cs="Times New Roman"/>
          <w:color w:val="auto"/>
          <w:sz w:val="32"/>
          <w:szCs w:val="32"/>
        </w:rPr>
        <w:t>3.32</w:t>
      </w:r>
      <w:r>
        <w:rPr>
          <w:rFonts w:hint="default" w:ascii="Times New Roman" w:hAnsi="Times New Roman" w:eastAsia="方正仿宋_GBK" w:cs="Times New Roman"/>
          <w:color w:val="auto"/>
          <w:sz w:val="32"/>
          <w:szCs w:val="32"/>
          <w:shd w:val="clear" w:color="auto" w:fill="FFFFFF"/>
        </w:rPr>
        <w:t>万元，与2023年度相比，减少3.06万元，下降47.9</w:t>
      </w:r>
      <w:r>
        <w:rPr>
          <w:rFonts w:hint="default" w:ascii="Times New Roman" w:hAnsi="Times New Roman" w:eastAsia="方正仿宋_GBK" w:cs="Times New Roman"/>
          <w:sz w:val="32"/>
          <w:szCs w:val="32"/>
          <w:shd w:val="clear" w:color="auto" w:fill="FFFFFF"/>
        </w:rPr>
        <w:t>6%，主要原因是</w:t>
      </w:r>
      <w:r>
        <w:rPr>
          <w:rFonts w:hint="default" w:ascii="Times New Roman" w:hAnsi="Times New Roman" w:eastAsia="方正仿宋_GBK" w:cs="Times New Roman"/>
          <w:sz w:val="32"/>
          <w:szCs w:val="32"/>
          <w:shd w:val="clear" w:color="auto" w:fill="FFFFFF"/>
          <w:lang w:eastAsia="zh-CN"/>
        </w:rPr>
        <w:t>厉行节约，压缩公用经费开支</w:t>
      </w:r>
      <w:r>
        <w:rPr>
          <w:rFonts w:hint="default" w:ascii="Times New Roman" w:hAnsi="Times New Roman" w:eastAsia="方正仿宋_GBK" w:cs="Times New Roman"/>
          <w:sz w:val="32"/>
          <w:szCs w:val="32"/>
          <w:shd w:val="clear" w:color="auto" w:fill="FFFFFF"/>
        </w:rPr>
        <w:t>。公用经费用途主要包括办公费、印刷费、水费、 电费、差旅费、维修费、 劳务费、委托业务费、工会经费、其他商品服务支出等组成。</w:t>
      </w:r>
    </w:p>
    <w:p>
      <w:pPr>
        <w:pStyle w:val="12"/>
        <w:keepNext w:val="0"/>
        <w:keepLines w:val="0"/>
        <w:pageBreakBefore w:val="0"/>
        <w:kinsoku/>
        <w:wordWrap/>
        <w:overflowPunct/>
        <w:topLinePunct w:val="0"/>
        <w:autoSpaceDE w:val="0"/>
        <w:autoSpaceDN/>
        <w:bidi w:val="0"/>
        <w:spacing w:beforeAutospacing="0" w:afterAutospacing="0" w:line="594" w:lineRule="exact"/>
        <w:ind w:firstLine="643" w:firstLineChars="200"/>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（五）政府性基金预算收支决算情况说明</w:t>
      </w:r>
    </w:p>
    <w:p>
      <w:pPr>
        <w:pStyle w:val="12"/>
        <w:keepNext w:val="0"/>
        <w:keepLines w:val="0"/>
        <w:pageBreakBefore w:val="0"/>
        <w:kinsoku/>
        <w:wordWrap/>
        <w:overflowPunct/>
        <w:topLinePunct w:val="0"/>
        <w:autoSpaceDE w:val="0"/>
        <w:autoSpaceDN/>
        <w:bidi w:val="0"/>
        <w:spacing w:beforeAutospacing="0" w:afterAutospacing="0" w:line="594" w:lineRule="exact"/>
        <w:ind w:firstLine="640" w:firstLineChars="200"/>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eastAsia="zh-CN"/>
        </w:rPr>
        <w:t>2024年度政府性基金预算财政拨款年初结转结余0.00万元，年末结转结余0.00万元。本年收入0.00万元，与2023年度相比，无增减，主要原因是本年度无政府性基金预算财政拨款收入。本年支出0.00万元，与2023年度相比，无增减，主要原因是本年度无政府性基金预算财政拨款支出。本单位</w:t>
      </w:r>
      <w:r>
        <w:rPr>
          <w:rFonts w:hint="default" w:ascii="Times New Roman" w:hAnsi="Times New Roman" w:eastAsia="方正仿宋_GBK" w:cs="Times New Roman"/>
          <w:sz w:val="32"/>
          <w:szCs w:val="32"/>
          <w:shd w:val="clear" w:color="auto" w:fill="FFFFFF"/>
          <w:lang w:val="en-US" w:eastAsia="zh-CN"/>
        </w:rPr>
        <w:t>2024年度无政府性基金预算财政拨款收支。</w:t>
      </w:r>
    </w:p>
    <w:p>
      <w:pPr>
        <w:pStyle w:val="12"/>
        <w:keepNext w:val="0"/>
        <w:keepLines w:val="0"/>
        <w:pageBreakBefore w:val="0"/>
        <w:kinsoku/>
        <w:wordWrap/>
        <w:overflowPunct/>
        <w:topLinePunct w:val="0"/>
        <w:autoSpaceDE w:val="0"/>
        <w:autoSpaceDN/>
        <w:bidi w:val="0"/>
        <w:spacing w:beforeAutospacing="0" w:afterAutospacing="0" w:line="594" w:lineRule="exact"/>
        <w:ind w:firstLine="643" w:firstLineChars="200"/>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（六）国有资本经营预算财政拨款支出决算情况说明</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2024年度国有资本经营预算财政拨本年支出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万元，基本支出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万元，项目支出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万元。本单位2024年度无国有资本经营预算财政拨款支出。</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11"/>
          <w:rFonts w:hint="default" w:ascii="Times New Roman" w:hAnsi="Times New Roman" w:eastAsia="黑体" w:cs="Times New Roman"/>
          <w:sz w:val="32"/>
          <w:szCs w:val="32"/>
          <w:shd w:val="clear" w:color="auto" w:fill="FFFFFF"/>
        </w:rPr>
      </w:pPr>
      <w:r>
        <w:rPr>
          <w:rStyle w:val="11"/>
          <w:rFonts w:ascii="黑体" w:hAnsi="黑体" w:eastAsia="黑体" w:cs="黑体"/>
          <w:sz w:val="32"/>
          <w:szCs w:val="32"/>
          <w:shd w:val="clear" w:color="auto" w:fill="FFFFFF"/>
        </w:rPr>
        <w:t>三、</w:t>
      </w:r>
      <w:r>
        <w:rPr>
          <w:rStyle w:val="11"/>
          <w:rFonts w:hint="eastAsia" w:ascii="黑体" w:hAnsi="黑体" w:eastAsia="黑体" w:cs="黑体"/>
          <w:sz w:val="32"/>
          <w:szCs w:val="32"/>
          <w:shd w:val="clear" w:color="auto" w:fill="FFFFFF"/>
          <w:lang w:eastAsia="zh-CN"/>
        </w:rPr>
        <w:t>财政拨款</w:t>
      </w:r>
      <w:r>
        <w:rPr>
          <w:rStyle w:val="11"/>
          <w:rFonts w:ascii="黑体" w:hAnsi="黑体" w:eastAsia="黑体" w:cs="黑体"/>
          <w:sz w:val="32"/>
          <w:szCs w:val="32"/>
          <w:shd w:val="clear" w:color="auto" w:fill="FFFFFF"/>
        </w:rPr>
        <w:t>“三公”经费情况说明</w:t>
      </w:r>
    </w:p>
    <w:p>
      <w:pPr>
        <w:pStyle w:val="12"/>
        <w:keepNext w:val="0"/>
        <w:keepLines w:val="0"/>
        <w:pageBreakBefore w:val="0"/>
        <w:kinsoku/>
        <w:wordWrap/>
        <w:overflowPunct/>
        <w:topLinePunct w:val="0"/>
        <w:autoSpaceDE w:val="0"/>
        <w:autoSpaceDN/>
        <w:bidi w:val="0"/>
        <w:spacing w:beforeAutospacing="0" w:afterAutospacing="0" w:line="594" w:lineRule="exact"/>
        <w:ind w:firstLine="643" w:firstLineChars="200"/>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（一）“三公”经费支出总体情况说明</w:t>
      </w:r>
    </w:p>
    <w:p>
      <w:pPr>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sz w:val="32"/>
          <w:szCs w:val="32"/>
          <w:shd w:val="clear" w:color="auto" w:fill="FFFFFF"/>
          <w:lang w:val="en-US" w:eastAsia="zh-CN" w:bidi="ar-SA"/>
        </w:rPr>
        <w:t>2024年度“三公”经费支出共计</w:t>
      </w:r>
      <w:r>
        <w:rPr>
          <w:rFonts w:hint="default" w:ascii="Times New Roman" w:hAnsi="Times New Roman" w:eastAsia="方正仿宋_GBK" w:cs="Times New Roman"/>
          <w:sz w:val="32"/>
          <w:szCs w:val="32"/>
          <w:lang w:val="en-US" w:eastAsia="zh-CN" w:bidi="ar-SA"/>
        </w:rPr>
        <w:t>0.00</w:t>
      </w:r>
      <w:r>
        <w:rPr>
          <w:rFonts w:hint="default" w:ascii="Times New Roman" w:hAnsi="Times New Roman" w:eastAsia="方正仿宋_GBK" w:cs="Times New Roman"/>
          <w:sz w:val="32"/>
          <w:szCs w:val="32"/>
          <w:shd w:val="clear" w:color="auto" w:fill="FFFFFF"/>
          <w:lang w:val="en-US" w:eastAsia="zh-CN" w:bidi="ar-SA"/>
        </w:rPr>
        <w:t>万元，较年初预算数无增减，主要原因</w:t>
      </w:r>
      <w:r>
        <w:rPr>
          <w:rFonts w:hint="default" w:ascii="Times New Roman" w:hAnsi="Times New Roman" w:eastAsia="方正仿宋_GBK" w:cs="Times New Roman"/>
          <w:color w:val="auto"/>
          <w:sz w:val="32"/>
          <w:szCs w:val="32"/>
          <w:shd w:val="clear" w:color="auto" w:fill="FFFFFF"/>
          <w:lang w:val="en-US" w:eastAsia="zh-CN" w:bidi="ar-SA"/>
        </w:rPr>
        <w:t>是我单位2024年未发生“三公”经费支出。较上年支出数无增减，主要原因是我单位本年及上年均未发生“三公”经费支出。</w:t>
      </w:r>
    </w:p>
    <w:p>
      <w:pPr>
        <w:keepNext w:val="0"/>
        <w:keepLines w:val="0"/>
        <w:pageBreakBefore w:val="0"/>
        <w:kinsoku/>
        <w:wordWrap/>
        <w:overflowPunct/>
        <w:topLinePunct w:val="0"/>
        <w:autoSpaceDE w:val="0"/>
        <w:autoSpaceDN/>
        <w:bidi w:val="0"/>
        <w:spacing w:before="0" w:beforeAutospacing="0" w:after="0" w:afterAutospacing="0" w:line="594" w:lineRule="exact"/>
        <w:ind w:firstLine="643" w:firstLineChars="200"/>
        <w:rPr>
          <w:rFonts w:hint="default" w:ascii="Times New Roman" w:hAnsi="Times New Roman" w:eastAsia="楷体" w:cs="Times New Roman"/>
          <w:b/>
          <w:bCs/>
          <w:color w:val="auto"/>
          <w:sz w:val="32"/>
          <w:szCs w:val="32"/>
          <w:shd w:val="clear" w:color="auto" w:fill="FFFFFF"/>
          <w:lang w:val="en-US" w:eastAsia="zh-CN" w:bidi="ar-SA"/>
        </w:rPr>
      </w:pPr>
      <w:r>
        <w:rPr>
          <w:rFonts w:hint="default" w:ascii="Times New Roman" w:hAnsi="Times New Roman" w:eastAsia="楷体" w:cs="Times New Roman"/>
          <w:b/>
          <w:bCs/>
          <w:color w:val="auto"/>
          <w:sz w:val="32"/>
          <w:szCs w:val="32"/>
          <w:shd w:val="clear" w:color="auto" w:fill="FFFFFF"/>
          <w:lang w:val="en-US" w:eastAsia="zh-CN" w:bidi="ar-SA"/>
        </w:rPr>
        <w:t>（二）“三公”经费分项支出情况</w:t>
      </w:r>
    </w:p>
    <w:p>
      <w:pPr>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sz w:val="32"/>
          <w:szCs w:val="32"/>
          <w:shd w:val="clear" w:color="auto" w:fill="FFFFFF"/>
          <w:lang w:val="en-US" w:eastAsia="zh-CN" w:bidi="ar-SA"/>
        </w:rPr>
        <w:t>2024年</w:t>
      </w:r>
      <w:r>
        <w:rPr>
          <w:rFonts w:hint="default" w:ascii="Times New Roman" w:hAnsi="Times New Roman" w:eastAsia="方正仿宋_GBK" w:cs="Times New Roman"/>
          <w:color w:val="auto"/>
          <w:sz w:val="32"/>
          <w:szCs w:val="32"/>
          <w:shd w:val="clear" w:color="auto" w:fill="FFFFFF"/>
          <w:lang w:val="en-US" w:eastAsia="zh-CN" w:bidi="ar-SA"/>
        </w:rPr>
        <w:t>度本单位因公出国（境）费用</w:t>
      </w:r>
      <w:r>
        <w:rPr>
          <w:rFonts w:hint="default" w:ascii="Times New Roman" w:hAnsi="Times New Roman" w:eastAsia="方正仿宋_GBK" w:cs="Times New Roman"/>
          <w:color w:val="auto"/>
          <w:sz w:val="32"/>
          <w:szCs w:val="32"/>
          <w:lang w:val="en-US" w:eastAsia="zh-CN" w:bidi="ar-SA"/>
        </w:rPr>
        <w:t>0.00</w:t>
      </w:r>
      <w:r>
        <w:rPr>
          <w:rFonts w:hint="default" w:ascii="Times New Roman" w:hAnsi="Times New Roman" w:eastAsia="方正仿宋_GBK" w:cs="Times New Roman"/>
          <w:color w:val="auto"/>
          <w:sz w:val="32"/>
          <w:szCs w:val="32"/>
          <w:shd w:val="clear" w:color="auto" w:fill="FFFFFF"/>
          <w:lang w:val="en-US" w:eastAsia="zh-CN" w:bidi="ar-SA"/>
        </w:rPr>
        <w:t>万元。费用支出较年初预算数无增减，主要原因是年初预算数未安排因公出国（境）费用，也未发生因公出国（境）费用。较上年支出数无增减，主要原因是上年和本年均未发生因公出国（境）费用。</w:t>
      </w:r>
    </w:p>
    <w:p>
      <w:pPr>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auto"/>
          <w:sz w:val="32"/>
          <w:szCs w:val="32"/>
          <w:shd w:val="clear" w:color="auto" w:fill="FFFFFF"/>
          <w:lang w:val="en-US" w:eastAsia="zh-CN" w:bidi="ar-SA"/>
        </w:rPr>
      </w:pPr>
      <w:r>
        <w:rPr>
          <w:rFonts w:hint="default" w:ascii="Times New Roman" w:hAnsi="Times New Roman" w:eastAsia="方正仿宋_GBK" w:cs="Times New Roman"/>
          <w:color w:val="auto"/>
          <w:sz w:val="32"/>
          <w:szCs w:val="32"/>
          <w:shd w:val="clear" w:color="auto" w:fill="FFFFFF"/>
          <w:lang w:val="en-US" w:eastAsia="zh-CN" w:bidi="ar-SA"/>
        </w:rPr>
        <w:t> 公务车购置费</w:t>
      </w:r>
      <w:r>
        <w:rPr>
          <w:rFonts w:hint="default" w:ascii="Times New Roman" w:hAnsi="Times New Roman" w:eastAsia="方正仿宋_GBK" w:cs="Times New Roman"/>
          <w:color w:val="auto"/>
          <w:sz w:val="32"/>
          <w:szCs w:val="32"/>
          <w:lang w:val="en-US" w:eastAsia="zh-CN" w:bidi="ar-SA"/>
        </w:rPr>
        <w:t>0.00</w:t>
      </w:r>
      <w:r>
        <w:rPr>
          <w:rFonts w:hint="default" w:ascii="Times New Roman" w:hAnsi="Times New Roman" w:eastAsia="方正仿宋_GBK" w:cs="Times New Roman"/>
          <w:color w:val="auto"/>
          <w:sz w:val="32"/>
          <w:szCs w:val="32"/>
          <w:shd w:val="clear" w:color="auto" w:fill="FFFFFF"/>
          <w:lang w:val="en-US" w:eastAsia="zh-CN" w:bidi="ar-SA"/>
        </w:rPr>
        <w:t>万元。费用支出较年初预算数无增减，主要原因是年初预算数未安排且本年未发生公务车购置费用。较上年支出数无增减，主要原因是上年和本年均未发生公务车购置费用。</w:t>
      </w:r>
    </w:p>
    <w:p>
      <w:pPr>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auto"/>
          <w:sz w:val="32"/>
          <w:szCs w:val="32"/>
          <w:shd w:val="clear" w:color="auto" w:fill="FFFFFF"/>
          <w:lang w:val="en-US" w:eastAsia="zh-CN" w:bidi="ar-SA"/>
        </w:rPr>
      </w:pPr>
      <w:r>
        <w:rPr>
          <w:rFonts w:hint="default" w:ascii="Times New Roman" w:hAnsi="Times New Roman" w:eastAsia="方正仿宋_GBK" w:cs="Times New Roman"/>
          <w:color w:val="auto"/>
          <w:sz w:val="32"/>
          <w:szCs w:val="32"/>
          <w:shd w:val="clear" w:color="auto" w:fill="FFFFFF"/>
          <w:lang w:val="en-US" w:eastAsia="zh-CN" w:bidi="ar-SA"/>
        </w:rPr>
        <w:t> 公务车运行维护费</w:t>
      </w:r>
      <w:r>
        <w:rPr>
          <w:rFonts w:hint="default" w:ascii="Times New Roman" w:hAnsi="Times New Roman" w:eastAsia="方正仿宋_GBK" w:cs="Times New Roman"/>
          <w:color w:val="auto"/>
          <w:sz w:val="32"/>
          <w:szCs w:val="32"/>
          <w:lang w:val="en-US" w:eastAsia="zh-CN" w:bidi="ar-SA"/>
        </w:rPr>
        <w:t>0.00</w:t>
      </w:r>
      <w:r>
        <w:rPr>
          <w:rFonts w:hint="default" w:ascii="Times New Roman" w:hAnsi="Times New Roman" w:eastAsia="方正仿宋_GBK" w:cs="Times New Roman"/>
          <w:color w:val="auto"/>
          <w:sz w:val="32"/>
          <w:szCs w:val="32"/>
          <w:shd w:val="clear" w:color="auto" w:fill="FFFFFF"/>
          <w:lang w:val="en-US" w:eastAsia="zh-CN" w:bidi="ar-SA"/>
        </w:rPr>
        <w:t>万元。费用支出较年初预算数无增减，主要原因是年初预算数未安排且本年未发生公务车运行维护费用。较上年支出数无增减，主要原因是上年和本年均未发生公务车运行维护费用。</w:t>
      </w:r>
    </w:p>
    <w:p>
      <w:pPr>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shd w:val="clear" w:color="auto" w:fill="FFFFFF"/>
          <w:lang w:val="en-US" w:eastAsia="zh-CN" w:bidi="ar-SA"/>
        </w:rPr>
        <w:t> 公务接待费</w:t>
      </w:r>
      <w:r>
        <w:rPr>
          <w:rFonts w:hint="default" w:ascii="Times New Roman" w:hAnsi="Times New Roman" w:eastAsia="方正仿宋_GBK" w:cs="Times New Roman"/>
          <w:color w:val="auto"/>
          <w:sz w:val="32"/>
          <w:szCs w:val="32"/>
          <w:lang w:val="en-US" w:eastAsia="zh-CN" w:bidi="ar-SA"/>
        </w:rPr>
        <w:t>0.00</w:t>
      </w:r>
      <w:r>
        <w:rPr>
          <w:rFonts w:hint="default" w:ascii="Times New Roman" w:hAnsi="Times New Roman" w:eastAsia="方正仿宋_GBK" w:cs="Times New Roman"/>
          <w:color w:val="auto"/>
          <w:sz w:val="32"/>
          <w:szCs w:val="32"/>
          <w:shd w:val="clear" w:color="auto" w:fill="FFFFFF"/>
          <w:lang w:val="en-US" w:eastAsia="zh-CN" w:bidi="ar-SA"/>
        </w:rPr>
        <w:t>万元。费用支出较年初预算数</w:t>
      </w:r>
      <w:r>
        <w:rPr>
          <w:rFonts w:hint="default" w:ascii="Times New Roman" w:hAnsi="Times New Roman" w:eastAsia="方正仿宋_GBK" w:cs="Times New Roman"/>
          <w:sz w:val="32"/>
          <w:szCs w:val="32"/>
          <w:shd w:val="clear" w:color="auto" w:fill="FFFFFF"/>
          <w:lang w:val="en-US" w:eastAsia="zh-CN" w:bidi="ar-SA"/>
        </w:rPr>
        <w:t>无增减，主要原</w:t>
      </w:r>
      <w:r>
        <w:rPr>
          <w:rFonts w:hint="default" w:ascii="Times New Roman" w:hAnsi="Times New Roman" w:eastAsia="方正仿宋_GBK" w:cs="Times New Roman"/>
          <w:color w:val="auto"/>
          <w:sz w:val="32"/>
          <w:szCs w:val="32"/>
          <w:shd w:val="clear" w:color="auto" w:fill="FFFFFF"/>
          <w:lang w:val="en-US" w:eastAsia="zh-CN" w:bidi="ar-SA"/>
        </w:rPr>
        <w:t>因是年初预算数未安排且本年未发生公务接待费用。较上年支出数无增减，主要原因是上年和本年均未发生公务接待费用。</w:t>
      </w:r>
    </w:p>
    <w:p>
      <w:pPr>
        <w:keepNext w:val="0"/>
        <w:keepLines w:val="0"/>
        <w:pageBreakBefore w:val="0"/>
        <w:kinsoku/>
        <w:wordWrap/>
        <w:overflowPunct/>
        <w:topLinePunct w:val="0"/>
        <w:autoSpaceDE w:val="0"/>
        <w:autoSpaceDN/>
        <w:bidi w:val="0"/>
        <w:spacing w:before="0" w:beforeAutospacing="0" w:after="0" w:afterAutospacing="0" w:line="594" w:lineRule="exact"/>
        <w:ind w:firstLine="643" w:firstLineChars="200"/>
        <w:rPr>
          <w:rFonts w:hint="default" w:ascii="Times New Roman" w:hAnsi="Times New Roman" w:eastAsia="楷体" w:cs="Times New Roman"/>
          <w:b/>
          <w:bCs/>
          <w:color w:val="auto"/>
          <w:sz w:val="32"/>
          <w:szCs w:val="32"/>
          <w:shd w:val="clear" w:color="auto" w:fill="FFFFFF"/>
          <w:lang w:val="en-US" w:eastAsia="zh-CN" w:bidi="ar-SA"/>
        </w:rPr>
      </w:pPr>
      <w:r>
        <w:rPr>
          <w:rFonts w:hint="default" w:ascii="Times New Roman" w:hAnsi="Times New Roman" w:eastAsia="楷体" w:cs="Times New Roman"/>
          <w:b/>
          <w:bCs/>
          <w:color w:val="auto"/>
          <w:sz w:val="32"/>
          <w:szCs w:val="32"/>
          <w:shd w:val="clear" w:color="auto" w:fill="FFFFFF"/>
          <w:lang w:val="en-US" w:eastAsia="zh-CN" w:bidi="ar-SA"/>
        </w:rPr>
        <w:t>（三）“三公”经费实物量情况</w:t>
      </w:r>
    </w:p>
    <w:p>
      <w:pPr>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val="en-US" w:eastAsia="zh-CN" w:bidi="ar-SA"/>
        </w:rPr>
        <w:t>2024年度本单位因公出国（境）共计</w:t>
      </w:r>
      <w:r>
        <w:rPr>
          <w:rFonts w:hint="default" w:ascii="Times New Roman" w:hAnsi="Times New Roman" w:eastAsia="方正仿宋_GBK" w:cs="Times New Roman"/>
          <w:sz w:val="32"/>
          <w:szCs w:val="32"/>
          <w:lang w:val="en-US" w:eastAsia="zh-CN" w:bidi="ar-SA"/>
        </w:rPr>
        <w:t>0</w:t>
      </w:r>
      <w:r>
        <w:rPr>
          <w:rFonts w:hint="default" w:ascii="Times New Roman" w:hAnsi="Times New Roman" w:eastAsia="方正仿宋_GBK" w:cs="Times New Roman"/>
          <w:sz w:val="32"/>
          <w:szCs w:val="32"/>
          <w:shd w:val="clear" w:color="auto" w:fill="FFFFFF"/>
          <w:lang w:val="en-US" w:eastAsia="zh-CN" w:bidi="ar-SA"/>
        </w:rPr>
        <w:t>个团组，</w:t>
      </w:r>
      <w:r>
        <w:rPr>
          <w:rFonts w:hint="default" w:ascii="Times New Roman" w:hAnsi="Times New Roman" w:eastAsia="方正仿宋_GBK" w:cs="Times New Roman"/>
          <w:sz w:val="32"/>
          <w:szCs w:val="32"/>
          <w:lang w:val="en-US" w:eastAsia="zh-CN" w:bidi="ar-SA"/>
        </w:rPr>
        <w:t>0</w:t>
      </w:r>
      <w:r>
        <w:rPr>
          <w:rFonts w:hint="default" w:ascii="Times New Roman" w:hAnsi="Times New Roman" w:eastAsia="方正仿宋_GBK" w:cs="Times New Roman"/>
          <w:sz w:val="32"/>
          <w:szCs w:val="32"/>
          <w:shd w:val="clear" w:color="auto" w:fill="FFFFFF"/>
          <w:lang w:val="en-US" w:eastAsia="zh-CN" w:bidi="ar-SA"/>
        </w:rPr>
        <w:t>人；公务用车购置</w:t>
      </w:r>
      <w:r>
        <w:rPr>
          <w:rFonts w:hint="default" w:ascii="Times New Roman" w:hAnsi="Times New Roman" w:eastAsia="方正仿宋_GBK" w:cs="Times New Roman"/>
          <w:sz w:val="32"/>
          <w:szCs w:val="32"/>
          <w:lang w:val="en-US" w:eastAsia="zh-CN" w:bidi="ar-SA"/>
        </w:rPr>
        <w:t>0</w:t>
      </w:r>
      <w:r>
        <w:rPr>
          <w:rFonts w:hint="default" w:ascii="Times New Roman" w:hAnsi="Times New Roman" w:eastAsia="方正仿宋_GBK" w:cs="Times New Roman"/>
          <w:sz w:val="32"/>
          <w:szCs w:val="32"/>
          <w:shd w:val="clear" w:color="auto" w:fill="FFFFFF"/>
          <w:lang w:val="en-US" w:eastAsia="zh-CN" w:bidi="ar-SA"/>
        </w:rPr>
        <w:t>辆，公务车保有量为</w:t>
      </w:r>
      <w:r>
        <w:rPr>
          <w:rFonts w:hint="default" w:ascii="Times New Roman" w:hAnsi="Times New Roman" w:eastAsia="方正仿宋_GBK" w:cs="Times New Roman"/>
          <w:sz w:val="32"/>
          <w:szCs w:val="32"/>
          <w:lang w:val="en-US" w:eastAsia="zh-CN" w:bidi="ar-SA"/>
        </w:rPr>
        <w:t>0</w:t>
      </w:r>
      <w:r>
        <w:rPr>
          <w:rFonts w:hint="default" w:ascii="Times New Roman" w:hAnsi="Times New Roman" w:eastAsia="方正仿宋_GBK" w:cs="Times New Roman"/>
          <w:sz w:val="32"/>
          <w:szCs w:val="32"/>
          <w:shd w:val="clear" w:color="auto" w:fill="FFFFFF"/>
          <w:lang w:val="en-US" w:eastAsia="zh-CN" w:bidi="ar-SA"/>
        </w:rPr>
        <w:t>辆；国内公务接待</w:t>
      </w:r>
      <w:r>
        <w:rPr>
          <w:rFonts w:hint="default" w:ascii="Times New Roman" w:hAnsi="Times New Roman" w:eastAsia="方正仿宋_GBK" w:cs="Times New Roman"/>
          <w:sz w:val="32"/>
          <w:szCs w:val="32"/>
          <w:lang w:val="en-US" w:eastAsia="zh-CN" w:bidi="ar-SA"/>
        </w:rPr>
        <w:t>0</w:t>
      </w:r>
      <w:r>
        <w:rPr>
          <w:rFonts w:hint="default" w:ascii="Times New Roman" w:hAnsi="Times New Roman" w:eastAsia="方正仿宋_GBK" w:cs="Times New Roman"/>
          <w:sz w:val="32"/>
          <w:szCs w:val="32"/>
          <w:shd w:val="clear" w:color="auto" w:fill="FFFFFF"/>
          <w:lang w:val="en-US" w:eastAsia="zh-CN" w:bidi="ar-SA"/>
        </w:rPr>
        <w:t>批次</w:t>
      </w:r>
      <w:r>
        <w:rPr>
          <w:rFonts w:hint="default" w:ascii="Times New Roman" w:hAnsi="Times New Roman" w:eastAsia="方正仿宋_GBK" w:cs="Times New Roman"/>
          <w:sz w:val="32"/>
          <w:szCs w:val="32"/>
          <w:lang w:val="en-US" w:eastAsia="zh-CN" w:bidi="ar-SA"/>
        </w:rPr>
        <w:t>0</w:t>
      </w:r>
      <w:r>
        <w:rPr>
          <w:rFonts w:hint="default" w:ascii="Times New Roman" w:hAnsi="Times New Roman" w:eastAsia="方正仿宋_GBK" w:cs="Times New Roman"/>
          <w:sz w:val="32"/>
          <w:szCs w:val="32"/>
          <w:shd w:val="clear" w:color="auto" w:fill="FFFFFF"/>
          <w:lang w:val="en-US" w:eastAsia="zh-CN" w:bidi="ar-SA"/>
        </w:rPr>
        <w:t>人，其中：国内外事接待</w:t>
      </w:r>
      <w:r>
        <w:rPr>
          <w:rFonts w:hint="default" w:ascii="Times New Roman" w:hAnsi="Times New Roman" w:eastAsia="方正仿宋_GBK" w:cs="Times New Roman"/>
          <w:sz w:val="32"/>
          <w:szCs w:val="32"/>
          <w:lang w:val="en-US" w:eastAsia="zh-CN" w:bidi="ar-SA"/>
        </w:rPr>
        <w:t>0</w:t>
      </w:r>
      <w:r>
        <w:rPr>
          <w:rFonts w:hint="default" w:ascii="Times New Roman" w:hAnsi="Times New Roman" w:eastAsia="方正仿宋_GBK" w:cs="Times New Roman"/>
          <w:sz w:val="32"/>
          <w:szCs w:val="32"/>
          <w:shd w:val="clear" w:color="auto" w:fill="FFFFFF"/>
          <w:lang w:val="en-US" w:eastAsia="zh-CN" w:bidi="ar-SA"/>
        </w:rPr>
        <w:t>批次，</w:t>
      </w:r>
      <w:r>
        <w:rPr>
          <w:rFonts w:hint="default" w:ascii="Times New Roman" w:hAnsi="Times New Roman" w:eastAsia="方正仿宋_GBK" w:cs="Times New Roman"/>
          <w:sz w:val="32"/>
          <w:szCs w:val="32"/>
          <w:lang w:val="en-US" w:eastAsia="zh-CN" w:bidi="ar-SA"/>
        </w:rPr>
        <w:t>0</w:t>
      </w:r>
      <w:r>
        <w:rPr>
          <w:rFonts w:hint="default" w:ascii="Times New Roman" w:hAnsi="Times New Roman" w:eastAsia="方正仿宋_GBK" w:cs="Times New Roman"/>
          <w:sz w:val="32"/>
          <w:szCs w:val="32"/>
          <w:shd w:val="clear" w:color="auto" w:fill="FFFFFF"/>
          <w:lang w:val="en-US" w:eastAsia="zh-CN" w:bidi="ar-SA"/>
        </w:rPr>
        <w:t>人；国（境）外公务接待</w:t>
      </w:r>
      <w:r>
        <w:rPr>
          <w:rFonts w:hint="default" w:ascii="Times New Roman" w:hAnsi="Times New Roman" w:eastAsia="方正仿宋_GBK" w:cs="Times New Roman"/>
          <w:sz w:val="32"/>
          <w:szCs w:val="32"/>
          <w:lang w:val="en-US" w:eastAsia="zh-CN" w:bidi="ar-SA"/>
        </w:rPr>
        <w:t>0</w:t>
      </w:r>
      <w:r>
        <w:rPr>
          <w:rFonts w:hint="default" w:ascii="Times New Roman" w:hAnsi="Times New Roman" w:eastAsia="方正仿宋_GBK" w:cs="Times New Roman"/>
          <w:sz w:val="32"/>
          <w:szCs w:val="32"/>
          <w:shd w:val="clear" w:color="auto" w:fill="FFFFFF"/>
          <w:lang w:val="en-US" w:eastAsia="zh-CN" w:bidi="ar-SA"/>
        </w:rPr>
        <w:t>批次，</w:t>
      </w:r>
      <w:r>
        <w:rPr>
          <w:rFonts w:hint="default" w:ascii="Times New Roman" w:hAnsi="Times New Roman" w:eastAsia="方正仿宋_GBK" w:cs="Times New Roman"/>
          <w:sz w:val="32"/>
          <w:szCs w:val="32"/>
          <w:lang w:val="en-US" w:eastAsia="zh-CN" w:bidi="ar-SA"/>
        </w:rPr>
        <w:t>0</w:t>
      </w:r>
      <w:r>
        <w:rPr>
          <w:rFonts w:hint="default" w:ascii="Times New Roman" w:hAnsi="Times New Roman" w:eastAsia="方正仿宋_GBK" w:cs="Times New Roman"/>
          <w:sz w:val="32"/>
          <w:szCs w:val="32"/>
          <w:shd w:val="clear" w:color="auto" w:fill="FFFFFF"/>
          <w:lang w:val="en-US" w:eastAsia="zh-CN" w:bidi="ar-SA"/>
        </w:rPr>
        <w:t>人。2024年本单位人均接待费</w:t>
      </w:r>
      <w:r>
        <w:rPr>
          <w:rFonts w:hint="default" w:ascii="Times New Roman" w:hAnsi="Times New Roman" w:eastAsia="方正仿宋_GBK" w:cs="Times New Roman"/>
          <w:sz w:val="32"/>
          <w:szCs w:val="32"/>
          <w:lang w:val="en-US" w:eastAsia="zh-CN" w:bidi="ar-SA"/>
        </w:rPr>
        <w:t>0</w:t>
      </w:r>
      <w:r>
        <w:rPr>
          <w:rFonts w:hint="default" w:ascii="Times New Roman" w:hAnsi="Times New Roman" w:eastAsia="方正仿宋_GBK" w:cs="Times New Roman"/>
          <w:sz w:val="32"/>
          <w:szCs w:val="32"/>
          <w:shd w:val="clear" w:color="auto" w:fill="FFFFFF"/>
          <w:lang w:val="en-US" w:eastAsia="zh-CN" w:bidi="ar-SA"/>
        </w:rPr>
        <w:t>元，车均购置费</w:t>
      </w:r>
      <w:r>
        <w:rPr>
          <w:rFonts w:hint="default" w:ascii="Times New Roman" w:hAnsi="Times New Roman" w:eastAsia="方正仿宋_GBK" w:cs="Times New Roman"/>
          <w:sz w:val="32"/>
          <w:szCs w:val="32"/>
          <w:lang w:val="en-US" w:eastAsia="zh-CN" w:bidi="ar-SA"/>
        </w:rPr>
        <w:t>0</w:t>
      </w:r>
      <w:r>
        <w:rPr>
          <w:rFonts w:hint="default" w:ascii="Times New Roman" w:hAnsi="Times New Roman" w:eastAsia="方正仿宋_GBK" w:cs="Times New Roman"/>
          <w:sz w:val="32"/>
          <w:szCs w:val="32"/>
          <w:shd w:val="clear" w:color="auto" w:fill="FFFFFF"/>
          <w:lang w:val="en-US" w:eastAsia="zh-CN" w:bidi="ar-SA"/>
        </w:rPr>
        <w:t>万元，车均维护费</w:t>
      </w:r>
      <w:r>
        <w:rPr>
          <w:rFonts w:hint="default" w:ascii="Times New Roman" w:hAnsi="Times New Roman" w:eastAsia="方正仿宋_GBK" w:cs="Times New Roman"/>
          <w:sz w:val="32"/>
          <w:szCs w:val="32"/>
          <w:lang w:val="en-US" w:eastAsia="zh-CN" w:bidi="ar-SA"/>
        </w:rPr>
        <w:t>0</w:t>
      </w:r>
      <w:r>
        <w:rPr>
          <w:rFonts w:hint="default" w:ascii="Times New Roman" w:hAnsi="Times New Roman" w:eastAsia="方正仿宋_GBK" w:cs="Times New Roman"/>
          <w:sz w:val="32"/>
          <w:szCs w:val="32"/>
          <w:shd w:val="clear" w:color="auto" w:fill="FFFFFF"/>
          <w:lang w:val="en-US" w:eastAsia="zh-CN" w:bidi="ar-SA"/>
        </w:rPr>
        <w:t>万元。</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11"/>
          <w:rFonts w:hint="default" w:ascii="Times New Roman" w:hAnsi="Times New Roman" w:eastAsia="黑体" w:cs="Times New Roman"/>
          <w:sz w:val="32"/>
          <w:szCs w:val="32"/>
          <w:shd w:val="clear" w:color="auto" w:fill="FFFFFF"/>
        </w:rPr>
      </w:pPr>
      <w:r>
        <w:rPr>
          <w:rStyle w:val="11"/>
          <w:rFonts w:hint="default" w:ascii="Times New Roman" w:hAnsi="Times New Roman" w:eastAsia="黑体" w:cs="Times New Roman"/>
          <w:sz w:val="32"/>
          <w:szCs w:val="32"/>
          <w:shd w:val="clear" w:color="auto" w:fill="FFFFFF"/>
        </w:rPr>
        <w:t>四、其他需要说明的事项</w:t>
      </w:r>
    </w:p>
    <w:p>
      <w:pPr>
        <w:pStyle w:val="12"/>
        <w:keepNext w:val="0"/>
        <w:keepLines w:val="0"/>
        <w:pageBreakBefore w:val="0"/>
        <w:kinsoku/>
        <w:wordWrap/>
        <w:overflowPunct/>
        <w:topLinePunct w:val="0"/>
        <w:autoSpaceDE w:val="0"/>
        <w:autoSpaceDN/>
        <w:bidi w:val="0"/>
        <w:spacing w:beforeAutospacing="0" w:afterAutospacing="0" w:line="594" w:lineRule="exact"/>
        <w:ind w:firstLine="643" w:firstLineChars="200"/>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（一）财政拨款会议费和培训费情况说明</w:t>
      </w:r>
    </w:p>
    <w:p>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sz w:val="32"/>
          <w:szCs w:val="32"/>
          <w:shd w:val="clear" w:color="auto" w:fill="FFFFFF"/>
          <w:lang w:eastAsia="zh-CN"/>
        </w:rPr>
        <w:t>上年和本年均未发生会议费支出</w:t>
      </w:r>
      <w:r>
        <w:rPr>
          <w:rFonts w:hint="default" w:ascii="Times New Roman" w:hAnsi="Times New Roman" w:eastAsia="方正仿宋_GBK" w:cs="Times New Roman"/>
          <w:sz w:val="32"/>
          <w:szCs w:val="32"/>
          <w:shd w:val="clear" w:color="auto" w:fill="FFFFFF"/>
        </w:rPr>
        <w:t>。本年度培训费支出</w:t>
      </w:r>
      <w:r>
        <w:rPr>
          <w:rFonts w:hint="default" w:ascii="Times New Roman" w:hAnsi="Times New Roman" w:eastAsia="方正仿宋_GBK" w:cs="Times New Roman"/>
          <w:sz w:val="32"/>
          <w:szCs w:val="32"/>
        </w:rPr>
        <w:t>0.03</w:t>
      </w:r>
      <w:r>
        <w:rPr>
          <w:rFonts w:hint="default" w:ascii="Times New Roman" w:hAnsi="Times New Roman" w:eastAsia="方正仿宋_GBK" w:cs="Times New Roman"/>
          <w:sz w:val="32"/>
          <w:szCs w:val="32"/>
          <w:shd w:val="clear" w:color="auto" w:fill="FFFFFF"/>
        </w:rPr>
        <w:t>万元，与2023年度相比，增加0.03万元，增长100.00%，主要原因是</w:t>
      </w:r>
      <w:r>
        <w:rPr>
          <w:rFonts w:hint="default" w:ascii="Times New Roman" w:hAnsi="Times New Roman" w:eastAsia="方正仿宋_GBK" w:cs="Times New Roman"/>
          <w:sz w:val="32"/>
          <w:szCs w:val="32"/>
          <w:shd w:val="clear" w:color="auto" w:fill="FFFFFF"/>
          <w:lang w:eastAsia="zh-CN"/>
        </w:rPr>
        <w:t>增加专技人员公需科目培训、事业人员在岗培训费用。</w:t>
      </w:r>
    </w:p>
    <w:p>
      <w:pPr>
        <w:keepNext w:val="0"/>
        <w:keepLines w:val="0"/>
        <w:pageBreakBefore w:val="0"/>
        <w:kinsoku/>
        <w:wordWrap/>
        <w:overflowPunct/>
        <w:topLinePunct w:val="0"/>
        <w:autoSpaceDE w:val="0"/>
        <w:autoSpaceDN/>
        <w:bidi w:val="0"/>
        <w:spacing w:before="0" w:beforeAutospacing="0" w:after="0" w:afterAutospacing="0" w:line="594" w:lineRule="exact"/>
        <w:ind w:firstLine="643" w:firstLineChars="200"/>
        <w:rPr>
          <w:rFonts w:hint="default" w:ascii="Times New Roman" w:hAnsi="Times New Roman" w:eastAsia="楷体" w:cs="Times New Roman"/>
          <w:b/>
          <w:bCs/>
          <w:sz w:val="32"/>
          <w:szCs w:val="32"/>
          <w:shd w:val="clear" w:color="auto" w:fill="FFFFFF"/>
          <w:lang w:val="en-US" w:eastAsia="zh-CN" w:bidi="ar-SA"/>
        </w:rPr>
      </w:pPr>
      <w:r>
        <w:rPr>
          <w:rFonts w:hint="default" w:ascii="Times New Roman" w:hAnsi="Times New Roman" w:eastAsia="楷体" w:cs="Times New Roman"/>
          <w:b/>
          <w:bCs/>
          <w:sz w:val="32"/>
          <w:szCs w:val="32"/>
          <w:shd w:val="clear" w:color="auto" w:fill="FFFFFF"/>
          <w:lang w:val="en-US" w:eastAsia="zh-CN" w:bidi="ar-SA"/>
        </w:rPr>
        <w:t>（二）机关运行经费情况说明</w:t>
      </w:r>
    </w:p>
    <w:p>
      <w:pPr>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sz w:val="32"/>
          <w:szCs w:val="32"/>
          <w:shd w:val="clear" w:color="auto" w:fill="FFFFFF"/>
          <w:lang w:val="en-US" w:eastAsia="zh-CN" w:bidi="ar-SA"/>
        </w:rPr>
        <w:t>2024年度本单位机关运行经费支出</w:t>
      </w:r>
      <w:r>
        <w:rPr>
          <w:rFonts w:hint="default" w:ascii="Times New Roman" w:hAnsi="Times New Roman" w:eastAsia="方正仿宋_GBK" w:cs="Times New Roman"/>
          <w:sz w:val="32"/>
          <w:szCs w:val="32"/>
          <w:lang w:val="en-US" w:eastAsia="zh-CN" w:bidi="ar-SA"/>
        </w:rPr>
        <w:t>0.00</w:t>
      </w:r>
      <w:r>
        <w:rPr>
          <w:rFonts w:hint="default" w:ascii="Times New Roman" w:hAnsi="Times New Roman" w:eastAsia="方正仿宋_GBK" w:cs="Times New Roman"/>
          <w:sz w:val="32"/>
          <w:szCs w:val="32"/>
          <w:shd w:val="clear" w:color="auto" w:fill="FFFFFF"/>
          <w:lang w:val="en-US" w:eastAsia="zh-CN" w:bidi="ar-SA"/>
        </w:rPr>
        <w:t>万元，机关运行经费较上年支出数无增减，主要原因</w:t>
      </w:r>
      <w:r>
        <w:rPr>
          <w:rFonts w:hint="default" w:ascii="Times New Roman" w:hAnsi="Times New Roman" w:eastAsia="方正仿宋_GBK" w:cs="Times New Roman"/>
          <w:color w:val="auto"/>
          <w:sz w:val="32"/>
          <w:szCs w:val="32"/>
          <w:shd w:val="clear" w:color="auto" w:fill="FFFFFF"/>
          <w:lang w:val="en-US" w:eastAsia="zh-CN" w:bidi="ar-SA"/>
        </w:rPr>
        <w:t>是按照部门决算列报口径，我单位不在机关运行经费统计范围之内。</w:t>
      </w:r>
    </w:p>
    <w:p>
      <w:pPr>
        <w:keepNext w:val="0"/>
        <w:keepLines w:val="0"/>
        <w:pageBreakBefore w:val="0"/>
        <w:kinsoku/>
        <w:wordWrap/>
        <w:overflowPunct/>
        <w:topLinePunct w:val="0"/>
        <w:autoSpaceDE w:val="0"/>
        <w:autoSpaceDN/>
        <w:bidi w:val="0"/>
        <w:spacing w:before="0" w:beforeAutospacing="0" w:after="0" w:afterAutospacing="0" w:line="594" w:lineRule="exact"/>
        <w:ind w:firstLine="643" w:firstLineChars="200"/>
        <w:rPr>
          <w:rFonts w:hint="default" w:ascii="Times New Roman" w:hAnsi="Times New Roman" w:eastAsia="楷体" w:cs="Times New Roman"/>
          <w:b/>
          <w:bCs/>
          <w:color w:val="auto"/>
          <w:sz w:val="32"/>
          <w:szCs w:val="32"/>
          <w:shd w:val="clear" w:color="auto" w:fill="FFFFFF"/>
          <w:lang w:val="en-US" w:eastAsia="zh-CN" w:bidi="ar-SA"/>
        </w:rPr>
      </w:pPr>
      <w:r>
        <w:rPr>
          <w:rFonts w:hint="default" w:ascii="Times New Roman" w:hAnsi="Times New Roman" w:eastAsia="楷体" w:cs="Times New Roman"/>
          <w:b/>
          <w:bCs/>
          <w:color w:val="auto"/>
          <w:sz w:val="32"/>
          <w:szCs w:val="32"/>
          <w:shd w:val="clear" w:color="auto" w:fill="FFFFFF"/>
          <w:lang w:val="en-US" w:eastAsia="zh-CN" w:bidi="ar-SA"/>
        </w:rPr>
        <w:t>（三）国有资产占用情况说明</w:t>
      </w:r>
    </w:p>
    <w:p>
      <w:pPr>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FF0000"/>
          <w:sz w:val="32"/>
          <w:szCs w:val="32"/>
          <w:lang w:val="en-US" w:eastAsia="zh-CN" w:bidi="ar-SA"/>
        </w:rPr>
      </w:pPr>
      <w:r>
        <w:rPr>
          <w:rFonts w:hint="default" w:ascii="Times New Roman" w:hAnsi="Times New Roman" w:eastAsia="方正仿宋_GBK" w:cs="Times New Roman"/>
          <w:sz w:val="32"/>
          <w:szCs w:val="32"/>
          <w:shd w:val="clear" w:color="auto" w:fill="FFFFFF"/>
          <w:lang w:val="en-US" w:eastAsia="zh-CN" w:bidi="ar-SA"/>
        </w:rPr>
        <w:t>截至2024年12月31日，本单位共有车辆</w:t>
      </w:r>
      <w:r>
        <w:rPr>
          <w:rFonts w:hint="default" w:ascii="Times New Roman" w:hAnsi="Times New Roman" w:eastAsia="方正仿宋_GBK" w:cs="Times New Roman"/>
          <w:sz w:val="32"/>
          <w:szCs w:val="32"/>
          <w:lang w:val="en-US" w:eastAsia="zh-CN" w:bidi="ar-SA"/>
        </w:rPr>
        <w:t>0</w:t>
      </w:r>
      <w:r>
        <w:rPr>
          <w:rFonts w:hint="default" w:ascii="Times New Roman" w:hAnsi="Times New Roman" w:eastAsia="方正仿宋_GBK" w:cs="Times New Roman"/>
          <w:sz w:val="32"/>
          <w:szCs w:val="32"/>
          <w:shd w:val="clear" w:color="auto" w:fill="FFFFFF"/>
          <w:lang w:val="en-US" w:eastAsia="zh-CN" w:bidi="ar-SA"/>
        </w:rPr>
        <w:t>辆，其中，副部（省）级及以上领导用车</w:t>
      </w:r>
      <w:r>
        <w:rPr>
          <w:rFonts w:hint="default" w:ascii="Times New Roman" w:hAnsi="Times New Roman" w:eastAsia="方正仿宋_GBK" w:cs="Times New Roman"/>
          <w:sz w:val="32"/>
          <w:szCs w:val="32"/>
          <w:lang w:val="en-US" w:eastAsia="zh-CN" w:bidi="ar-SA"/>
        </w:rPr>
        <w:t>0</w:t>
      </w:r>
      <w:r>
        <w:rPr>
          <w:rFonts w:hint="default" w:ascii="Times New Roman" w:hAnsi="Times New Roman" w:eastAsia="方正仿宋_GBK" w:cs="Times New Roman"/>
          <w:sz w:val="32"/>
          <w:szCs w:val="32"/>
          <w:shd w:val="clear" w:color="auto" w:fill="FFFFFF"/>
          <w:lang w:val="en-US" w:eastAsia="zh-CN" w:bidi="ar-SA"/>
        </w:rPr>
        <w:t>辆、主要负责人用车</w:t>
      </w:r>
      <w:r>
        <w:rPr>
          <w:rFonts w:hint="default" w:ascii="Times New Roman" w:hAnsi="Times New Roman" w:eastAsia="方正仿宋_GBK" w:cs="Times New Roman"/>
          <w:sz w:val="32"/>
          <w:szCs w:val="32"/>
          <w:lang w:val="en-US" w:eastAsia="zh-CN" w:bidi="ar-SA"/>
        </w:rPr>
        <w:t>0</w:t>
      </w:r>
      <w:r>
        <w:rPr>
          <w:rFonts w:hint="default" w:ascii="Times New Roman" w:hAnsi="Times New Roman" w:eastAsia="方正仿宋_GBK" w:cs="Times New Roman"/>
          <w:sz w:val="32"/>
          <w:szCs w:val="32"/>
          <w:shd w:val="clear" w:color="auto" w:fill="FFFFFF"/>
          <w:lang w:val="en-US" w:eastAsia="zh-CN" w:bidi="ar-SA"/>
        </w:rPr>
        <w:t>辆、机要通信用车</w:t>
      </w:r>
      <w:r>
        <w:rPr>
          <w:rFonts w:hint="default" w:ascii="Times New Roman" w:hAnsi="Times New Roman" w:eastAsia="方正仿宋_GBK" w:cs="Times New Roman"/>
          <w:sz w:val="32"/>
          <w:szCs w:val="32"/>
          <w:lang w:val="en-US" w:eastAsia="zh-CN" w:bidi="ar-SA"/>
        </w:rPr>
        <w:t>0</w:t>
      </w:r>
      <w:r>
        <w:rPr>
          <w:rFonts w:hint="default" w:ascii="Times New Roman" w:hAnsi="Times New Roman" w:eastAsia="方正仿宋_GBK" w:cs="Times New Roman"/>
          <w:sz w:val="32"/>
          <w:szCs w:val="32"/>
          <w:shd w:val="clear" w:color="auto" w:fill="FFFFFF"/>
          <w:lang w:val="en-US" w:eastAsia="zh-CN" w:bidi="ar-SA"/>
        </w:rPr>
        <w:t>辆、应急保障用车</w:t>
      </w:r>
      <w:r>
        <w:rPr>
          <w:rFonts w:hint="default" w:ascii="Times New Roman" w:hAnsi="Times New Roman" w:eastAsia="方正仿宋_GBK" w:cs="Times New Roman"/>
          <w:sz w:val="32"/>
          <w:szCs w:val="32"/>
          <w:lang w:val="en-US" w:eastAsia="zh-CN" w:bidi="ar-SA"/>
        </w:rPr>
        <w:t>0</w:t>
      </w:r>
      <w:r>
        <w:rPr>
          <w:rFonts w:hint="default" w:ascii="Times New Roman" w:hAnsi="Times New Roman" w:eastAsia="方正仿宋_GBK" w:cs="Times New Roman"/>
          <w:sz w:val="32"/>
          <w:szCs w:val="32"/>
          <w:shd w:val="clear" w:color="auto" w:fill="FFFFFF"/>
          <w:lang w:val="en-US" w:eastAsia="zh-CN" w:bidi="ar-SA"/>
        </w:rPr>
        <w:t>辆、执法执勤用车</w:t>
      </w:r>
      <w:r>
        <w:rPr>
          <w:rFonts w:hint="default" w:ascii="Times New Roman" w:hAnsi="Times New Roman" w:eastAsia="方正仿宋_GBK" w:cs="Times New Roman"/>
          <w:sz w:val="32"/>
          <w:szCs w:val="32"/>
          <w:lang w:val="en-US" w:eastAsia="zh-CN" w:bidi="ar-SA"/>
        </w:rPr>
        <w:t>0</w:t>
      </w:r>
      <w:r>
        <w:rPr>
          <w:rFonts w:hint="default" w:ascii="Times New Roman" w:hAnsi="Times New Roman" w:eastAsia="方正仿宋_GBK" w:cs="Times New Roman"/>
          <w:sz w:val="32"/>
          <w:szCs w:val="32"/>
          <w:shd w:val="clear" w:color="auto" w:fill="FFFFFF"/>
          <w:lang w:val="en-US" w:eastAsia="zh-CN" w:bidi="ar-SA"/>
        </w:rPr>
        <w:t>辆，特种专业技术用车</w:t>
      </w:r>
      <w:r>
        <w:rPr>
          <w:rFonts w:hint="default" w:ascii="Times New Roman" w:hAnsi="Times New Roman" w:eastAsia="方正仿宋_GBK" w:cs="Times New Roman"/>
          <w:sz w:val="32"/>
          <w:szCs w:val="32"/>
          <w:lang w:val="en-US" w:eastAsia="zh-CN" w:bidi="ar-SA"/>
        </w:rPr>
        <w:t>0</w:t>
      </w:r>
      <w:r>
        <w:rPr>
          <w:rFonts w:hint="default" w:ascii="Times New Roman" w:hAnsi="Times New Roman" w:eastAsia="方正仿宋_GBK" w:cs="Times New Roman"/>
          <w:sz w:val="32"/>
          <w:szCs w:val="32"/>
          <w:shd w:val="clear" w:color="auto" w:fill="FFFFFF"/>
          <w:lang w:val="en-US" w:eastAsia="zh-CN" w:bidi="ar-SA"/>
        </w:rPr>
        <w:t>辆，离退休干部用车</w:t>
      </w:r>
      <w:r>
        <w:rPr>
          <w:rFonts w:hint="default" w:ascii="Times New Roman" w:hAnsi="Times New Roman" w:eastAsia="方正仿宋_GBK" w:cs="Times New Roman"/>
          <w:sz w:val="32"/>
          <w:szCs w:val="32"/>
          <w:lang w:val="en-US" w:eastAsia="zh-CN" w:bidi="ar-SA"/>
        </w:rPr>
        <w:t>0</w:t>
      </w:r>
      <w:r>
        <w:rPr>
          <w:rFonts w:hint="default" w:ascii="Times New Roman" w:hAnsi="Times New Roman" w:eastAsia="方正仿宋_GBK" w:cs="Times New Roman"/>
          <w:sz w:val="32"/>
          <w:szCs w:val="32"/>
          <w:shd w:val="clear" w:color="auto" w:fill="FFFFFF"/>
          <w:lang w:val="en-US" w:eastAsia="zh-CN" w:bidi="ar-SA"/>
        </w:rPr>
        <w:t>辆。单价100万元（含）以上专用设备</w:t>
      </w:r>
      <w:r>
        <w:rPr>
          <w:rFonts w:hint="default" w:ascii="Times New Roman" w:hAnsi="Times New Roman" w:eastAsia="方正仿宋_GBK" w:cs="Times New Roman"/>
          <w:sz w:val="32"/>
          <w:szCs w:val="32"/>
          <w:lang w:val="en-US" w:eastAsia="zh-CN" w:bidi="ar-SA"/>
        </w:rPr>
        <w:t>0</w:t>
      </w:r>
      <w:r>
        <w:rPr>
          <w:rFonts w:hint="default" w:ascii="Times New Roman" w:hAnsi="Times New Roman" w:eastAsia="方正仿宋_GBK" w:cs="Times New Roman"/>
          <w:sz w:val="32"/>
          <w:szCs w:val="32"/>
          <w:shd w:val="clear" w:color="auto" w:fill="FFFFFF"/>
          <w:lang w:val="en-US" w:eastAsia="zh-CN" w:bidi="ar-SA"/>
        </w:rPr>
        <w:t>台（套）。</w:t>
      </w:r>
    </w:p>
    <w:p>
      <w:pPr>
        <w:keepNext w:val="0"/>
        <w:keepLines w:val="0"/>
        <w:pageBreakBefore w:val="0"/>
        <w:kinsoku/>
        <w:wordWrap/>
        <w:overflowPunct/>
        <w:topLinePunct w:val="0"/>
        <w:autoSpaceDE w:val="0"/>
        <w:autoSpaceDN/>
        <w:bidi w:val="0"/>
        <w:spacing w:before="0" w:beforeAutospacing="0" w:after="0" w:afterAutospacing="0" w:line="594" w:lineRule="exact"/>
        <w:ind w:firstLine="643" w:firstLineChars="200"/>
        <w:rPr>
          <w:rFonts w:hint="default" w:ascii="Times New Roman" w:hAnsi="Times New Roman" w:eastAsia="楷体" w:cs="Times New Roman"/>
          <w:b/>
          <w:bCs/>
          <w:sz w:val="32"/>
          <w:szCs w:val="32"/>
          <w:shd w:val="clear" w:color="auto" w:fill="FFFFFF"/>
          <w:lang w:val="en-US" w:eastAsia="zh-CN" w:bidi="ar-SA"/>
        </w:rPr>
      </w:pPr>
      <w:r>
        <w:rPr>
          <w:rFonts w:hint="default" w:ascii="Times New Roman" w:hAnsi="Times New Roman" w:eastAsia="楷体" w:cs="Times New Roman"/>
          <w:b/>
          <w:bCs/>
          <w:sz w:val="32"/>
          <w:szCs w:val="32"/>
          <w:shd w:val="clear" w:color="auto" w:fill="FFFFFF"/>
          <w:lang w:val="en-US" w:eastAsia="zh-CN" w:bidi="ar-SA"/>
        </w:rPr>
        <w:t>（四）政府采购支出情况说明</w:t>
      </w:r>
    </w:p>
    <w:p>
      <w:pPr>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auto"/>
          <w:sz w:val="32"/>
          <w:szCs w:val="32"/>
          <w:shd w:val="clear" w:color="auto" w:fill="FFFFFF"/>
          <w:lang w:val="en-US" w:eastAsia="zh-CN" w:bidi="ar-SA"/>
        </w:rPr>
      </w:pPr>
      <w:bookmarkStart w:id="0" w:name="_GoBack"/>
      <w:bookmarkEnd w:id="0"/>
      <w:r>
        <w:rPr>
          <w:rFonts w:hint="default" w:ascii="Times New Roman" w:hAnsi="Times New Roman" w:eastAsia="方正仿宋_GBK" w:cs="Times New Roman"/>
          <w:sz w:val="32"/>
          <w:szCs w:val="32"/>
          <w:shd w:val="clear" w:color="auto" w:fill="FFFFFF"/>
          <w:lang w:val="en-US" w:eastAsia="zh-CN" w:bidi="ar-SA"/>
        </w:rPr>
        <w:t>2024年度本单位政府采购支出总额</w:t>
      </w:r>
      <w:r>
        <w:rPr>
          <w:rFonts w:hint="default" w:ascii="Times New Roman" w:hAnsi="Times New Roman" w:eastAsia="方正仿宋_GBK" w:cs="Times New Roman"/>
          <w:sz w:val="32"/>
          <w:szCs w:val="32"/>
          <w:lang w:val="en-US" w:eastAsia="zh-CN" w:bidi="ar-SA"/>
        </w:rPr>
        <w:t>0.00</w:t>
      </w:r>
      <w:r>
        <w:rPr>
          <w:rFonts w:hint="default" w:ascii="Times New Roman" w:hAnsi="Times New Roman" w:eastAsia="方正仿宋_GBK" w:cs="Times New Roman"/>
          <w:sz w:val="32"/>
          <w:szCs w:val="32"/>
          <w:shd w:val="clear" w:color="auto" w:fill="FFFFFF"/>
          <w:lang w:val="en-US" w:eastAsia="zh-CN" w:bidi="ar-SA"/>
        </w:rPr>
        <w:t>万元，其中：政府采购货物支出</w:t>
      </w:r>
      <w:r>
        <w:rPr>
          <w:rFonts w:hint="default" w:ascii="Times New Roman" w:hAnsi="Times New Roman" w:eastAsia="方正仿宋_GBK" w:cs="Times New Roman"/>
          <w:sz w:val="32"/>
          <w:szCs w:val="32"/>
          <w:lang w:val="en-US" w:eastAsia="zh-CN" w:bidi="ar-SA"/>
        </w:rPr>
        <w:t>0.00</w:t>
      </w:r>
      <w:r>
        <w:rPr>
          <w:rFonts w:hint="default" w:ascii="Times New Roman" w:hAnsi="Times New Roman" w:eastAsia="方正仿宋_GBK" w:cs="Times New Roman"/>
          <w:sz w:val="32"/>
          <w:szCs w:val="32"/>
          <w:shd w:val="clear" w:color="auto" w:fill="FFFFFF"/>
          <w:lang w:val="en-US" w:eastAsia="zh-CN" w:bidi="ar-SA"/>
        </w:rPr>
        <w:t>万元、政府采购工程支出</w:t>
      </w:r>
      <w:r>
        <w:rPr>
          <w:rFonts w:hint="default" w:ascii="Times New Roman" w:hAnsi="Times New Roman" w:eastAsia="方正仿宋_GBK" w:cs="Times New Roman"/>
          <w:sz w:val="32"/>
          <w:szCs w:val="32"/>
          <w:lang w:val="en-US" w:eastAsia="zh-CN" w:bidi="ar-SA"/>
        </w:rPr>
        <w:t>0.00</w:t>
      </w:r>
      <w:r>
        <w:rPr>
          <w:rFonts w:hint="default" w:ascii="Times New Roman" w:hAnsi="Times New Roman" w:eastAsia="方正仿宋_GBK" w:cs="Times New Roman"/>
          <w:sz w:val="32"/>
          <w:szCs w:val="32"/>
          <w:shd w:val="clear" w:color="auto" w:fill="FFFFFF"/>
          <w:lang w:val="en-US" w:eastAsia="zh-CN" w:bidi="ar-SA"/>
        </w:rPr>
        <w:t>万元、政府采购服务支出</w:t>
      </w:r>
      <w:r>
        <w:rPr>
          <w:rFonts w:hint="default" w:ascii="Times New Roman" w:hAnsi="Times New Roman" w:eastAsia="方正仿宋_GBK" w:cs="Times New Roman"/>
          <w:sz w:val="32"/>
          <w:szCs w:val="32"/>
          <w:lang w:val="en-US" w:eastAsia="zh-CN" w:bidi="ar-SA"/>
        </w:rPr>
        <w:t>0.00</w:t>
      </w:r>
      <w:r>
        <w:rPr>
          <w:rFonts w:hint="default" w:ascii="Times New Roman" w:hAnsi="Times New Roman" w:eastAsia="方正仿宋_GBK" w:cs="Times New Roman"/>
          <w:sz w:val="32"/>
          <w:szCs w:val="32"/>
          <w:shd w:val="clear" w:color="auto" w:fill="FFFFFF"/>
          <w:lang w:val="en-US" w:eastAsia="zh-CN" w:bidi="ar-SA"/>
        </w:rPr>
        <w:t>万元。授予中小企业合同金额</w:t>
      </w:r>
      <w:r>
        <w:rPr>
          <w:rFonts w:hint="default" w:ascii="Times New Roman" w:hAnsi="Times New Roman" w:eastAsia="方正仿宋_GBK" w:cs="Times New Roman"/>
          <w:sz w:val="32"/>
          <w:szCs w:val="32"/>
          <w:lang w:val="en-US" w:eastAsia="zh-CN" w:bidi="ar-SA"/>
        </w:rPr>
        <w:t>0.00万</w:t>
      </w:r>
      <w:r>
        <w:rPr>
          <w:rFonts w:hint="default" w:ascii="Times New Roman" w:hAnsi="Times New Roman" w:eastAsia="方正仿宋_GBK" w:cs="Times New Roman"/>
          <w:sz w:val="32"/>
          <w:szCs w:val="32"/>
          <w:shd w:val="clear" w:color="auto" w:fill="FFFFFF"/>
          <w:lang w:val="en-US" w:eastAsia="zh-CN" w:bidi="ar-SA"/>
        </w:rPr>
        <w:t>元，占政府采购支出总额的</w:t>
      </w:r>
      <w:r>
        <w:rPr>
          <w:rFonts w:hint="default" w:ascii="Times New Roman" w:hAnsi="Times New Roman" w:eastAsia="方正仿宋_GBK" w:cs="Times New Roman"/>
          <w:sz w:val="32"/>
          <w:szCs w:val="32"/>
          <w:lang w:val="en-US" w:eastAsia="zh-CN" w:bidi="ar-SA"/>
        </w:rPr>
        <w:t>0</w:t>
      </w:r>
      <w:r>
        <w:rPr>
          <w:rFonts w:hint="default" w:ascii="Times New Roman" w:hAnsi="Times New Roman" w:eastAsia="方正仿宋_GBK" w:cs="Times New Roman"/>
          <w:sz w:val="32"/>
          <w:szCs w:val="32"/>
          <w:shd w:val="clear" w:color="auto" w:fill="FFFFFF"/>
          <w:lang w:val="en-US" w:eastAsia="zh-CN" w:bidi="ar-SA"/>
        </w:rPr>
        <w:t>%，其中：授予小微企业合同金额</w:t>
      </w:r>
      <w:r>
        <w:rPr>
          <w:rFonts w:hint="default" w:ascii="Times New Roman" w:hAnsi="Times New Roman" w:eastAsia="方正仿宋_GBK" w:cs="Times New Roman"/>
          <w:sz w:val="32"/>
          <w:szCs w:val="32"/>
          <w:lang w:val="en-US" w:eastAsia="zh-CN" w:bidi="ar-SA"/>
        </w:rPr>
        <w:t>0.00</w:t>
      </w:r>
      <w:r>
        <w:rPr>
          <w:rFonts w:hint="default" w:ascii="Times New Roman" w:hAnsi="Times New Roman" w:eastAsia="方正仿宋_GBK" w:cs="Times New Roman"/>
          <w:sz w:val="32"/>
          <w:szCs w:val="32"/>
          <w:shd w:val="clear" w:color="auto" w:fill="FFFFFF"/>
          <w:lang w:val="en-US" w:eastAsia="zh-CN" w:bidi="ar-SA"/>
        </w:rPr>
        <w:t>万元，占政府采购支出总额的</w:t>
      </w:r>
      <w:r>
        <w:rPr>
          <w:rFonts w:hint="default" w:ascii="Times New Roman" w:hAnsi="Times New Roman" w:eastAsia="方正仿宋_GBK" w:cs="Times New Roman"/>
          <w:sz w:val="32"/>
          <w:szCs w:val="32"/>
          <w:lang w:val="en-US" w:eastAsia="zh-CN" w:bidi="ar-SA"/>
        </w:rPr>
        <w:t>0</w:t>
      </w:r>
      <w:r>
        <w:rPr>
          <w:rFonts w:hint="default" w:ascii="Times New Roman" w:hAnsi="Times New Roman" w:eastAsia="方正仿宋_GBK" w:cs="Times New Roman"/>
          <w:sz w:val="32"/>
          <w:szCs w:val="32"/>
          <w:shd w:val="clear" w:color="auto" w:fill="FFFFFF"/>
          <w:lang w:val="en-US" w:eastAsia="zh-CN" w:bidi="ar-SA"/>
        </w:rPr>
        <w:t xml:space="preserve"> %。</w:t>
      </w:r>
      <w:r>
        <w:rPr>
          <w:rFonts w:hint="default" w:ascii="Times New Roman" w:hAnsi="Times New Roman" w:eastAsia="方正仿宋_GBK" w:cs="Times New Roman"/>
          <w:color w:val="auto"/>
          <w:sz w:val="32"/>
          <w:szCs w:val="32"/>
          <w:shd w:val="clear" w:color="auto" w:fill="FFFFFF"/>
          <w:lang w:val="en-US" w:eastAsia="zh-CN" w:bidi="ar-SA"/>
        </w:rPr>
        <w:t>2024年度我单位未发生政府采购事项，无相关经费支出。</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11"/>
          <w:rFonts w:hint="default" w:ascii="Times New Roman" w:hAnsi="Times New Roman" w:eastAsia="黑体" w:cs="Times New Roman"/>
          <w:sz w:val="32"/>
          <w:szCs w:val="32"/>
          <w:shd w:val="clear" w:color="auto" w:fill="FFFFFF"/>
        </w:rPr>
      </w:pPr>
      <w:r>
        <w:rPr>
          <w:rStyle w:val="11"/>
          <w:rFonts w:hint="eastAsia" w:ascii="黑体" w:hAnsi="黑体" w:eastAsia="黑体" w:cs="黑体"/>
          <w:sz w:val="32"/>
          <w:szCs w:val="32"/>
          <w:shd w:val="clear" w:color="auto" w:fill="FFFFFF"/>
          <w:lang w:val="en-US" w:eastAsia="zh-CN" w:bidi="ar-SA"/>
        </w:rPr>
        <w:t>五、2024年度预算绩效管理情况说明</w:t>
      </w:r>
    </w:p>
    <w:p>
      <w:pPr>
        <w:keepNext w:val="0"/>
        <w:keepLines w:val="0"/>
        <w:pageBreakBefore w:val="0"/>
        <w:kinsoku/>
        <w:wordWrap/>
        <w:overflowPunct/>
        <w:topLinePunct w:val="0"/>
        <w:autoSpaceDE w:val="0"/>
        <w:autoSpaceDN/>
        <w:bidi w:val="0"/>
        <w:spacing w:before="0" w:beforeAutospacing="0" w:after="0" w:afterAutospacing="0" w:line="594" w:lineRule="exact"/>
        <w:ind w:firstLine="643" w:firstLineChars="200"/>
        <w:rPr>
          <w:rFonts w:hint="default" w:ascii="Times New Roman" w:hAnsi="Times New Roman" w:eastAsia="楷体" w:cs="Times New Roman"/>
          <w:b/>
          <w:bCs/>
          <w:sz w:val="32"/>
          <w:szCs w:val="32"/>
          <w:shd w:val="clear" w:color="auto" w:fill="FFFFFF"/>
          <w:lang w:val="en-US" w:eastAsia="zh-CN" w:bidi="ar-SA"/>
        </w:rPr>
      </w:pPr>
      <w:r>
        <w:rPr>
          <w:rFonts w:hint="default" w:ascii="Times New Roman" w:hAnsi="Times New Roman" w:eastAsia="楷体" w:cs="Times New Roman"/>
          <w:b/>
          <w:bCs/>
          <w:sz w:val="32"/>
          <w:szCs w:val="32"/>
          <w:shd w:val="clear" w:color="auto" w:fill="FFFFFF"/>
          <w:lang w:val="en-US" w:eastAsia="zh-CN" w:bidi="ar-SA"/>
        </w:rPr>
        <w:t>（一）单位自评情况</w:t>
      </w:r>
    </w:p>
    <w:p>
      <w:pPr>
        <w:keepNext w:val="0"/>
        <w:keepLines w:val="0"/>
        <w:pageBreakBefore w:val="0"/>
        <w:kinsoku/>
        <w:wordWrap/>
        <w:overflowPunct/>
        <w:topLinePunct w:val="0"/>
        <w:autoSpaceDE w:val="0"/>
        <w:autoSpaceDN/>
        <w:bidi w:val="0"/>
        <w:spacing w:before="0" w:beforeAutospacing="0" w:after="0" w:afterAutospacing="0" w:line="594" w:lineRule="exact"/>
        <w:ind w:firstLine="640" w:firstLineChars="200"/>
        <w:rPr>
          <w:rFonts w:hint="default" w:ascii="Times New Roman" w:hAnsi="Times New Roman" w:eastAsia="方正仿宋_GBK" w:cs="Times New Roman"/>
          <w:sz w:val="32"/>
          <w:szCs w:val="32"/>
          <w:highlight w:val="yellow"/>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根据预算绩效管理要求，我单位对0个二级项目开展了绩效自评，涉及财政拨款项目支出资金0万元。</w:t>
      </w:r>
    </w:p>
    <w:p>
      <w:pPr>
        <w:keepNext w:val="0"/>
        <w:keepLines w:val="0"/>
        <w:pageBreakBefore w:val="0"/>
        <w:kinsoku/>
        <w:wordWrap/>
        <w:overflowPunct/>
        <w:topLinePunct w:val="0"/>
        <w:autoSpaceDE w:val="0"/>
        <w:autoSpaceDN/>
        <w:bidi w:val="0"/>
        <w:spacing w:before="0" w:beforeAutospacing="0" w:after="0" w:afterAutospacing="0" w:line="594" w:lineRule="exact"/>
        <w:ind w:firstLine="643" w:firstLineChars="200"/>
        <w:rPr>
          <w:rFonts w:hint="default" w:ascii="Times New Roman" w:hAnsi="Times New Roman" w:eastAsia="楷体" w:cs="Times New Roman"/>
          <w:b/>
          <w:bCs/>
          <w:sz w:val="32"/>
          <w:szCs w:val="32"/>
          <w:shd w:val="clear" w:color="auto" w:fill="FFFFFF"/>
          <w:lang w:val="en-US" w:eastAsia="zh-CN" w:bidi="ar-SA"/>
        </w:rPr>
      </w:pPr>
      <w:r>
        <w:rPr>
          <w:rFonts w:hint="default" w:ascii="Times New Roman" w:hAnsi="Times New Roman" w:eastAsia="楷体" w:cs="Times New Roman"/>
          <w:b/>
          <w:bCs/>
          <w:sz w:val="32"/>
          <w:szCs w:val="32"/>
          <w:shd w:val="clear" w:color="auto" w:fill="FFFFFF"/>
          <w:lang w:val="en-US" w:eastAsia="zh-CN" w:bidi="ar-SA"/>
        </w:rPr>
        <w:t>（二）单位绩效评价情况</w:t>
      </w:r>
    </w:p>
    <w:p>
      <w:pPr>
        <w:keepNext w:val="0"/>
        <w:keepLines w:val="0"/>
        <w:pageBreakBefore w:val="0"/>
        <w:kinsoku/>
        <w:wordWrap/>
        <w:overflowPunct/>
        <w:topLinePunct w:val="0"/>
        <w:autoSpaceDE w:val="0"/>
        <w:autoSpaceDN/>
        <w:bidi w:val="0"/>
        <w:spacing w:before="0" w:beforeAutospacing="0" w:after="0" w:afterAutospacing="0" w:line="594" w:lineRule="exact"/>
        <w:ind w:firstLine="640" w:firstLineChars="200"/>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我单位未组织开展绩效评价。</w:t>
      </w:r>
    </w:p>
    <w:p>
      <w:pPr>
        <w:keepNext w:val="0"/>
        <w:keepLines w:val="0"/>
        <w:pageBreakBefore w:val="0"/>
        <w:kinsoku/>
        <w:wordWrap/>
        <w:overflowPunct/>
        <w:topLinePunct w:val="0"/>
        <w:autoSpaceDE w:val="0"/>
        <w:autoSpaceDN/>
        <w:bidi w:val="0"/>
        <w:spacing w:before="0" w:beforeAutospacing="0" w:after="0" w:afterAutospacing="0" w:line="594" w:lineRule="exact"/>
        <w:ind w:firstLine="643" w:firstLineChars="200"/>
        <w:rPr>
          <w:rFonts w:hint="default" w:ascii="Times New Roman" w:hAnsi="Times New Roman" w:eastAsia="楷体" w:cs="Times New Roman"/>
          <w:b/>
          <w:bCs/>
          <w:sz w:val="32"/>
          <w:szCs w:val="32"/>
          <w:shd w:val="clear" w:color="auto" w:fill="FFFFFF"/>
          <w:lang w:val="en-US" w:eastAsia="zh-CN" w:bidi="ar-SA"/>
        </w:rPr>
      </w:pPr>
      <w:r>
        <w:rPr>
          <w:rFonts w:hint="default" w:ascii="Times New Roman" w:hAnsi="Times New Roman" w:eastAsia="楷体" w:cs="Times New Roman"/>
          <w:b/>
          <w:bCs/>
          <w:sz w:val="32"/>
          <w:szCs w:val="32"/>
          <w:shd w:val="clear" w:color="auto" w:fill="FFFFFF"/>
          <w:lang w:val="en-US" w:eastAsia="zh-CN" w:bidi="ar-SA"/>
        </w:rPr>
        <w:t>（三）财政绩效评价情况</w:t>
      </w:r>
    </w:p>
    <w:p>
      <w:pPr>
        <w:keepNext w:val="0"/>
        <w:keepLines w:val="0"/>
        <w:pageBreakBefore w:val="0"/>
        <w:kinsoku/>
        <w:wordWrap/>
        <w:overflowPunct/>
        <w:topLinePunct w:val="0"/>
        <w:autoSpaceDE w:val="0"/>
        <w:autoSpaceDN/>
        <w:bidi w:val="0"/>
        <w:spacing w:before="0" w:beforeAutospacing="0" w:after="0" w:afterAutospacing="0" w:line="594" w:lineRule="exact"/>
        <w:ind w:firstLine="640" w:firstLineChars="200"/>
        <w:rPr>
          <w:rFonts w:hint="default"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县</w:t>
      </w:r>
      <w:r>
        <w:rPr>
          <w:rFonts w:hint="default" w:ascii="Times New Roman" w:hAnsi="Times New Roman" w:eastAsia="方正仿宋_GBK" w:cs="Times New Roman"/>
          <w:sz w:val="32"/>
          <w:szCs w:val="32"/>
          <w:shd w:val="clear" w:color="auto" w:fill="FFFFFF"/>
          <w:lang w:val="en-US" w:eastAsia="zh-CN" w:bidi="ar-SA"/>
        </w:rPr>
        <w:t>财政局未委托第三方对我单位开展绩效评价。</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11"/>
          <w:rFonts w:hint="default" w:ascii="Times New Roman" w:hAnsi="Times New Roman" w:eastAsia="黑体" w:cs="Times New Roman"/>
          <w:sz w:val="32"/>
          <w:szCs w:val="32"/>
          <w:shd w:val="clear" w:color="auto" w:fill="FFFFFF"/>
          <w:lang w:val="en-US" w:eastAsia="zh-CN"/>
        </w:rPr>
      </w:pPr>
      <w:r>
        <w:rPr>
          <w:rStyle w:val="11"/>
          <w:rFonts w:hint="default" w:ascii="Times New Roman" w:hAnsi="Times New Roman" w:eastAsia="黑体" w:cs="Times New Roman"/>
          <w:sz w:val="32"/>
          <w:szCs w:val="32"/>
          <w:shd w:val="clear" w:color="auto" w:fill="FFFFFF"/>
          <w:lang w:val="en-US" w:eastAsia="zh-CN"/>
        </w:rPr>
        <w:t>  六、专业名词解释</w:t>
      </w:r>
    </w:p>
    <w:p>
      <w:pPr>
        <w:pStyle w:val="7"/>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shd w:val="clear" w:color="auto" w:fill="FFFFFF"/>
        </w:rPr>
        <w:t> </w:t>
      </w:r>
      <w:r>
        <w:rPr>
          <w:rFonts w:hint="default" w:ascii="Times New Roman" w:hAnsi="Times New Roman" w:eastAsia="楷体" w:cs="Times New Roman"/>
          <w:b/>
          <w:bCs/>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pPr>
        <w:pStyle w:val="7"/>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 </w:t>
      </w:r>
      <w:r>
        <w:rPr>
          <w:rStyle w:val="11"/>
          <w:rFonts w:hint="default" w:ascii="Times New Roman" w:hAnsi="Times New Roman" w:eastAsia="楷体" w:cs="Times New Roman"/>
          <w:sz w:val="32"/>
          <w:szCs w:val="32"/>
          <w:shd w:val="clear" w:color="auto" w:fill="FFFFFF"/>
        </w:rPr>
        <w:t>（二）事业收入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pPr>
        <w:pStyle w:val="7"/>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 </w:t>
      </w:r>
      <w:r>
        <w:rPr>
          <w:rStyle w:val="11"/>
          <w:rFonts w:hint="default" w:ascii="Times New Roman" w:hAnsi="Times New Roman" w:eastAsia="楷体" w:cs="Times New Roman"/>
          <w:sz w:val="32"/>
          <w:szCs w:val="32"/>
          <w:shd w:val="clear" w:color="auto" w:fill="FFFFFF"/>
        </w:rPr>
        <w:t>（三）经营收入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pPr>
        <w:pStyle w:val="7"/>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 </w:t>
      </w:r>
      <w:r>
        <w:rPr>
          <w:rStyle w:val="11"/>
          <w:rFonts w:hint="default" w:ascii="Times New Roman" w:hAnsi="Times New Roman" w:eastAsia="楷体" w:cs="Times New Roman"/>
          <w:sz w:val="32"/>
          <w:szCs w:val="32"/>
          <w:shd w:val="clear" w:color="auto" w:fill="FFFFFF"/>
        </w:rPr>
        <w:t>（四）其他收入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7"/>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楷体" w:cs="Times New Roman"/>
          <w:sz w:val="32"/>
          <w:szCs w:val="32"/>
          <w:shd w:val="clear" w:color="auto" w:fill="FFFFFF"/>
        </w:rPr>
        <w:t>（五）使用非财政拨款结余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7"/>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 </w:t>
      </w:r>
      <w:r>
        <w:rPr>
          <w:rStyle w:val="11"/>
          <w:rFonts w:hint="default" w:ascii="Times New Roman" w:hAnsi="Times New Roman" w:eastAsia="楷体" w:cs="Times New Roman"/>
          <w:sz w:val="32"/>
          <w:szCs w:val="32"/>
          <w:shd w:val="clear" w:color="auto" w:fill="FFFFFF"/>
        </w:rPr>
        <w:t>（六）年初结转和结余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pPr>
        <w:pStyle w:val="7"/>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 </w:t>
      </w:r>
      <w:r>
        <w:rPr>
          <w:rStyle w:val="11"/>
          <w:rFonts w:hint="default" w:ascii="Times New Roman" w:hAnsi="Times New Roman" w:eastAsia="楷体" w:cs="Times New Roman"/>
          <w:sz w:val="32"/>
          <w:szCs w:val="32"/>
          <w:shd w:val="clear" w:color="auto" w:fill="FFFFFF"/>
        </w:rPr>
        <w:t>（七）结余分配</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pPr>
        <w:pStyle w:val="7"/>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 </w:t>
      </w:r>
      <w:r>
        <w:rPr>
          <w:rStyle w:val="11"/>
          <w:rFonts w:hint="default" w:ascii="Times New Roman" w:hAnsi="Times New Roman" w:eastAsia="楷体" w:cs="Times New Roman"/>
          <w:sz w:val="32"/>
          <w:szCs w:val="32"/>
          <w:shd w:val="clear" w:color="auto" w:fill="FFFFFF"/>
        </w:rPr>
        <w:t>（八）年末结转和结余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pPr>
        <w:pStyle w:val="7"/>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 </w:t>
      </w:r>
      <w:r>
        <w:rPr>
          <w:rStyle w:val="11"/>
          <w:rFonts w:hint="default" w:ascii="Times New Roman" w:hAnsi="Times New Roman" w:eastAsia="楷体" w:cs="Times New Roman"/>
          <w:sz w:val="32"/>
          <w:szCs w:val="32"/>
          <w:shd w:val="clear" w:color="auto" w:fill="FFFFFF"/>
        </w:rPr>
        <w:t>（九）基本支出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7"/>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 </w:t>
      </w:r>
      <w:r>
        <w:rPr>
          <w:rStyle w:val="11"/>
          <w:rFonts w:hint="default" w:ascii="Times New Roman" w:hAnsi="Times New Roman" w:eastAsia="楷体" w:cs="Times New Roman"/>
          <w:sz w:val="32"/>
          <w:szCs w:val="32"/>
          <w:shd w:val="clear" w:color="auto" w:fill="FFFFFF"/>
        </w:rPr>
        <w:t>（十）项目支出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pPr>
        <w:pStyle w:val="7"/>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 </w:t>
      </w:r>
      <w:r>
        <w:rPr>
          <w:rStyle w:val="11"/>
          <w:rFonts w:hint="default" w:ascii="Times New Roman" w:hAnsi="Times New Roman" w:eastAsia="楷体" w:cs="Times New Roman"/>
          <w:sz w:val="32"/>
          <w:szCs w:val="32"/>
          <w:shd w:val="clear" w:color="auto" w:fill="FFFFFF"/>
        </w:rPr>
        <w:t>（十一）经营支出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pPr>
        <w:pStyle w:val="7"/>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 </w:t>
      </w:r>
      <w:r>
        <w:rPr>
          <w:rStyle w:val="11"/>
          <w:rFonts w:hint="default" w:ascii="Times New Roman" w:hAnsi="Times New Roman" w:eastAsia="楷体" w:cs="Times New Roman"/>
          <w:sz w:val="32"/>
          <w:szCs w:val="32"/>
          <w:shd w:val="clear" w:color="auto" w:fill="FFFFFF"/>
        </w:rPr>
        <w:t>（十二）“三公”经费</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7"/>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楷体" w:cs="Times New Roman"/>
          <w:sz w:val="32"/>
          <w:szCs w:val="32"/>
          <w:shd w:val="clear" w:color="auto" w:fill="FFFFFF"/>
        </w:rPr>
        <w:t>（十三）机关运行经费</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7"/>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楷体" w:cs="Times New Roman"/>
          <w:sz w:val="32"/>
          <w:szCs w:val="32"/>
          <w:shd w:val="clear" w:color="auto" w:fill="FFFFFF"/>
        </w:rPr>
        <w:t>（十四）工资福利支出（支出经济分类科目类级）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pPr>
        <w:pStyle w:val="7"/>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楷体" w:cs="Times New Roman"/>
          <w:sz w:val="32"/>
          <w:szCs w:val="32"/>
          <w:shd w:val="clear" w:color="auto" w:fill="FFFFFF"/>
        </w:rPr>
        <w:t>（十五）商品和服务支出（支出经济分类科目类级）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pPr>
        <w:pStyle w:val="7"/>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楷体" w:cs="Times New Roman"/>
          <w:sz w:val="32"/>
          <w:szCs w:val="32"/>
          <w:shd w:val="clear" w:color="auto" w:fill="FFFFFF"/>
        </w:rPr>
        <w:t>（十六）对个人和家庭的补助（支出经济分类科目类级）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反映用于对个人和家庭的补助支出。</w:t>
      </w:r>
    </w:p>
    <w:p>
      <w:pPr>
        <w:pStyle w:val="7"/>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楷体" w:cs="Times New Roman"/>
          <w:sz w:val="32"/>
          <w:szCs w:val="32"/>
          <w:shd w:val="clear" w:color="auto" w:fill="FFFFFF"/>
        </w:rPr>
        <w:t>（十七）其他资本性支出（支出经济分类科目类级）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11"/>
          <w:rFonts w:hint="default" w:ascii="Times New Roman" w:hAnsi="Times New Roman" w:eastAsia="方正仿宋_GBK" w:cs="Times New Roman"/>
          <w:color w:val="auto"/>
          <w:sz w:val="32"/>
          <w:szCs w:val="32"/>
          <w:shd w:val="clear" w:color="auto" w:fill="FFFFFF"/>
        </w:rPr>
      </w:pPr>
      <w:r>
        <w:rPr>
          <w:rStyle w:val="11"/>
          <w:rFonts w:hint="default" w:ascii="Times New Roman" w:hAnsi="Times New Roman" w:eastAsia="黑体" w:cs="Times New Roman"/>
          <w:sz w:val="32"/>
          <w:szCs w:val="32"/>
          <w:shd w:val="clear" w:color="auto" w:fill="FFFFFF"/>
        </w:rPr>
        <w:t>七、决算公开联系方式</w:t>
      </w:r>
      <w:r>
        <w:rPr>
          <w:rStyle w:val="11"/>
          <w:rFonts w:hint="default" w:ascii="Times New Roman" w:hAnsi="Times New Roman" w:eastAsia="黑体" w:cs="Times New Roman"/>
          <w:color w:val="auto"/>
          <w:sz w:val="32"/>
          <w:szCs w:val="32"/>
          <w:shd w:val="clear" w:color="auto" w:fill="FFFFFF"/>
        </w:rPr>
        <w:t>及信息反馈渠道</w:t>
      </w:r>
    </w:p>
    <w:p>
      <w:pPr>
        <w:pStyle w:val="12"/>
        <w:keepNext w:val="0"/>
        <w:keepLines w:val="0"/>
        <w:pageBreakBefore w:val="0"/>
        <w:kinsoku/>
        <w:wordWrap/>
        <w:overflowPunct/>
        <w:topLinePunct w:val="0"/>
        <w:autoSpaceDE w:val="0"/>
        <w:autoSpaceDN/>
        <w:bidi w:val="0"/>
        <w:spacing w:beforeAutospacing="0" w:afterAutospacing="0" w:line="594" w:lineRule="exact"/>
        <w:ind w:firstLine="640" w:firstLineChars="200"/>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rPr>
        <w:t>本单位决算公开信息反馈和联系方式：</w:t>
      </w:r>
      <w:r>
        <w:rPr>
          <w:rFonts w:hint="default" w:ascii="Times New Roman" w:hAnsi="Times New Roman" w:eastAsia="方正仿宋_GBK" w:cs="Times New Roman"/>
          <w:color w:val="auto"/>
          <w:sz w:val="32"/>
          <w:szCs w:val="32"/>
          <w:shd w:val="clear" w:color="auto" w:fill="FFFFFF"/>
          <w:lang w:val="en-US" w:eastAsia="zh-CN"/>
        </w:rPr>
        <w:t>023-74582700。</w:t>
      </w:r>
    </w:p>
    <w:p>
      <w:pPr>
        <w:pStyle w:val="12"/>
        <w:keepNext w:val="0"/>
        <w:keepLines w:val="0"/>
        <w:pageBreakBefore w:val="0"/>
        <w:kinsoku/>
        <w:wordWrap/>
        <w:overflowPunct/>
        <w:topLinePunct w:val="0"/>
        <w:autoSpaceDE w:val="0"/>
        <w:autoSpaceDN/>
        <w:bidi w:val="0"/>
        <w:spacing w:beforeAutospacing="0" w:afterAutospacing="0" w:line="594" w:lineRule="exact"/>
        <w:ind w:firstLine="640" w:firstLineChars="200"/>
        <w:rPr>
          <w:rFonts w:hint="default" w:ascii="Times New Roman" w:hAnsi="Times New Roman" w:eastAsia="方正仿宋_GBK" w:cs="Times New Roman"/>
          <w:color w:val="auto"/>
          <w:sz w:val="32"/>
          <w:szCs w:val="32"/>
          <w:shd w:val="clear" w:color="auto" w:fill="FFFFFF"/>
          <w:lang w:val="en-US" w:eastAsia="zh-CN"/>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Chars="0" w:right="0" w:rightChars="0" w:firstLine="643" w:firstLineChars="200"/>
        <w:jc w:val="left"/>
        <w:rPr>
          <w:rStyle w:val="11"/>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8"/>
        <w:tblpPr w:leftFromText="180" w:rightFromText="180" w:vertAnchor="text" w:horzAnchor="page" w:tblpX="1058" w:tblpY="22"/>
        <w:tblOverlap w:val="never"/>
        <w:tblW w:w="14791" w:type="dxa"/>
        <w:tblInd w:w="0" w:type="dxa"/>
        <w:tblLayout w:type="fixed"/>
        <w:tblCellMar>
          <w:top w:w="0" w:type="dxa"/>
          <w:left w:w="0" w:type="dxa"/>
          <w:bottom w:w="0" w:type="dxa"/>
          <w:right w:w="0" w:type="dxa"/>
        </w:tblCellMar>
      </w:tblPr>
      <w:tblGrid>
        <w:gridCol w:w="4309"/>
        <w:gridCol w:w="3571"/>
        <w:gridCol w:w="4059"/>
        <w:gridCol w:w="2852"/>
      </w:tblGrid>
      <w:tr>
        <w:tblPrEx>
          <w:tblLayout w:type="fixed"/>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30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71"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u w:color="auto"/>
              </w:rPr>
              <w:t>垫江县鹤游镇文化服务中心</w:t>
            </w: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91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68.22</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46.17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71"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68.22</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68.22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5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68.22</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68.22</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8"/>
        <w:tblW w:w="15559" w:type="dxa"/>
        <w:tblInd w:w="0" w:type="dxa"/>
        <w:tblLayout w:type="fixed"/>
        <w:tblCellMar>
          <w:top w:w="0" w:type="dxa"/>
          <w:left w:w="0" w:type="dxa"/>
          <w:bottom w:w="0" w:type="dxa"/>
          <w:right w:w="0" w:type="dxa"/>
        </w:tblCellMar>
      </w:tblPr>
      <w:tblGrid>
        <w:gridCol w:w="1637"/>
        <w:gridCol w:w="3230"/>
        <w:gridCol w:w="1316"/>
        <w:gridCol w:w="1375"/>
        <w:gridCol w:w="1194"/>
        <w:gridCol w:w="1195"/>
        <w:gridCol w:w="1329"/>
        <w:gridCol w:w="1267"/>
        <w:gridCol w:w="1401"/>
        <w:gridCol w:w="1615"/>
      </w:tblGrid>
      <w:tr>
        <w:tblPrEx>
          <w:tblLayout w:type="fixed"/>
          <w:tblCellMar>
            <w:top w:w="0" w:type="dxa"/>
            <w:left w:w="0" w:type="dxa"/>
            <w:bottom w:w="0" w:type="dxa"/>
            <w:right w:w="0" w:type="dxa"/>
          </w:tblCellMar>
        </w:tblPrEx>
        <w:trPr>
          <w:trHeight w:val="641" w:hRule="atLeast"/>
        </w:trPr>
        <w:tc>
          <w:tcPr>
            <w:tcW w:w="15559"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6183"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u w:color="auto"/>
              </w:rPr>
              <w:t>垫江县鹤游镇文化服务中心</w:t>
            </w:r>
          </w:p>
        </w:tc>
        <w:tc>
          <w:tcPr>
            <w:tcW w:w="137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9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1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6183"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7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9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1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86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1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8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68.22</w:t>
            </w:r>
            <w:r>
              <w:rPr>
                <w:rFonts w:ascii="Times New Roman" w:hAnsi="Times New Roman"/>
                <w:b/>
                <w:color w:val="000000"/>
                <w:sz w:val="20"/>
                <w:u w:color="auto"/>
              </w:rPr>
              <w:t xml:space="preserve"> </w:t>
            </w:r>
          </w:p>
        </w:tc>
        <w:tc>
          <w:tcPr>
            <w:tcW w:w="13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68.22</w:t>
            </w:r>
            <w:r>
              <w:rPr>
                <w:rFonts w:ascii="Times New Roman" w:hAnsi="Times New Roman"/>
                <w:b/>
                <w:color w:val="000000"/>
                <w:sz w:val="20"/>
                <w:u w:color="auto"/>
              </w:rPr>
              <w:t xml:space="preserve"> </w:t>
            </w:r>
          </w:p>
        </w:tc>
        <w:tc>
          <w:tcPr>
            <w:tcW w:w="11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46.17</w:t>
            </w:r>
            <w:r>
              <w:rPr>
                <w:rFonts w:ascii="Times New Roman" w:hAnsi="Times New Roman"/>
                <w:b/>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46.17</w:t>
            </w:r>
            <w:r>
              <w:rPr>
                <w:rFonts w:ascii="Times New Roman" w:hAnsi="Times New Roman"/>
                <w:b/>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46.17</w:t>
            </w:r>
            <w:r>
              <w:rPr>
                <w:rFonts w:ascii="Times New Roman" w:hAnsi="Times New Roman"/>
                <w:b/>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46.17</w:t>
            </w:r>
            <w:r>
              <w:rPr>
                <w:rFonts w:ascii="Times New Roman" w:hAnsi="Times New Roman"/>
                <w:b/>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46.17</w:t>
            </w:r>
            <w:r>
              <w:rPr>
                <w:rFonts w:ascii="Times New Roman" w:hAnsi="Times New Roman"/>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46.17</w:t>
            </w:r>
            <w:r>
              <w:rPr>
                <w:rFonts w:ascii="Times New Roman" w:hAnsi="Times New Roman"/>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15.57</w:t>
            </w:r>
            <w:r>
              <w:rPr>
                <w:rFonts w:ascii="Times New Roman" w:hAnsi="Times New Roman"/>
                <w:b/>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15.57</w:t>
            </w:r>
            <w:r>
              <w:rPr>
                <w:rFonts w:ascii="Times New Roman" w:hAnsi="Times New Roman"/>
                <w:b/>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15.57</w:t>
            </w:r>
            <w:r>
              <w:rPr>
                <w:rFonts w:ascii="Times New Roman" w:hAnsi="Times New Roman"/>
                <w:b/>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15.57</w:t>
            </w:r>
            <w:r>
              <w:rPr>
                <w:rFonts w:ascii="Times New Roman" w:hAnsi="Times New Roman"/>
                <w:b/>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9.03</w:t>
            </w:r>
            <w:r>
              <w:rPr>
                <w:rFonts w:ascii="Times New Roman" w:hAnsi="Times New Roman"/>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9.03</w:t>
            </w:r>
            <w:r>
              <w:rPr>
                <w:rFonts w:ascii="Times New Roman" w:hAnsi="Times New Roman"/>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4.54</w:t>
            </w:r>
            <w:r>
              <w:rPr>
                <w:rFonts w:ascii="Times New Roman" w:hAnsi="Times New Roman"/>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4.54</w:t>
            </w:r>
            <w:r>
              <w:rPr>
                <w:rFonts w:ascii="Times New Roman" w:hAnsi="Times New Roman"/>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2.33</w:t>
            </w:r>
            <w:r>
              <w:rPr>
                <w:rFonts w:ascii="Times New Roman" w:hAnsi="Times New Roman"/>
                <w:b/>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2.33</w:t>
            </w:r>
            <w:r>
              <w:rPr>
                <w:rFonts w:ascii="Times New Roman" w:hAnsi="Times New Roman"/>
                <w:b/>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2.33</w:t>
            </w:r>
            <w:r>
              <w:rPr>
                <w:rFonts w:ascii="Times New Roman" w:hAnsi="Times New Roman"/>
                <w:b/>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2.33</w:t>
            </w:r>
            <w:r>
              <w:rPr>
                <w:rFonts w:ascii="Times New Roman" w:hAnsi="Times New Roman"/>
                <w:b/>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w:t>
            </w:r>
            <w:r>
              <w:rPr>
                <w:rFonts w:ascii="Times New Roman" w:hAnsi="Times New Roman"/>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w:t>
            </w:r>
            <w:r>
              <w:rPr>
                <w:rFonts w:ascii="Times New Roman" w:hAnsi="Times New Roman"/>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4.16</w:t>
            </w:r>
            <w:r>
              <w:rPr>
                <w:rFonts w:ascii="Times New Roman" w:hAnsi="Times New Roman"/>
                <w:b/>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4.16</w:t>
            </w:r>
            <w:r>
              <w:rPr>
                <w:rFonts w:ascii="Times New Roman" w:hAnsi="Times New Roman"/>
                <w:b/>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4.16</w:t>
            </w:r>
            <w:r>
              <w:rPr>
                <w:rFonts w:ascii="Times New Roman" w:hAnsi="Times New Roman"/>
                <w:b/>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4.16</w:t>
            </w:r>
            <w:r>
              <w:rPr>
                <w:rFonts w:ascii="Times New Roman" w:hAnsi="Times New Roman"/>
                <w:b/>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4.16</w:t>
            </w:r>
            <w:r>
              <w:rPr>
                <w:rFonts w:ascii="Times New Roman" w:hAnsi="Times New Roman"/>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4.16</w:t>
            </w:r>
            <w:r>
              <w:rPr>
                <w:rFonts w:ascii="Times New Roman" w:hAnsi="Times New Roman"/>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8"/>
        <w:tblW w:w="15378" w:type="dxa"/>
        <w:tblInd w:w="0" w:type="dxa"/>
        <w:tblLayout w:type="fixed"/>
        <w:tblCellMar>
          <w:top w:w="0" w:type="dxa"/>
          <w:left w:w="0" w:type="dxa"/>
          <w:bottom w:w="0" w:type="dxa"/>
          <w:right w:w="0" w:type="dxa"/>
        </w:tblCellMar>
      </w:tblPr>
      <w:tblGrid>
        <w:gridCol w:w="1637"/>
        <w:gridCol w:w="3543"/>
        <w:gridCol w:w="1652"/>
        <w:gridCol w:w="1701"/>
        <w:gridCol w:w="1634"/>
        <w:gridCol w:w="1566"/>
        <w:gridCol w:w="1701"/>
        <w:gridCol w:w="1944"/>
      </w:tblGrid>
      <w:tr>
        <w:tblPrEx>
          <w:tblLayout w:type="fixed"/>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83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垫江县鹤游镇文化服务中心 </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83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4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68.22</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68.22</w:t>
            </w:r>
            <w:r>
              <w:rPr>
                <w:rFonts w:ascii="Times New Roman" w:hAnsi="Times New Roman"/>
                <w:b/>
                <w:color w:val="000000"/>
                <w:sz w:val="20"/>
                <w:u w:color="auto"/>
              </w:rPr>
              <w:t xml:space="preserve"> </w:t>
            </w:r>
          </w:p>
        </w:tc>
        <w:tc>
          <w:tcPr>
            <w:tcW w:w="1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46.17</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46.17</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46.17</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46.17</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46.17</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46.17</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15.57</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15.57</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15.57</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15.57</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9.03</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9.03</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4.54</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4.54</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2.33</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2.33</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2.33</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2.33</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4.16</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4.16</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4.16</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4.16</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4.16</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4.16</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8"/>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tblPrEx>
          <w:tblLayout w:type="fixed"/>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垫江县鹤游镇文化服务中心</w:t>
            </w: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36"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68.22</w:t>
            </w: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46.17</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46.17</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15.57</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15.57</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2.33</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2.33</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4.16</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4.16</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68.22</w:t>
            </w: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68.22</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68.22</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68.22</w:t>
            </w: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68.22</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68.22</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15378" w:type="dxa"/>
        <w:tblInd w:w="0" w:type="dxa"/>
        <w:tblLayout w:type="fixed"/>
        <w:tblCellMar>
          <w:top w:w="0" w:type="dxa"/>
          <w:left w:w="0" w:type="dxa"/>
          <w:bottom w:w="0" w:type="dxa"/>
          <w:right w:w="0" w:type="dxa"/>
        </w:tblCellMar>
      </w:tblPr>
      <w:tblGrid>
        <w:gridCol w:w="1492"/>
        <w:gridCol w:w="3909"/>
        <w:gridCol w:w="3319"/>
        <w:gridCol w:w="3312"/>
        <w:gridCol w:w="3346"/>
      </w:tblGrid>
      <w:tr>
        <w:tblPrEx>
          <w:tblLayout w:type="fixed"/>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720"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垫江县鹤游镇文化服务中心</w:t>
            </w:r>
          </w:p>
        </w:tc>
        <w:tc>
          <w:tcPr>
            <w:tcW w:w="331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720"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1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4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7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9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40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68.22</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68.22</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46.17</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46.17</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46.17</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46.17</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46.17</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46.17</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15.57</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15.57</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15.57</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15.57</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9.03</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9.03</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4.54</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4.54</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2.33</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2.33</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2.33</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2.33</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2.33</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2.33</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4.16</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4.16</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4.16</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4.16</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4.16</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4.16</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8"/>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tblPrEx>
          <w:tblLayout w:type="fixed"/>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80"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垫江县鹤游镇文化服务中心</w:t>
            </w:r>
          </w:p>
        </w:tc>
        <w:tc>
          <w:tcPr>
            <w:tcW w:w="165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80"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5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2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2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2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62.90</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3.32</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11.23</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0.10</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2.03</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28.61</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0.16</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9.03</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0.60</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4.54</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2.33</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0.07</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2.13</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4.16</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0.48</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0.42</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0.03</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0.28</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0.02</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4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64.90</w:t>
            </w:r>
            <w:r>
              <w:rPr>
                <w:rFonts w:ascii="Times New Roman" w:hAnsi="Times New Roman"/>
                <w:color w:val="000000"/>
                <w:sz w:val="18"/>
                <w:u w:color="auto"/>
              </w:rPr>
              <w:t xml:space="preserve"> </w:t>
            </w:r>
          </w:p>
        </w:tc>
        <w:tc>
          <w:tcPr>
            <w:tcW w:w="8750"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3.32</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15378" w:type="dxa"/>
        <w:tblInd w:w="0" w:type="dxa"/>
        <w:tblLayout w:type="fixed"/>
        <w:tblCellMar>
          <w:top w:w="0" w:type="dxa"/>
          <w:left w:w="0" w:type="dxa"/>
          <w:bottom w:w="0" w:type="dxa"/>
          <w:right w:w="0" w:type="dxa"/>
        </w:tblCellMar>
      </w:tblPr>
      <w:tblGrid>
        <w:gridCol w:w="1642"/>
        <w:gridCol w:w="3297"/>
        <w:gridCol w:w="1707"/>
        <w:gridCol w:w="1707"/>
        <w:gridCol w:w="1707"/>
        <w:gridCol w:w="1707"/>
        <w:gridCol w:w="1772"/>
        <w:gridCol w:w="1839"/>
      </w:tblGrid>
      <w:tr>
        <w:tblPrEx>
          <w:tblLayout w:type="fixed"/>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46"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垫江县鹤游镇文化服务中心</w:t>
            </w: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46"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86"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7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3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8"/>
        <w:tblW w:w="15378" w:type="dxa"/>
        <w:tblInd w:w="0" w:type="dxa"/>
        <w:tblLayout w:type="fixed"/>
        <w:tblCellMar>
          <w:top w:w="0" w:type="dxa"/>
          <w:left w:w="0" w:type="dxa"/>
          <w:bottom w:w="0" w:type="dxa"/>
          <w:right w:w="0" w:type="dxa"/>
        </w:tblCellMar>
      </w:tblPr>
      <w:tblGrid>
        <w:gridCol w:w="2008"/>
        <w:gridCol w:w="2928"/>
        <w:gridCol w:w="3276"/>
        <w:gridCol w:w="200"/>
        <w:gridCol w:w="3475"/>
        <w:gridCol w:w="77"/>
        <w:gridCol w:w="3414"/>
      </w:tblGrid>
      <w:tr>
        <w:tblPrEx>
          <w:tblLayout w:type="fixed"/>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垫江县鹤游镇文化服务中心</w:t>
            </w: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4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2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91"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200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8"/>
        <w:tblW w:w="14182" w:type="dxa"/>
        <w:tblInd w:w="0" w:type="dxa"/>
        <w:tblLayout w:type="fixed"/>
        <w:tblCellMar>
          <w:top w:w="0" w:type="dxa"/>
          <w:left w:w="170" w:type="dxa"/>
          <w:bottom w:w="0" w:type="dxa"/>
          <w:right w:w="170" w:type="dxa"/>
        </w:tblCellMar>
      </w:tblPr>
      <w:tblGrid>
        <w:gridCol w:w="3190"/>
        <w:gridCol w:w="2425"/>
        <w:gridCol w:w="2384"/>
        <w:gridCol w:w="3687"/>
        <w:gridCol w:w="2496"/>
      </w:tblGrid>
      <w:tr>
        <w:tblPrEx>
          <w:tblLayout w:type="fixed"/>
          <w:tblCellMar>
            <w:top w:w="0" w:type="dxa"/>
            <w:left w:w="170" w:type="dxa"/>
            <w:bottom w:w="0" w:type="dxa"/>
            <w:right w:w="170" w:type="dxa"/>
          </w:tblCellMar>
        </w:tblPrEx>
        <w:trPr>
          <w:trHeight w:val="343" w:hRule="atLeast"/>
        </w:trPr>
        <w:tc>
          <w:tcPr>
            <w:tcW w:w="14182"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90"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25"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84"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87"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6"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61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垫江县鹤游镇文化服务中心</w:t>
            </w:r>
          </w:p>
        </w:tc>
        <w:tc>
          <w:tcPr>
            <w:tcW w:w="238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87"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6"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0.03</w:t>
            </w: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2.13</w:t>
            </w: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fldChar w:fldCharType="begin"/>
                          </w:r>
                          <w:r>
                            <w:instrText xml:space="preserve"> PAGE  \* MERGEFORMAT </w:instrText>
                          </w:r>
                          <w:r>
                            <w:fldChar w:fldCharType="separate"/>
                          </w:r>
                          <w:r>
                            <w:rPr>
                              <w:rFonts w:hint="default"/>
                            </w:rPr>
                            <w:t>- 23 -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466C9B"/>
    <w:rsid w:val="00550ABE"/>
    <w:rsid w:val="00770383"/>
    <w:rsid w:val="007819D4"/>
    <w:rsid w:val="007B419D"/>
    <w:rsid w:val="007B7C4B"/>
    <w:rsid w:val="007D3D39"/>
    <w:rsid w:val="00994AF7"/>
    <w:rsid w:val="009B67B8"/>
    <w:rsid w:val="009D2B67"/>
    <w:rsid w:val="00A566F9"/>
    <w:rsid w:val="00AF2751"/>
    <w:rsid w:val="00B03CCD"/>
    <w:rsid w:val="00BE2B89"/>
    <w:rsid w:val="00C10E9E"/>
    <w:rsid w:val="00C20C3E"/>
    <w:rsid w:val="00CF2ACF"/>
    <w:rsid w:val="00F73F90"/>
    <w:rsid w:val="00FB4B3B"/>
    <w:rsid w:val="01474EBF"/>
    <w:rsid w:val="01F3521E"/>
    <w:rsid w:val="02D24F2B"/>
    <w:rsid w:val="03A66CF9"/>
    <w:rsid w:val="03B87EA0"/>
    <w:rsid w:val="03E3214F"/>
    <w:rsid w:val="044C50BA"/>
    <w:rsid w:val="05BC6D49"/>
    <w:rsid w:val="06194FF1"/>
    <w:rsid w:val="06A2550B"/>
    <w:rsid w:val="06F80EE2"/>
    <w:rsid w:val="07001CCA"/>
    <w:rsid w:val="075678DB"/>
    <w:rsid w:val="079D7CC7"/>
    <w:rsid w:val="07F51E53"/>
    <w:rsid w:val="08051BCA"/>
    <w:rsid w:val="086C12F4"/>
    <w:rsid w:val="08705944"/>
    <w:rsid w:val="08BA052C"/>
    <w:rsid w:val="08DB07BA"/>
    <w:rsid w:val="0969353F"/>
    <w:rsid w:val="098305D0"/>
    <w:rsid w:val="0A3317EA"/>
    <w:rsid w:val="0A5C4B69"/>
    <w:rsid w:val="0A86124A"/>
    <w:rsid w:val="0AB54CC0"/>
    <w:rsid w:val="0B156E0E"/>
    <w:rsid w:val="0B9335CE"/>
    <w:rsid w:val="0BF2311A"/>
    <w:rsid w:val="0C2A5909"/>
    <w:rsid w:val="0C7927C4"/>
    <w:rsid w:val="0C9B098C"/>
    <w:rsid w:val="0D673E11"/>
    <w:rsid w:val="0DDA54E4"/>
    <w:rsid w:val="0E3A5F83"/>
    <w:rsid w:val="0ECA5B09"/>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E23A45"/>
    <w:rsid w:val="163A6CEE"/>
    <w:rsid w:val="16BD0DA8"/>
    <w:rsid w:val="173708E3"/>
    <w:rsid w:val="17C374FC"/>
    <w:rsid w:val="182E4AB6"/>
    <w:rsid w:val="189079DC"/>
    <w:rsid w:val="189B0D0B"/>
    <w:rsid w:val="18B43F7C"/>
    <w:rsid w:val="192A46E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9A4044"/>
    <w:rsid w:val="24B92327"/>
    <w:rsid w:val="24C14514"/>
    <w:rsid w:val="2533755C"/>
    <w:rsid w:val="25791755"/>
    <w:rsid w:val="26396DF4"/>
    <w:rsid w:val="26963DE9"/>
    <w:rsid w:val="27167136"/>
    <w:rsid w:val="271B442C"/>
    <w:rsid w:val="27A645B6"/>
    <w:rsid w:val="27B23302"/>
    <w:rsid w:val="29310A5F"/>
    <w:rsid w:val="29C37A35"/>
    <w:rsid w:val="2A076083"/>
    <w:rsid w:val="2A73162E"/>
    <w:rsid w:val="2B167953"/>
    <w:rsid w:val="2B200583"/>
    <w:rsid w:val="2B8209DE"/>
    <w:rsid w:val="2C636760"/>
    <w:rsid w:val="2C6762A3"/>
    <w:rsid w:val="2CBB3C97"/>
    <w:rsid w:val="2DAB11CE"/>
    <w:rsid w:val="2FCA4B37"/>
    <w:rsid w:val="2FE029D7"/>
    <w:rsid w:val="2FF06E00"/>
    <w:rsid w:val="30586FEC"/>
    <w:rsid w:val="315F0B22"/>
    <w:rsid w:val="31D84415"/>
    <w:rsid w:val="32285F6F"/>
    <w:rsid w:val="32770556"/>
    <w:rsid w:val="329C0913"/>
    <w:rsid w:val="32AA0460"/>
    <w:rsid w:val="332F5577"/>
    <w:rsid w:val="3337290D"/>
    <w:rsid w:val="33E31118"/>
    <w:rsid w:val="33EF7674"/>
    <w:rsid w:val="342D7BC6"/>
    <w:rsid w:val="352930DB"/>
    <w:rsid w:val="35573069"/>
    <w:rsid w:val="355F6038"/>
    <w:rsid w:val="358C217E"/>
    <w:rsid w:val="36C9128A"/>
    <w:rsid w:val="37841E99"/>
    <w:rsid w:val="37BF1123"/>
    <w:rsid w:val="37C77FF5"/>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5E49B8"/>
    <w:rsid w:val="3F694D83"/>
    <w:rsid w:val="3F885DCC"/>
    <w:rsid w:val="3FCD675E"/>
    <w:rsid w:val="4004000C"/>
    <w:rsid w:val="40BD5482"/>
    <w:rsid w:val="411B6CE5"/>
    <w:rsid w:val="412070D7"/>
    <w:rsid w:val="41314E40"/>
    <w:rsid w:val="41E0734B"/>
    <w:rsid w:val="42446DC3"/>
    <w:rsid w:val="426C1EA8"/>
    <w:rsid w:val="42736402"/>
    <w:rsid w:val="42E86A87"/>
    <w:rsid w:val="43307B09"/>
    <w:rsid w:val="439A3EB9"/>
    <w:rsid w:val="43BB152F"/>
    <w:rsid w:val="44C37687"/>
    <w:rsid w:val="45CB699A"/>
    <w:rsid w:val="45E2495B"/>
    <w:rsid w:val="465B470D"/>
    <w:rsid w:val="469D6AD4"/>
    <w:rsid w:val="46D20858"/>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42F4B"/>
    <w:rsid w:val="4F0C6BA3"/>
    <w:rsid w:val="4F186D58"/>
    <w:rsid w:val="50F06B6E"/>
    <w:rsid w:val="51D21804"/>
    <w:rsid w:val="51E776CB"/>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5A7783"/>
    <w:rsid w:val="578867FC"/>
    <w:rsid w:val="58164FC4"/>
    <w:rsid w:val="5842572D"/>
    <w:rsid w:val="594513DA"/>
    <w:rsid w:val="59E35B32"/>
    <w:rsid w:val="5A3B59D6"/>
    <w:rsid w:val="5AD134D8"/>
    <w:rsid w:val="5B9A01F8"/>
    <w:rsid w:val="5C263CE4"/>
    <w:rsid w:val="5C5D2777"/>
    <w:rsid w:val="5C904E37"/>
    <w:rsid w:val="5CF66BF3"/>
    <w:rsid w:val="5D290C69"/>
    <w:rsid w:val="5F2D4A41"/>
    <w:rsid w:val="5F724D09"/>
    <w:rsid w:val="60C74F6C"/>
    <w:rsid w:val="61025A59"/>
    <w:rsid w:val="613D5BBC"/>
    <w:rsid w:val="61536C39"/>
    <w:rsid w:val="62045CCD"/>
    <w:rsid w:val="62944DD7"/>
    <w:rsid w:val="6319381F"/>
    <w:rsid w:val="63C25DC5"/>
    <w:rsid w:val="63C62057"/>
    <w:rsid w:val="64571EF5"/>
    <w:rsid w:val="64FB113D"/>
    <w:rsid w:val="656152C6"/>
    <w:rsid w:val="6587477F"/>
    <w:rsid w:val="658C3A08"/>
    <w:rsid w:val="65C031CA"/>
    <w:rsid w:val="65CE6852"/>
    <w:rsid w:val="66267C04"/>
    <w:rsid w:val="663F505A"/>
    <w:rsid w:val="66EE5541"/>
    <w:rsid w:val="672D5683"/>
    <w:rsid w:val="67924660"/>
    <w:rsid w:val="68407834"/>
    <w:rsid w:val="6883293E"/>
    <w:rsid w:val="688412AD"/>
    <w:rsid w:val="68EB1B71"/>
    <w:rsid w:val="6A442117"/>
    <w:rsid w:val="6A5A7562"/>
    <w:rsid w:val="6A6C7940"/>
    <w:rsid w:val="6AAD2300"/>
    <w:rsid w:val="6AC0054A"/>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42979E4"/>
    <w:rsid w:val="750837F0"/>
    <w:rsid w:val="754758CF"/>
    <w:rsid w:val="764F62AB"/>
    <w:rsid w:val="765C45EC"/>
    <w:rsid w:val="768A7619"/>
    <w:rsid w:val="772E1EBA"/>
    <w:rsid w:val="781926BC"/>
    <w:rsid w:val="7912699F"/>
    <w:rsid w:val="796D60A4"/>
    <w:rsid w:val="798B4A9B"/>
    <w:rsid w:val="79A031D5"/>
    <w:rsid w:val="7A1525F7"/>
    <w:rsid w:val="7B420052"/>
    <w:rsid w:val="7BD06A28"/>
    <w:rsid w:val="7C3A7C0B"/>
    <w:rsid w:val="7C5248E4"/>
    <w:rsid w:val="7C566698"/>
    <w:rsid w:val="7C5866A3"/>
    <w:rsid w:val="7C866C7A"/>
    <w:rsid w:val="7D7406BB"/>
    <w:rsid w:val="7DE94331"/>
    <w:rsid w:val="7E5E63BF"/>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next w:val="1"/>
    <w:unhideWhenUsed/>
    <w:qFormat/>
    <w:uiPriority w:val="0"/>
    <w:pPr>
      <w:ind w:firstLine="420" w:firstLineChars="200"/>
    </w:pPr>
    <w:rPr>
      <w:rFonts w:cs="Calibri"/>
      <w:szCs w:val="21"/>
    </w:r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10"/>
    <w:link w:val="3"/>
    <w:qFormat/>
    <w:uiPriority w:val="0"/>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BE9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5470</Words>
  <Characters>6396</Characters>
  <Lines>190</Lines>
  <Paragraphs>53</Paragraphs>
  <TotalTime>0</TotalTime>
  <ScaleCrop>false</ScaleCrop>
  <LinksUpToDate>false</LinksUpToDate>
  <CharactersWithSpaces>6597</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汪涛</cp:lastModifiedBy>
  <dcterms:modified xsi:type="dcterms:W3CDTF">2025-09-18T01:54:40Z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3B54799F311C4D1BBF87184515A8CA0B_13</vt:lpwstr>
  </property>
  <property fmtid="{D5CDD505-2E9C-101B-9397-08002B2CF9AE}" pid="4" name="KSOTemplateDocerSaveRecord">
    <vt:lpwstr>eyJoZGlkIjoiNjM0Zjk5YTc4NjQ1NmYyOGViZjRkNWIzZWJhYTE3YWEiLCJ1c2VySWQiOiIzODk0NTM2OTAifQ==</vt:lpwstr>
  </property>
</Properties>
</file>