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垫江县鹤游镇综合行政执法大队</w:t>
      </w: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keepNext w:val="0"/>
        <w:keepLines w:val="0"/>
        <w:pageBreakBefore w:val="0"/>
        <w:widowControl/>
        <w:shd w:val="clear" w:color="auto" w:fill="FFFFFF"/>
        <w:kinsoku/>
        <w:overflowPunct/>
        <w:topLinePunct w:val="0"/>
        <w:autoSpaceDN/>
        <w:bidi w:val="0"/>
        <w:adjustRightInd/>
        <w:spacing w:before="100" w:beforeAutospacing="0" w:after="0" w:afterAutospacing="0" w:line="594" w:lineRule="exact"/>
        <w:ind w:left="0"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宗旨：弘扬法治精神，建设法治政府、法治社会。主要职责：负责配合综合行政执法办公室做好有关农林水利、规划建设、卫生健康、市容环卫、环境保护、文化旅游、民政管理、消防等方面的执法工作。</w:t>
      </w:r>
    </w:p>
    <w:p>
      <w:pPr>
        <w:keepNext w:val="0"/>
        <w:keepLines w:val="0"/>
        <w:pageBreakBefore w:val="0"/>
        <w:widowControl/>
        <w:shd w:val="clear" w:color="auto" w:fill="FFFFFF"/>
        <w:kinsoku/>
        <w:overflowPunct/>
        <w:topLinePunct w:val="0"/>
        <w:autoSpaceDN/>
        <w:bidi w:val="0"/>
        <w:adjustRightInd/>
        <w:spacing w:before="100" w:beforeAutospacing="0" w:after="0" w:afterAutospacing="0" w:line="594" w:lineRule="exact"/>
        <w:ind w:left="0" w:firstLine="643" w:firstLineChars="200"/>
        <w:rPr>
          <w:rFonts w:hint="default" w:ascii="Times New Roman" w:hAnsi="Times New Roman" w:eastAsia="楷体" w:cs="Times New Roman"/>
          <w:color w:val="auto"/>
          <w:sz w:val="32"/>
          <w:szCs w:val="32"/>
          <w:lang w:val="en-US" w:eastAsia="zh-CN" w:bidi="ar-SA"/>
        </w:rPr>
      </w:pPr>
      <w:r>
        <w:rPr>
          <w:rStyle w:val="10"/>
          <w:rFonts w:hint="default" w:ascii="Times New Roman" w:hAnsi="Times New Roman" w:eastAsia="楷体" w:cs="Times New Roman"/>
          <w:color w:val="auto"/>
          <w:sz w:val="32"/>
          <w:szCs w:val="32"/>
          <w:shd w:val="clear" w:color="auto" w:fill="FFFFFF"/>
          <w:lang w:val="en-US" w:eastAsia="zh-CN" w:bidi="ar-SA"/>
        </w:rPr>
        <w:t>（二）机构设置</w:t>
      </w:r>
    </w:p>
    <w:p>
      <w:pPr>
        <w:keepNext w:val="0"/>
        <w:keepLines w:val="0"/>
        <w:pageBreakBefore w:val="0"/>
        <w:widowControl/>
        <w:shd w:val="clear" w:color="auto" w:fill="FFFFFF"/>
        <w:kinsoku/>
        <w:overflowPunct/>
        <w:topLinePunct w:val="0"/>
        <w:autoSpaceDN/>
        <w:bidi w:val="0"/>
        <w:adjustRightInd/>
        <w:spacing w:before="100" w:beforeAutospacing="0" w:after="0" w:afterAutospacing="0" w:line="594" w:lineRule="exact"/>
        <w:ind w:left="0"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1.事业单位1个。综合行政执法大队。</w:t>
      </w:r>
    </w:p>
    <w:p>
      <w:pPr>
        <w:keepNext w:val="0"/>
        <w:keepLines w:val="0"/>
        <w:pageBreakBefore w:val="0"/>
        <w:widowControl/>
        <w:shd w:val="clear" w:color="auto" w:fill="FFFFFF"/>
        <w:kinsoku/>
        <w:overflowPunct/>
        <w:topLinePunct w:val="0"/>
        <w:autoSpaceDN/>
        <w:bidi w:val="0"/>
        <w:adjustRightInd/>
        <w:spacing w:before="100" w:beforeAutospacing="0" w:after="0" w:afterAutospacing="0" w:line="594" w:lineRule="exact"/>
        <w:ind w:left="0"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2.人员情况：2023年末垫江县鹤游镇综合行政执法大队。编制5人，实有在职职工</w:t>
      </w:r>
      <w:r>
        <w:rPr>
          <w:rFonts w:hint="eastAsia" w:ascii="Times New Roman" w:hAnsi="Times New Roman" w:eastAsia="方正仿宋_GBK" w:cs="Times New Roman"/>
          <w:color w:val="auto"/>
          <w:sz w:val="32"/>
          <w:szCs w:val="32"/>
          <w:shd w:val="clear" w:color="auto" w:fill="FFFFFF"/>
          <w:lang w:val="en-US" w:eastAsia="zh-CN" w:bidi="ar-SA"/>
        </w:rPr>
        <w:t>5</w:t>
      </w:r>
      <w:r>
        <w:rPr>
          <w:rFonts w:hint="default" w:ascii="Times New Roman" w:hAnsi="Times New Roman" w:eastAsia="方正仿宋_GBK" w:cs="Times New Roman"/>
          <w:color w:val="auto"/>
          <w:sz w:val="32"/>
          <w:szCs w:val="32"/>
          <w:shd w:val="clear" w:color="auto" w:fill="FFFFFF"/>
          <w:lang w:val="en-US" w:eastAsia="zh-CN" w:bidi="ar-SA"/>
        </w:rPr>
        <w:t>人。较上年增加1人，因机构改革，卫生监督所转隶职工1名，新招录人员1名，退休1名。</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度收入总计96.42万元，支出总计</w:t>
      </w:r>
      <w:r>
        <w:rPr>
          <w:rFonts w:hint="default" w:ascii="Times New Roman" w:hAnsi="Times New Roman" w:eastAsia="方正仿宋_GBK" w:cs="Times New Roman"/>
          <w:sz w:val="32"/>
          <w:szCs w:val="32"/>
        </w:rPr>
        <w:t>96.42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与2023年度相比，增加16.19万元，增长20.18%，主要原因是</w:t>
      </w:r>
      <w:r>
        <w:rPr>
          <w:rFonts w:hint="eastAsia" w:ascii="Times New Roman" w:hAnsi="Times New Roman" w:eastAsia="方正仿宋_GBK" w:cs="Times New Roman"/>
          <w:sz w:val="32"/>
          <w:szCs w:val="32"/>
          <w:shd w:val="clear" w:color="auto" w:fill="FFFFFF"/>
          <w:lang w:eastAsia="zh-CN"/>
        </w:rPr>
        <w:t>人员变动，工资绩效等支出增加，</w:t>
      </w:r>
      <w:r>
        <w:rPr>
          <w:rFonts w:hint="default" w:ascii="Times New Roman" w:hAnsi="Times New Roman" w:eastAsia="方正仿宋_GBK" w:cs="Times New Roman"/>
          <w:color w:val="auto"/>
          <w:sz w:val="32"/>
          <w:szCs w:val="32"/>
          <w:shd w:val="clear" w:color="auto" w:fill="FFFFFF"/>
          <w:lang w:eastAsia="zh-CN"/>
        </w:rPr>
        <w:t>补缴事业人员养老保险、职业年金等费用。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度收入合计96.42万元，与2023年度相比，增加16.19万元，增长20.18%，主要原因是</w:t>
      </w:r>
      <w:r>
        <w:rPr>
          <w:rFonts w:hint="default" w:ascii="Times New Roman" w:hAnsi="Times New Roman" w:eastAsia="方正仿宋_GBK" w:cs="Times New Roman"/>
          <w:color w:val="auto"/>
          <w:sz w:val="32"/>
          <w:szCs w:val="32"/>
          <w:shd w:val="clear" w:color="auto" w:fill="FFFFFF"/>
          <w:lang w:eastAsia="zh-CN"/>
        </w:rPr>
        <w:t>人员变动，工资绩效等支出增加</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96.42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96.42</w:t>
      </w:r>
      <w:r>
        <w:rPr>
          <w:rFonts w:hint="default" w:ascii="Times New Roman" w:hAnsi="Times New Roman" w:eastAsia="方正仿宋_GBK" w:cs="Times New Roman"/>
          <w:sz w:val="32"/>
          <w:szCs w:val="32"/>
          <w:shd w:val="clear" w:color="auto" w:fill="FFFFFF"/>
        </w:rPr>
        <w:t>万元，与2023年度相比，增加16.19万元，增长20.18%，主要原因是</w:t>
      </w:r>
      <w:r>
        <w:rPr>
          <w:rFonts w:hint="default" w:ascii="Times New Roman" w:hAnsi="Times New Roman" w:eastAsia="方正仿宋_GBK" w:cs="Times New Roman"/>
          <w:sz w:val="32"/>
          <w:szCs w:val="32"/>
          <w:shd w:val="clear" w:color="auto" w:fill="FFFFFF"/>
          <w:lang w:eastAsia="zh-CN"/>
        </w:rPr>
        <w:t>人员变动，工资绩效等支出增加</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96.42</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sz w:val="32"/>
          <w:szCs w:val="32"/>
          <w:shd w:val="clear" w:color="auto" w:fill="FFFFFF"/>
        </w:rPr>
        <w:t>，占100.00%；项目支出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上年和本年均无结转结余。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度财政拨款</w:t>
      </w:r>
      <w:r>
        <w:rPr>
          <w:rFonts w:hint="eastAsia" w:ascii="Times New Roman" w:hAnsi="Times New Roman" w:eastAsia="方正仿宋_GBK" w:cs="Times New Roman"/>
          <w:color w:val="auto"/>
          <w:sz w:val="32"/>
          <w:szCs w:val="32"/>
          <w:shd w:val="clear" w:color="auto" w:fill="FFFFFF"/>
          <w:lang w:eastAsia="zh-CN"/>
        </w:rPr>
        <w:t>收支</w:t>
      </w:r>
      <w:r>
        <w:rPr>
          <w:rFonts w:hint="default" w:ascii="Times New Roman" w:hAnsi="Times New Roman" w:eastAsia="方正仿宋_GBK" w:cs="Times New Roman"/>
          <w:color w:val="auto"/>
          <w:sz w:val="32"/>
          <w:szCs w:val="32"/>
          <w:shd w:val="clear" w:color="auto" w:fill="FFFFFF"/>
        </w:rPr>
        <w:t>总计96.42万元。与202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年相比，财政拨款</w:t>
      </w:r>
      <w:r>
        <w:rPr>
          <w:rFonts w:hint="eastAsia" w:ascii="Times New Roman" w:hAnsi="Times New Roman" w:eastAsia="方正仿宋_GBK" w:cs="Times New Roman"/>
          <w:color w:val="auto"/>
          <w:sz w:val="32"/>
          <w:szCs w:val="32"/>
          <w:shd w:val="clear" w:color="auto" w:fill="FFFFFF"/>
          <w:lang w:eastAsia="zh-CN"/>
        </w:rPr>
        <w:t>收支</w:t>
      </w:r>
      <w:r>
        <w:rPr>
          <w:rFonts w:hint="default" w:ascii="Times New Roman" w:hAnsi="Times New Roman" w:eastAsia="方正仿宋_GBK" w:cs="Times New Roman"/>
          <w:color w:val="auto"/>
          <w:sz w:val="32"/>
          <w:szCs w:val="32"/>
          <w:shd w:val="clear" w:color="auto" w:fill="FFFFFF"/>
        </w:rPr>
        <w:t>总计各增加16.19万元，增长20.18%。主要原因是</w:t>
      </w:r>
      <w:r>
        <w:rPr>
          <w:rFonts w:hint="default" w:ascii="Times New Roman" w:hAnsi="Times New Roman" w:eastAsia="方正仿宋_GBK" w:cs="Times New Roman"/>
          <w:color w:val="auto"/>
          <w:sz w:val="32"/>
          <w:szCs w:val="32"/>
          <w:shd w:val="clear" w:color="auto" w:fill="FFFFFF"/>
          <w:lang w:eastAsia="zh-CN"/>
        </w:rPr>
        <w:t>人员变动，工资绩效等支出增加</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补缴事业人员养老保险、职业年金等费用。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w:t>
      </w:r>
      <w:r>
        <w:rPr>
          <w:rFonts w:hint="default" w:ascii="Times New Roman" w:hAnsi="Times New Roman" w:eastAsia="楷体" w:cs="Times New Roman"/>
          <w:b/>
          <w:bCs/>
          <w:sz w:val="32"/>
          <w:szCs w:val="32"/>
          <w:shd w:val="clear" w:color="auto" w:fill="FFFFFF"/>
        </w:rPr>
        <w:t>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96.42</w:t>
      </w:r>
      <w:r>
        <w:rPr>
          <w:rFonts w:hint="default" w:ascii="Times New Roman" w:hAnsi="Times New Roman" w:eastAsia="方正仿宋_GBK" w:cs="Times New Roman"/>
          <w:sz w:val="32"/>
          <w:szCs w:val="32"/>
          <w:shd w:val="clear" w:color="auto" w:fill="FFFFFF"/>
        </w:rPr>
        <w:t>万</w:t>
      </w:r>
      <w:r>
        <w:rPr>
          <w:rFonts w:hint="default" w:ascii="Times New Roman" w:hAnsi="Times New Roman" w:eastAsia="方正仿宋_GBK" w:cs="Times New Roman"/>
          <w:color w:val="auto"/>
          <w:sz w:val="32"/>
          <w:szCs w:val="32"/>
          <w:shd w:val="clear" w:color="auto" w:fill="FFFFFF"/>
        </w:rPr>
        <w:t>元，与2023年度相比，增加16.19万元，增长20.18%。主要原因是</w:t>
      </w:r>
      <w:r>
        <w:rPr>
          <w:rFonts w:hint="default" w:ascii="Times New Roman" w:hAnsi="Times New Roman" w:eastAsia="方正仿宋_GBK" w:cs="Times New Roman"/>
          <w:color w:val="auto"/>
          <w:sz w:val="32"/>
          <w:szCs w:val="32"/>
          <w:shd w:val="clear" w:color="auto" w:fill="FFFFFF"/>
          <w:lang w:eastAsia="zh-CN"/>
        </w:rPr>
        <w:t>人员变动，工资绩效等支出增加</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。较年初预算数增加16.98万元，增长21.37%。主要原因是</w:t>
      </w:r>
      <w:r>
        <w:rPr>
          <w:rFonts w:hint="default" w:ascii="Times New Roman" w:hAnsi="Times New Roman" w:eastAsia="方正仿宋_GBK" w:cs="Times New Roman"/>
          <w:color w:val="auto"/>
          <w:sz w:val="32"/>
          <w:szCs w:val="32"/>
          <w:shd w:val="clear" w:color="auto" w:fill="FFFFFF"/>
          <w:lang w:eastAsia="zh-CN"/>
        </w:rPr>
        <w:t>人员变动，工资绩效等支出增加</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此外</w:t>
      </w:r>
      <w:r>
        <w:rPr>
          <w:rFonts w:hint="default" w:ascii="Times New Roman" w:hAnsi="Times New Roman" w:eastAsia="方正仿宋_GBK" w:cs="Times New Roman"/>
          <w:sz w:val="32"/>
          <w:szCs w:val="32"/>
          <w:shd w:val="clear" w:color="auto" w:fill="FFFFFF"/>
        </w:rPr>
        <w:t>，年初财政拨款结转和结余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96.42</w:t>
      </w:r>
      <w:r>
        <w:rPr>
          <w:rFonts w:hint="default" w:ascii="Times New Roman" w:hAnsi="Times New Roman" w:eastAsia="方正仿宋_GBK" w:cs="Times New Roman"/>
          <w:sz w:val="32"/>
          <w:szCs w:val="32"/>
          <w:shd w:val="clear" w:color="auto" w:fill="FFFFFF"/>
        </w:rPr>
        <w:t>万元，与2023年度相比，增加16.19万元，增长20.18%。主要原因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人员变动，工资绩效等支出增加</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较年初预算数增加16.98万元，增长21.37%。主要原因是</w:t>
      </w:r>
      <w:r>
        <w:rPr>
          <w:rFonts w:hint="default" w:ascii="Times New Roman" w:hAnsi="Times New Roman" w:eastAsia="方正仿宋_GBK" w:cs="Times New Roman"/>
          <w:color w:val="auto"/>
          <w:sz w:val="32"/>
          <w:szCs w:val="32"/>
          <w:shd w:val="clear" w:color="auto" w:fill="FFFFFF"/>
          <w:lang w:eastAsia="zh-CN"/>
        </w:rPr>
        <w:t>人员变动，工资绩效等支出增加</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补缴事业人员养老保险、职业年金等费用。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上年和本年均无结转结余。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20.39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21.15</w:t>
      </w:r>
      <w:r>
        <w:rPr>
          <w:rFonts w:hint="default" w:ascii="Times New Roman" w:hAnsi="Times New Roman" w:eastAsia="方正仿宋_GBK" w:cs="Times New Roman"/>
          <w:sz w:val="32"/>
          <w:szCs w:val="32"/>
          <w:shd w:val="clear" w:color="auto" w:fill="FFFFFF"/>
        </w:rPr>
        <w:t>%，较年初预算数增加13.00万元，增长175.91%，主要原因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人员变动，工资绩效等支出增加</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补缴事业人员养老保险、职业年金等费用。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3.17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3.29</w:t>
      </w:r>
      <w:r>
        <w:rPr>
          <w:rFonts w:hint="default" w:ascii="Times New Roman" w:hAnsi="Times New Roman" w:eastAsia="方正仿宋_GBK" w:cs="Times New Roman"/>
          <w:color w:val="auto"/>
          <w:sz w:val="32"/>
          <w:szCs w:val="32"/>
          <w:shd w:val="clear" w:color="auto" w:fill="FFFFFF"/>
        </w:rPr>
        <w:t>%，较年初预算数增加0.09万元，增长2.92%，主要原因是</w:t>
      </w:r>
      <w:r>
        <w:rPr>
          <w:rFonts w:hint="default" w:ascii="Times New Roman" w:hAnsi="Times New Roman" w:eastAsia="方正仿宋_GBK" w:cs="Times New Roman"/>
          <w:color w:val="auto"/>
          <w:sz w:val="32"/>
          <w:szCs w:val="32"/>
          <w:shd w:val="clear" w:color="auto" w:fill="FFFFFF"/>
          <w:lang w:eastAsia="zh-CN"/>
        </w:rPr>
        <w:t>事业人员医疗保险费用支出</w:t>
      </w:r>
      <w:r>
        <w:rPr>
          <w:rFonts w:hint="eastAsia" w:ascii="Times New Roman" w:hAnsi="Times New Roman" w:eastAsia="方正仿宋_GBK" w:cs="Times New Roman"/>
          <w:color w:val="auto"/>
          <w:sz w:val="32"/>
          <w:szCs w:val="32"/>
          <w:shd w:val="clear" w:color="auto" w:fill="FFFFFF"/>
          <w:lang w:eastAsia="zh-CN"/>
        </w:rPr>
        <w:t>增加</w:t>
      </w:r>
      <w:r>
        <w:rPr>
          <w:rFonts w:hint="default" w:ascii="Times New Roman" w:hAnsi="Times New Roman" w:eastAsia="方正仿宋_GBK" w:cs="Times New Roman"/>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）城乡社区支出</w:t>
      </w:r>
      <w:r>
        <w:rPr>
          <w:rFonts w:hint="default" w:ascii="Times New Roman" w:hAnsi="Times New Roman" w:eastAsia="方正仿宋_GBK" w:cs="Times New Roman"/>
          <w:color w:val="auto"/>
          <w:sz w:val="32"/>
          <w:szCs w:val="32"/>
        </w:rPr>
        <w:t>66.97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69.45</w:t>
      </w:r>
      <w:r>
        <w:rPr>
          <w:rFonts w:hint="default" w:ascii="Times New Roman" w:hAnsi="Times New Roman" w:eastAsia="方正仿宋_GBK" w:cs="Times New Roman"/>
          <w:color w:val="auto"/>
          <w:sz w:val="32"/>
          <w:szCs w:val="32"/>
          <w:shd w:val="clear" w:color="auto" w:fill="FFFFFF"/>
        </w:rPr>
        <w:t>%，较年初预算数增加1.68万元，增长2.57%，主要原因是</w:t>
      </w:r>
      <w:r>
        <w:rPr>
          <w:rFonts w:hint="eastAsia" w:ascii="Times New Roman" w:hAnsi="Times New Roman" w:eastAsia="方正仿宋_GBK" w:cs="Times New Roman"/>
          <w:color w:val="auto"/>
          <w:sz w:val="32"/>
          <w:szCs w:val="32"/>
          <w:shd w:val="clear" w:color="auto" w:fill="FFFFFF"/>
          <w:lang w:eastAsia="zh-CN"/>
        </w:rPr>
        <w:t>人员变动，工资绩效等支出增加。</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住房保障支出5.89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6.11</w:t>
      </w:r>
      <w:r>
        <w:rPr>
          <w:rFonts w:hint="default" w:ascii="Times New Roman" w:hAnsi="Times New Roman" w:eastAsia="方正仿宋_GBK" w:cs="Times New Roman"/>
          <w:color w:val="auto"/>
          <w:sz w:val="32"/>
          <w:szCs w:val="32"/>
          <w:shd w:val="clear" w:color="auto" w:fill="FFFFFF"/>
        </w:rPr>
        <w:t>%，较年初预算数增加2.20万元，增长59.62%，主要原因是</w:t>
      </w:r>
      <w:r>
        <w:rPr>
          <w:rFonts w:hint="default" w:ascii="Times New Roman" w:hAnsi="Times New Roman" w:eastAsia="方正仿宋_GBK" w:cs="Times New Roman"/>
          <w:color w:val="auto"/>
          <w:sz w:val="32"/>
          <w:szCs w:val="32"/>
          <w:shd w:val="clear" w:color="auto" w:fill="FFFFFF"/>
          <w:lang w:eastAsia="zh-CN"/>
        </w:rPr>
        <w:t>人员变动，住房保障支出增加。</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96.42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91.10</w:t>
      </w:r>
      <w:r>
        <w:rPr>
          <w:rFonts w:hint="default" w:ascii="Times New Roman" w:hAnsi="Times New Roman" w:eastAsia="方正仿宋_GBK" w:cs="Times New Roman"/>
          <w:sz w:val="32"/>
          <w:szCs w:val="32"/>
          <w:shd w:val="clear" w:color="auto" w:fill="FFFFFF"/>
        </w:rPr>
        <w:t>万元，与2023年度相比，增加17.52万元，增长23.81%，</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补缴事业人员养老保险和职业年金等</w:t>
      </w:r>
      <w:r>
        <w:rPr>
          <w:rFonts w:hint="default" w:ascii="Times New Roman" w:hAnsi="Times New Roman" w:eastAsia="方正仿宋_GBK" w:cs="Times New Roman"/>
          <w:color w:val="auto"/>
          <w:sz w:val="32"/>
          <w:szCs w:val="32"/>
          <w:shd w:val="clear" w:color="auto" w:fill="FFFFFF"/>
        </w:rPr>
        <w:t>。人员经费用途主要包括基本工资、津贴补贴、奖金、绩效工资、伙食补助费、养老保险、职业年金、医疗保障缴费、其他工资福利支出等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5.32</w:t>
      </w:r>
      <w:r>
        <w:rPr>
          <w:rFonts w:hint="default" w:ascii="Times New Roman" w:hAnsi="Times New Roman" w:eastAsia="方正仿宋_GBK" w:cs="Times New Roman"/>
          <w:color w:val="auto"/>
          <w:sz w:val="32"/>
          <w:szCs w:val="32"/>
          <w:shd w:val="clear" w:color="auto" w:fill="FFFFFF"/>
        </w:rPr>
        <w:t>万元，与2023年度相比，减少1.33万元，下降20.00%，主要原因是</w:t>
      </w:r>
      <w:r>
        <w:rPr>
          <w:rFonts w:hint="default" w:ascii="Times New Roman" w:hAnsi="Times New Roman" w:eastAsia="方正仿宋_GBK" w:cs="Times New Roman"/>
          <w:color w:val="auto"/>
          <w:sz w:val="32"/>
          <w:szCs w:val="32"/>
          <w:shd w:val="clear" w:color="auto" w:fill="FFFFFF"/>
          <w:lang w:eastAsia="zh-CN"/>
        </w:rPr>
        <w:t>厉行节约，压缩公用经费开支</w:t>
      </w:r>
      <w:r>
        <w:rPr>
          <w:rFonts w:hint="default" w:ascii="Times New Roman" w:hAnsi="Times New Roman" w:eastAsia="方正仿宋_GBK" w:cs="Times New Roman"/>
          <w:color w:val="auto"/>
          <w:sz w:val="32"/>
          <w:szCs w:val="32"/>
          <w:shd w:val="clear" w:color="auto" w:fill="FFFFFF"/>
        </w:rPr>
        <w:t>。公用经费用途主要包括办公费、印刷费、水费、 电费、差旅费、维修费、 劳务费、委托业务费、工会经费、其他商品服务支出等组成。</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w:t>
      </w:r>
      <w:r>
        <w:rPr>
          <w:rFonts w:hint="default" w:ascii="Times New Roman" w:hAnsi="Times New Roman" w:eastAsia="方正仿宋_GBK" w:cs="Times New Roman"/>
          <w:sz w:val="32"/>
          <w:szCs w:val="32"/>
          <w:shd w:val="clear" w:color="auto" w:fill="FFFFFF"/>
          <w:lang w:val="en-US" w:eastAsia="zh-CN"/>
        </w:rPr>
        <w:t>2024年度无政府性基金预算财政拨款收支。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2024年度“三公”经费支出共计0.00万元，较年初预算数无增减，主要原因是我单位</w:t>
      </w:r>
      <w:r>
        <w:rPr>
          <w:rFonts w:hint="default" w:ascii="Times New Roman" w:hAnsi="Times New Roman" w:eastAsia="方正仿宋_GBK" w:cs="Times New Roman"/>
          <w:sz w:val="32"/>
          <w:szCs w:val="32"/>
          <w:shd w:val="clear" w:color="auto" w:fill="FFFFFF"/>
          <w:lang w:val="en-US" w:eastAsia="zh-CN"/>
        </w:rPr>
        <w:t>2024年未发生“三公”经费支出</w:t>
      </w:r>
      <w:r>
        <w:rPr>
          <w:rFonts w:hint="default" w:ascii="Times New Roman" w:hAnsi="Times New Roman" w:eastAsia="方正仿宋_GBK" w:cs="Times New Roman"/>
          <w:sz w:val="32"/>
          <w:szCs w:val="32"/>
          <w:shd w:val="clear" w:color="auto" w:fill="FFFFFF"/>
          <w:lang w:eastAsia="zh-CN"/>
        </w:rPr>
        <w:t>。较上年支出数无增减，主要原因是我单位本年及上年均未发生“三公”经费支出。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 公务车购置费0.00万元。费用支出较年初预算数无增减，主要原因是年初预算数未安排且本年未发生公务车购置费用。较上年支出数无增减，主要原因是上年和本年均未发生公务车购置费用。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 公务接待费0.00万元。费用支出较年初预算数无增减，主要原因是年初预算数未安排且本年未发生公务接待费用。较上年支出数无增减，主要原因是上年和本年均未发生公务接待费用。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上年和本年均未发生会议费支出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0.04</w:t>
      </w:r>
      <w:r>
        <w:rPr>
          <w:rFonts w:hint="default" w:ascii="Times New Roman" w:hAnsi="Times New Roman" w:eastAsia="方正仿宋_GBK" w:cs="Times New Roman"/>
          <w:sz w:val="32"/>
          <w:szCs w:val="32"/>
          <w:shd w:val="clear" w:color="auto" w:fill="FFFFFF"/>
        </w:rPr>
        <w:t>万元，与2023年度相比，增加0.04万元，增长100.00%，主要原因是</w:t>
      </w:r>
      <w:r>
        <w:rPr>
          <w:rFonts w:hint="default" w:ascii="Times New Roman" w:hAnsi="Times New Roman" w:eastAsia="方正仿宋_GBK" w:cs="Times New Roman"/>
          <w:sz w:val="32"/>
          <w:szCs w:val="32"/>
          <w:shd w:val="clear" w:color="auto" w:fill="FFFFFF"/>
          <w:lang w:eastAsia="zh-CN"/>
        </w:rPr>
        <w:t>增加专技人员公需科目培训、事业人员在岗培训费用。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2024年度本单位机关运行经费支出0.00万元，机关运行经费较上年支出数无增减，主要原因是按照部门决算列报口径，我单位不在机关运行经费统计范围之内。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pPr>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（一）单位自评情况</w:t>
      </w:r>
    </w:p>
    <w:p>
      <w:pPr>
        <w:keepNext w:val="0"/>
        <w:keepLines w:val="0"/>
        <w:pageBreakBefore w:val="0"/>
        <w:kinsoku/>
        <w:wordWrap/>
        <w:overflowPunct/>
        <w:topLinePunct w:val="0"/>
        <w:autoSpaceDE w:val="0"/>
        <w:autoSpaceDN/>
        <w:bidi w:val="0"/>
        <w:spacing w:before="0" w:beforeAutospacing="0" w:after="0" w:afterAutospacing="0" w:line="594" w:lineRule="exact"/>
        <w:ind w:firstLine="640" w:firstLineChars="200"/>
        <w:rPr>
          <w:rFonts w:hint="eastAsia" w:ascii="Times New Roman" w:hAnsi="Times New Roman" w:eastAsia="方正仿宋_GBK" w:cs="Times New Roman"/>
          <w:sz w:val="32"/>
          <w:szCs w:val="32"/>
          <w:highlight w:val="yellow"/>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根据预算绩效管理要求，我单位对</w:t>
      </w:r>
      <w:r>
        <w:rPr>
          <w:rFonts w:hint="eastAsia" w:ascii="Times New Roman" w:hAnsi="Times New Roman" w:eastAsia="方正仿宋_GBK" w:cs="Times New Roman"/>
          <w:sz w:val="32"/>
          <w:szCs w:val="32"/>
          <w:shd w:val="clear" w:color="auto" w:fill="FFFFFF"/>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万元</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（二）单位绩效评价情况</w:t>
      </w:r>
      <w:bookmarkStart w:id="0" w:name="_GoBack"/>
      <w:bookmarkEnd w:id="0"/>
    </w:p>
    <w:p>
      <w:pPr>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eastAsia"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w:t>
      </w:r>
      <w:r>
        <w:rPr>
          <w:rFonts w:hint="eastAsia" w:ascii="Times New Roman" w:hAnsi="Times New Roman" w:eastAsia="方正仿宋_GBK" w:cs="Times New Roman"/>
          <w:sz w:val="32"/>
          <w:szCs w:val="32"/>
          <w:shd w:val="clear" w:color="auto" w:fill="FFFFFF"/>
          <w:lang w:val="en-US" w:eastAsia="zh-CN" w:bidi="ar-SA"/>
        </w:rPr>
        <w:t>未组织</w:t>
      </w:r>
      <w:r>
        <w:rPr>
          <w:rFonts w:hint="default" w:ascii="Times New Roman" w:hAnsi="Times New Roman" w:eastAsia="方正仿宋_GBK" w:cs="Times New Roman"/>
          <w:sz w:val="32"/>
          <w:szCs w:val="32"/>
          <w:shd w:val="clear" w:color="auto" w:fill="FFFFFF"/>
          <w:lang w:val="en-US" w:eastAsia="zh-CN" w:bidi="ar-SA"/>
        </w:rPr>
        <w:t>开</w:t>
      </w:r>
      <w:r>
        <w:rPr>
          <w:rFonts w:hint="eastAsia" w:ascii="Times New Roman" w:hAnsi="Times New Roman" w:eastAsia="方正仿宋_GBK" w:cs="Times New Roman"/>
          <w:sz w:val="32"/>
          <w:szCs w:val="32"/>
          <w:shd w:val="clear" w:color="auto" w:fill="FFFFFF"/>
          <w:lang w:val="en-US" w:eastAsia="zh-CN" w:bidi="ar-SA"/>
        </w:rPr>
        <w:t>展</w:t>
      </w:r>
      <w:r>
        <w:rPr>
          <w:rFonts w:hint="default" w:ascii="Times New Roman" w:hAnsi="Times New Roman" w:eastAsia="方正仿宋_GBK" w:cs="Times New Roman"/>
          <w:sz w:val="32"/>
          <w:szCs w:val="32"/>
          <w:shd w:val="clear" w:color="auto" w:fill="FFFFFF"/>
          <w:lang w:val="en-US" w:eastAsia="zh-CN" w:bidi="ar-SA"/>
        </w:rPr>
        <w:t>绩效评价</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（三）财政绩效评价情况</w:t>
      </w:r>
    </w:p>
    <w:p>
      <w:pPr>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县财政局未</w:t>
      </w:r>
      <w:r>
        <w:rPr>
          <w:rFonts w:hint="default" w:ascii="Times New Roman" w:hAnsi="Times New Roman" w:eastAsia="方正仿宋_GBK" w:cs="Times New Roman"/>
          <w:sz w:val="32"/>
          <w:szCs w:val="32"/>
          <w:shd w:val="clear" w:color="auto" w:fill="FFFFFF"/>
          <w:lang w:val="en-US" w:eastAsia="zh-CN" w:bidi="ar-SA"/>
        </w:rPr>
        <w:t>委托第三方对我单位开展绩效评价</w:t>
      </w:r>
      <w:r>
        <w:rPr>
          <w:rFonts w:hint="eastAsia"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lang w:val="en-US" w:eastAsia="zh-CN"/>
        </w:rPr>
      </w:pPr>
      <w:r>
        <w:rPr>
          <w:rStyle w:val="10"/>
          <w:rFonts w:hint="default" w:ascii="Times New Roman" w:hAnsi="Times New Roman" w:eastAsia="黑体" w:cs="Times New Roman"/>
          <w:sz w:val="32"/>
          <w:szCs w:val="32"/>
          <w:shd w:val="clear" w:color="auto" w:fill="FFFFFF"/>
          <w:lang w:val="en-US" w:eastAsia="zh-CN"/>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本单位决算公开信息反馈和联系</w:t>
      </w:r>
      <w:r>
        <w:rPr>
          <w:rFonts w:hint="default" w:ascii="Times New Roman" w:hAnsi="Times New Roman" w:eastAsia="方正仿宋_GBK" w:cs="Times New Roman"/>
          <w:color w:val="auto"/>
          <w:sz w:val="32"/>
          <w:szCs w:val="32"/>
          <w:shd w:val="clear" w:color="auto" w:fill="FFFFFF"/>
        </w:rPr>
        <w:t>方式：</w:t>
      </w:r>
      <w:r>
        <w:rPr>
          <w:rFonts w:hint="default" w:ascii="Times New Roman" w:hAnsi="Times New Roman" w:eastAsia="方正仿宋_GBK" w:cs="Times New Roman"/>
          <w:color w:val="auto"/>
          <w:sz w:val="32"/>
          <w:szCs w:val="32"/>
          <w:shd w:val="clear" w:color="auto" w:fill="FFFFFF"/>
          <w:lang w:val="en-US" w:eastAsia="zh-CN"/>
        </w:rPr>
        <w:t>023-74582700。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垫江县鹤游镇综合行政执法大队</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96.42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96.42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96.42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96.42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96.42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垫江县鹤游镇综合行政执法大队</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96.42</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96.42</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11.59</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11.59</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垫江县鹤游镇综合行政执法大队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96.42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96.42</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垫江县鹤游镇综合行政执法大队</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96.42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96.42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96.42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96.42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96.42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96.42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96.42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垫江县鹤游镇综合行政执法大队</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96.42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96.42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66.97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66.97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垫江县鹤游镇综合行政执法大队</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87.98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91.10</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垫江县鹤游镇综合行政执法大队</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垫江县鹤游镇综合行政执法大队</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垫江县鹤游镇综合行政执法大队</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0.04</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2.94</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0FAC5D7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A7048C"/>
    <w:rsid w:val="163A6CEE"/>
    <w:rsid w:val="173708E3"/>
    <w:rsid w:val="17C374FC"/>
    <w:rsid w:val="182E4AB6"/>
    <w:rsid w:val="189079DC"/>
    <w:rsid w:val="189B0D0B"/>
    <w:rsid w:val="18B43F7C"/>
    <w:rsid w:val="194A1770"/>
    <w:rsid w:val="19B906A4"/>
    <w:rsid w:val="1B6F15B6"/>
    <w:rsid w:val="1BAA2EDC"/>
    <w:rsid w:val="1CA55E64"/>
    <w:rsid w:val="1CF449F1"/>
    <w:rsid w:val="1D014A01"/>
    <w:rsid w:val="1D022362"/>
    <w:rsid w:val="1D1B04B0"/>
    <w:rsid w:val="1DA52501"/>
    <w:rsid w:val="1DBD6767"/>
    <w:rsid w:val="1DC52125"/>
    <w:rsid w:val="1DD26311"/>
    <w:rsid w:val="1E374ACB"/>
    <w:rsid w:val="1E892E63"/>
    <w:rsid w:val="1ECF0A66"/>
    <w:rsid w:val="1EF67CA4"/>
    <w:rsid w:val="1F020D3A"/>
    <w:rsid w:val="1F2A3689"/>
    <w:rsid w:val="1F2C5189"/>
    <w:rsid w:val="1F4B0B02"/>
    <w:rsid w:val="1FBB35CD"/>
    <w:rsid w:val="1FCD26AF"/>
    <w:rsid w:val="20642787"/>
    <w:rsid w:val="21556F04"/>
    <w:rsid w:val="22403BD3"/>
    <w:rsid w:val="24B92327"/>
    <w:rsid w:val="24C14514"/>
    <w:rsid w:val="2533755C"/>
    <w:rsid w:val="25791755"/>
    <w:rsid w:val="26396DF4"/>
    <w:rsid w:val="26704AF6"/>
    <w:rsid w:val="27167136"/>
    <w:rsid w:val="271B442C"/>
    <w:rsid w:val="27B23302"/>
    <w:rsid w:val="29310A5F"/>
    <w:rsid w:val="29C37A35"/>
    <w:rsid w:val="2A076083"/>
    <w:rsid w:val="2A73162E"/>
    <w:rsid w:val="2B167953"/>
    <w:rsid w:val="2B200583"/>
    <w:rsid w:val="2B2F4AE4"/>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C143D6"/>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6D1415"/>
    <w:rsid w:val="4F0C6BA3"/>
    <w:rsid w:val="4F186D58"/>
    <w:rsid w:val="50F06B6E"/>
    <w:rsid w:val="51D21804"/>
    <w:rsid w:val="52234D33"/>
    <w:rsid w:val="522F6E0C"/>
    <w:rsid w:val="52463BA1"/>
    <w:rsid w:val="52F163D4"/>
    <w:rsid w:val="531A2DB4"/>
    <w:rsid w:val="531E4D03"/>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DE91EC0"/>
    <w:rsid w:val="6EFD1324"/>
    <w:rsid w:val="6F5A53AC"/>
    <w:rsid w:val="6FAC003D"/>
    <w:rsid w:val="6FE55E12"/>
    <w:rsid w:val="6FFB2E76"/>
    <w:rsid w:val="708F6F7F"/>
    <w:rsid w:val="70D94BD3"/>
    <w:rsid w:val="70DB424B"/>
    <w:rsid w:val="71C34D91"/>
    <w:rsid w:val="72DB435C"/>
    <w:rsid w:val="72E2613A"/>
    <w:rsid w:val="72F771F4"/>
    <w:rsid w:val="73934AD2"/>
    <w:rsid w:val="745A7A75"/>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C35F41"/>
    <w:rsid w:val="7D7406BB"/>
    <w:rsid w:val="7DE94331"/>
    <w:rsid w:val="7E6E5B9A"/>
    <w:rsid w:val="7EF74B1A"/>
    <w:rsid w:val="7F265F4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BE9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5414</Words>
  <Characters>6131</Characters>
  <Lines>190</Lines>
  <Paragraphs>53</Paragraphs>
  <TotalTime>1</TotalTime>
  <ScaleCrop>false</ScaleCrop>
  <LinksUpToDate>false</LinksUpToDate>
  <CharactersWithSpaces>6267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汪涛</cp:lastModifiedBy>
  <dcterms:modified xsi:type="dcterms:W3CDTF">2025-09-18T01:55:45Z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