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垫江县鹤游镇人民政府</w:t>
      </w:r>
    </w:p>
    <w:p>
      <w:pPr>
        <w:pStyle w:val="7"/>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黑体"/>
          <w:sz w:val="32"/>
          <w:szCs w:val="32"/>
        </w:rPr>
      </w:pPr>
      <w:r>
        <w:rPr>
          <w:rStyle w:val="11"/>
          <w:rFonts w:hint="default" w:ascii="Times New Roman" w:hAnsi="Times New Roman" w:eastAsia="黑体"/>
          <w:sz w:val="32"/>
          <w:szCs w:val="32"/>
          <w:shd w:val="clear" w:color="auto" w:fill="FFFFFF"/>
        </w:rPr>
        <w:t>一、部门基本情况</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 加强基层党的建设。加强党的基层组织建设、夯实党在基层的执政根基，推动全面从严治党向基层延伸。</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 强化服务管理职能。强化企业投资、规划建设、城镇管理、环境保护、安全生产、农业发展、农村经营管理、生态建设、防灾减灾、扶贫济困等方面的服务管理职能。</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 提高审批服务便民化水平。推进审批服务标准化，着力提升“互联网+政务服务”能力。</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 推进综合行政执法。集中行使依法授权或委托的农林水利、规划建设、环境保护、卫生健康、市容环卫、文化旅游、民政管理、消防等领域的行政执法权。加强综合行政执法队伍建设，实行综合行政执法。</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按照优化协同高效的原则，调整设置相关党委、政府综合办事机构。调整后，共计设置党委、政府综合办事机构15个。具体设置及主要职责分别是：</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 党政办公室。负责纪检、武装、政务公开等工作。负责机关文秘、会务、档案、保密、后勤服务等工作。负责牵头协调办理人大代表和政协委员的议案、提案、建议、意见。完成党委、政府交办的其他工作。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 党群工作办公室。负责党的建设、组织、宣传、统战、民宗侨台、机构编制、人事、绩效管理、群团、党务公开等相关工作。负责镇公共服务中心和村（社区）便民服务中心的监督和管理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3.人大办公室。负责镇人民代表大会、主席团履行法定职权的具体工作。组织人大代表视察、调研、评议等工作。完成党委、人大主席团交办的其他工作。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 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 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 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10. 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11. 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12.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13.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14.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15.综合行政执法大队。宗旨：弘扬法治精神，建设法治政府、法治社会。主要职责：负责配合综合行政执法办公室做好有关农林水利、规划建设、卫生健康、市容环卫、环境保护、文化旅游、民政管理、消防等方面的执法工作。</w:t>
      </w:r>
    </w:p>
    <w:p>
      <w:pPr>
        <w:shd w:val="clear" w:color="auto" w:fill="FFFFFF"/>
        <w:spacing w:before="100" w:line="594" w:lineRule="exact"/>
        <w:ind w:firstLine="643" w:firstLineChars="200"/>
        <w:jc w:val="both"/>
        <w:rPr>
          <w:rFonts w:hint="default" w:ascii="Times New Roman" w:hAnsi="Times New Roman" w:eastAsia="楷体"/>
          <w:sz w:val="32"/>
          <w:szCs w:val="32"/>
        </w:rPr>
      </w:pPr>
      <w:r>
        <w:rPr>
          <w:rStyle w:val="11"/>
          <w:rFonts w:hint="default" w:ascii="Times New Roman" w:hAnsi="Times New Roman" w:eastAsia="楷体"/>
          <w:sz w:val="32"/>
          <w:szCs w:val="32"/>
          <w:shd w:val="clear" w:color="auto" w:fill="FFFFFF"/>
        </w:rPr>
        <w:t>（二）机构设置</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2.事业单位5个。分别是农业服务中心、文化服务中心、劳动就业和社会保障服务所、退役军人服务站、综合行政执法大队。</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3.人员情况：</w:t>
      </w:r>
      <w:r>
        <w:rPr>
          <w:rFonts w:ascii="Times New Roman" w:hAnsi="Times New Roman" w:eastAsia="方正仿宋_GBK"/>
          <w:sz w:val="32"/>
          <w:szCs w:val="32"/>
        </w:rPr>
        <w:t>本部门</w:t>
      </w:r>
      <w:r>
        <w:rPr>
          <w:rFonts w:hint="default" w:ascii="Times New Roman" w:hAnsi="Times New Roman" w:eastAsia="方正仿宋_GBK"/>
          <w:sz w:val="32"/>
          <w:szCs w:val="32"/>
        </w:rPr>
        <w:t>202</w:t>
      </w:r>
      <w:r>
        <w:rPr>
          <w:rFonts w:ascii="Times New Roman" w:hAnsi="Times New Roman" w:eastAsia="方正仿宋_GBK"/>
          <w:sz w:val="32"/>
          <w:szCs w:val="32"/>
        </w:rPr>
        <w:t>4</w:t>
      </w:r>
      <w:r>
        <w:rPr>
          <w:rFonts w:hint="default" w:ascii="Times New Roman" w:hAnsi="Times New Roman" w:eastAsia="方正仿宋_GBK"/>
          <w:sz w:val="32"/>
          <w:szCs w:val="32"/>
        </w:rPr>
        <w:t>年末在职职工3</w:t>
      </w:r>
      <w:r>
        <w:rPr>
          <w:rFonts w:ascii="Times New Roman" w:hAnsi="Times New Roman" w:eastAsia="方正仿宋_GBK"/>
          <w:sz w:val="32"/>
          <w:szCs w:val="32"/>
        </w:rPr>
        <w:t>8</w:t>
      </w:r>
      <w:r>
        <w:rPr>
          <w:rFonts w:hint="default" w:ascii="Times New Roman" w:hAnsi="Times New Roman" w:eastAsia="方正仿宋_GBK"/>
          <w:sz w:val="32"/>
          <w:szCs w:val="32"/>
        </w:rPr>
        <w:t>人。（其中：行政人员编制19人，实有在职职工1</w:t>
      </w:r>
      <w:r>
        <w:rPr>
          <w:rFonts w:ascii="Times New Roman" w:hAnsi="Times New Roman" w:eastAsia="方正仿宋_GBK"/>
          <w:sz w:val="32"/>
          <w:szCs w:val="32"/>
        </w:rPr>
        <w:t>8</w:t>
      </w:r>
      <w:r>
        <w:rPr>
          <w:rFonts w:hint="default" w:ascii="Times New Roman" w:hAnsi="Times New Roman" w:eastAsia="方正仿宋_GBK"/>
          <w:sz w:val="32"/>
          <w:szCs w:val="32"/>
        </w:rPr>
        <w:t>人；事业人员：农业服务中心编制6人，实有在职职工6人，文化服务中心编制2人，实有在职职工2人，劳动就业和社会保障服务所编制5人，实有在职职工4人，退役军人服务站编制3人，实有在职职工3人，综合行政执法大队编制5人，实有在职职工5人。</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（一）收入支出决算总体情况说明。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2024年度收入总计2671.44万元，支出总计</w:t>
      </w:r>
      <w:r>
        <w:rPr>
          <w:rFonts w:hint="default" w:ascii="Times New Roman" w:hAnsi="Times New Roman" w:eastAsia="方正仿宋_GBK"/>
          <w:sz w:val="32"/>
          <w:szCs w:val="32"/>
        </w:rPr>
        <w:t>2671.44</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与2023年度相比，减少1705.84万元，下降38.97%，主要原因是工商税收减少、非税收入减少、专项补助减少；厉行节约缩减伙食补助、公用经费、项目开支等。</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2024年度收入合计2598.88万元，与2023年度相比，减少1688.46万元，下降39.38%，主要原因是工商税收减少、非税收入减少、专项补助减少。其中：财政拨款收入</w:t>
      </w:r>
      <w:r>
        <w:rPr>
          <w:rFonts w:hint="default" w:ascii="Times New Roman" w:hAnsi="Times New Roman" w:eastAsia="方正仿宋_GBK"/>
          <w:sz w:val="32"/>
          <w:szCs w:val="32"/>
        </w:rPr>
        <w:t>2598.88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72.56</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2671.44</w:t>
      </w:r>
      <w:r>
        <w:rPr>
          <w:rFonts w:hint="default" w:ascii="Times New Roman" w:hAnsi="Times New Roman" w:eastAsia="方正仿宋_GBK"/>
          <w:sz w:val="32"/>
          <w:szCs w:val="32"/>
          <w:shd w:val="clear" w:color="auto" w:fill="FFFFFF"/>
        </w:rPr>
        <w:t>万元，与2023年度相比，减少1654.19万元，下降38.24%，主要原因是厉行节约缩减伙食补助、公用经费、项目开支等。其中：基本支出</w:t>
      </w:r>
      <w:r>
        <w:rPr>
          <w:rFonts w:hint="default" w:ascii="Times New Roman" w:hAnsi="Times New Roman" w:eastAsia="方正仿宋_GBK"/>
          <w:sz w:val="32"/>
          <w:szCs w:val="32"/>
        </w:rPr>
        <w:t>1327.48</w:t>
      </w:r>
      <w:r>
        <w:rPr>
          <w:rFonts w:hint="default" w:ascii="Times New Roman" w:hAnsi="Times New Roman" w:eastAsia="方正仿宋_GBK"/>
          <w:sz w:val="32"/>
          <w:szCs w:val="32"/>
          <w:shd w:val="clear" w:color="auto" w:fill="FFFFFF"/>
        </w:rPr>
        <w:t>万元，占49.69%；项目支出</w:t>
      </w:r>
      <w:r>
        <w:rPr>
          <w:rFonts w:hint="default" w:ascii="Times New Roman" w:hAnsi="Times New Roman" w:eastAsia="方正仿宋_GBK"/>
          <w:sz w:val="32"/>
          <w:szCs w:val="32"/>
        </w:rPr>
        <w:t>1343.96</w:t>
      </w:r>
      <w:r>
        <w:rPr>
          <w:rFonts w:hint="default" w:ascii="Times New Roman" w:hAnsi="Times New Roman" w:eastAsia="方正仿宋_GBK"/>
          <w:sz w:val="32"/>
          <w:szCs w:val="32"/>
          <w:shd w:val="clear" w:color="auto" w:fill="FFFFFF"/>
        </w:rPr>
        <w:t>万元，占50.31%；经营支出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12"/>
        <w:autoSpaceDE w:val="0"/>
        <w:spacing w:line="594" w:lineRule="exact"/>
        <w:ind w:firstLine="643"/>
        <w:jc w:val="both"/>
        <w:rPr>
          <w:rFonts w:ascii="Times New Roman" w:hAnsi="Times New Roman" w:eastAsia="方正仿宋_GBK"/>
          <w:sz w:val="32"/>
          <w:szCs w:val="32"/>
          <w:shd w:val="clear" w:color="auto" w:fill="FFFFFF"/>
        </w:rPr>
      </w:pPr>
      <w:r>
        <w:rPr>
          <w:rStyle w:val="11"/>
          <w:rFonts w:ascii="Times New Roman" w:hAnsi="Times New Roman" w:eastAsia="方正仿宋_GBK"/>
          <w:sz w:val="32"/>
          <w:szCs w:val="32"/>
          <w:shd w:val="clear" w:color="auto" w:fill="FFFFFF"/>
        </w:rPr>
        <w:t>4.结转结余情况。</w:t>
      </w:r>
      <w:r>
        <w:rPr>
          <w:rFonts w:ascii="Times New Roman" w:hAnsi="Times New Roman" w:eastAsia="方正仿宋_GBK"/>
          <w:sz w:val="32"/>
          <w:szCs w:val="32"/>
          <w:shd w:val="clear" w:color="auto" w:fill="FFFFFF"/>
        </w:rPr>
        <w:t>2024年度年末结转和结余</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万元，与2023年度相比，减少51.65万元，下降100.00%，主要原因是动用了上年结余资金。</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总计2671.44万元。与2023年相比，财政拨款</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总计各减少1705.84万元，下降38.97%。主要原因是工商税收减少、非税收入减少、专项补助减少；厉行节约缩减伙食补助、公用经费、项目开支等。</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2371.44</w:t>
      </w:r>
      <w:r>
        <w:rPr>
          <w:rFonts w:hint="default" w:ascii="Times New Roman" w:hAnsi="Times New Roman" w:eastAsia="方正仿宋_GBK"/>
          <w:sz w:val="32"/>
          <w:szCs w:val="32"/>
          <w:shd w:val="clear" w:color="auto" w:fill="FFFFFF"/>
        </w:rPr>
        <w:t>万元，与2023年度相比，减少1915.18万元，下降44.68%。主要原因是工商税收减少、非税收入减少、专项补助减少。较年初预算数减少637.06万元，下降21.18%。主要原因是厉行节约缩减伙食补助、公用经费、项目开支等。此外，年初财政拨款结转和结余</w:t>
      </w:r>
      <w:r>
        <w:rPr>
          <w:rFonts w:hint="default" w:ascii="Times New Roman" w:hAnsi="Times New Roman" w:eastAsia="方正仿宋_GBK"/>
          <w:sz w:val="32"/>
          <w:szCs w:val="32"/>
        </w:rPr>
        <w:t>66.60</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2438.04</w:t>
      </w:r>
      <w:r>
        <w:rPr>
          <w:rFonts w:hint="default" w:ascii="Times New Roman" w:hAnsi="Times New Roman" w:eastAsia="方正仿宋_GBK"/>
          <w:sz w:val="32"/>
          <w:szCs w:val="32"/>
          <w:shd w:val="clear" w:color="auto" w:fill="FFFFFF"/>
        </w:rPr>
        <w:t>万元，与2023年度相比，减少1879.38万元，下降43.53%。主要原因是为缓解财政资金压力，压缩财政拨款公用经费、项目支出。较年初预算数减少570.46万元，下降18.96%。主要原因是预算执行中厉行节约，压缩财政拨款公用经费、项目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万元，与2023年度相比，减少45.69万元，下降100.00%，主要原因是动用了上年结余资金。</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1"/>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661.90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27.15</w:t>
      </w:r>
      <w:r>
        <w:rPr>
          <w:rFonts w:hint="default" w:ascii="Times New Roman" w:hAnsi="Times New Roman" w:eastAsia="方正仿宋_GBK"/>
          <w:sz w:val="32"/>
          <w:szCs w:val="32"/>
          <w:shd w:val="clear" w:color="auto" w:fill="FFFFFF"/>
        </w:rPr>
        <w:t>%，较年初预算数减少891.30万元，下降57.38%，主要原因是厉行节约缩减伙食补助、公用经费、项目开支等。</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17.66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0.72</w:t>
      </w:r>
      <w:r>
        <w:rPr>
          <w:rFonts w:hint="default" w:ascii="Times New Roman" w:hAnsi="Times New Roman" w:eastAsia="方正仿宋_GBK"/>
          <w:sz w:val="32"/>
          <w:szCs w:val="32"/>
          <w:shd w:val="clear" w:color="auto" w:fill="FFFFFF"/>
        </w:rPr>
        <w:t>%，较年初预算数增加5.62万元，增长46.68%，主要原因是增加了平安建设、农村交通安全劝导站等经费。</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81.21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3.33</w:t>
      </w:r>
      <w:r>
        <w:rPr>
          <w:rFonts w:hint="default" w:ascii="Times New Roman" w:hAnsi="Times New Roman" w:eastAsia="方正仿宋_GBK"/>
          <w:sz w:val="32"/>
          <w:szCs w:val="32"/>
          <w:shd w:val="clear" w:color="auto" w:fill="FFFFFF"/>
        </w:rPr>
        <w:t>%，较年初预算数增加31.99万元，增长64.99%，主要原因是支付上年未付全民健身中心项目款，公共图书馆、群众文化活动等支出增加。</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440.39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18.06</w:t>
      </w:r>
      <w:r>
        <w:rPr>
          <w:rFonts w:hint="default" w:ascii="Times New Roman" w:hAnsi="Times New Roman" w:eastAsia="方正仿宋_GBK"/>
          <w:sz w:val="32"/>
          <w:szCs w:val="32"/>
          <w:shd w:val="clear" w:color="auto" w:fill="FFFFFF"/>
        </w:rPr>
        <w:t>%，较年初预算数增加144.61万元，增长48.89%，主要原因是增加了分州村县级综合服务设施示范项目建设、养老服务中心地坝硬化、维修围墙、村社区养老服务站点运行维护、残疾人事业发展、村居退役军人等专项经费支出。</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49.92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2.05</w:t>
      </w:r>
      <w:r>
        <w:rPr>
          <w:rFonts w:hint="default" w:ascii="Times New Roman" w:hAnsi="Times New Roman" w:eastAsia="方正仿宋_GBK"/>
          <w:sz w:val="32"/>
          <w:szCs w:val="32"/>
          <w:shd w:val="clear" w:color="auto" w:fill="FFFFFF"/>
        </w:rPr>
        <w:t>%，较年初预算数增加11.89万元，增长31.26%，主要原因是</w:t>
      </w:r>
      <w:r>
        <w:rPr>
          <w:rFonts w:ascii="Times New Roman" w:hAnsi="Times New Roman" w:eastAsia="方正仿宋_GBK"/>
          <w:sz w:val="32"/>
          <w:szCs w:val="32"/>
          <w:shd w:val="clear" w:color="auto" w:fill="FFFFFF"/>
        </w:rPr>
        <w:t>增加了计划生育家庭节日走访慰问经费、居民医保参保工作经费、在乡重点优抚对象住院医疗补助经费。</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（6）节能环保支出</w:t>
      </w:r>
      <w:r>
        <w:rPr>
          <w:rFonts w:ascii="Times New Roman" w:hAnsi="Times New Roman" w:eastAsia="方正仿宋_GBK"/>
          <w:sz w:val="32"/>
          <w:szCs w:val="32"/>
        </w:rPr>
        <w:t>0.60</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0.02</w:t>
      </w:r>
      <w:r>
        <w:rPr>
          <w:rFonts w:ascii="Times New Roman" w:hAnsi="Times New Roman" w:eastAsia="方正仿宋_GBK"/>
          <w:sz w:val="32"/>
          <w:szCs w:val="32"/>
          <w:shd w:val="clear" w:color="auto" w:fill="FFFFFF"/>
        </w:rPr>
        <w:t>%，较年初预算数增加0.60万元，增长100.00%，主要原因是追加了生态护林员补助资金。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（7）城乡社区支出</w:t>
      </w:r>
      <w:r>
        <w:rPr>
          <w:rFonts w:ascii="Times New Roman" w:hAnsi="Times New Roman" w:eastAsia="方正仿宋_GBK"/>
          <w:sz w:val="32"/>
          <w:szCs w:val="32"/>
        </w:rPr>
        <w:t>107.44</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4.41</w:t>
      </w:r>
      <w:r>
        <w:rPr>
          <w:rFonts w:ascii="Times New Roman" w:hAnsi="Times New Roman" w:eastAsia="方正仿宋_GBK"/>
          <w:sz w:val="32"/>
          <w:szCs w:val="32"/>
          <w:shd w:val="clear" w:color="auto" w:fill="FFFFFF"/>
        </w:rPr>
        <w:t>%，较年初预算数减少24.85万元，下降18.78%，主要原因是</w:t>
      </w:r>
      <w:r>
        <w:rPr>
          <w:rFonts w:hint="eastAsia" w:ascii="Times New Roman" w:hAnsi="Times New Roman" w:eastAsia="方正仿宋_GBK"/>
          <w:sz w:val="32"/>
          <w:szCs w:val="32"/>
          <w:shd w:val="clear" w:color="auto" w:fill="FFFFFF"/>
        </w:rPr>
        <w:t>减少了小城镇基础设施建设等经费支出。</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（8）农林水支出</w:t>
      </w:r>
      <w:r>
        <w:rPr>
          <w:rFonts w:ascii="Times New Roman" w:hAnsi="Times New Roman" w:eastAsia="方正仿宋_GBK"/>
          <w:sz w:val="32"/>
          <w:szCs w:val="32"/>
        </w:rPr>
        <w:t>390.02</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16.00</w:t>
      </w:r>
      <w:r>
        <w:rPr>
          <w:rFonts w:ascii="Times New Roman" w:hAnsi="Times New Roman" w:eastAsia="方正仿宋_GBK"/>
          <w:sz w:val="32"/>
          <w:szCs w:val="32"/>
          <w:shd w:val="clear" w:color="auto" w:fill="FFFFFF"/>
        </w:rPr>
        <w:t>%，较年初预算数增加15.26万元，增长4.07%，主要原因是动物疫病防控、森林防火、乡村振兴改厕、农村综合改革一事一议奖补资金等经费支出增加。</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（9）交通运输支出</w:t>
      </w:r>
      <w:r>
        <w:rPr>
          <w:rFonts w:ascii="Times New Roman" w:hAnsi="Times New Roman" w:eastAsia="方正仿宋_GBK"/>
          <w:sz w:val="32"/>
          <w:szCs w:val="32"/>
        </w:rPr>
        <w:t>13.08</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0.54</w:t>
      </w:r>
      <w:r>
        <w:rPr>
          <w:rFonts w:ascii="Times New Roman" w:hAnsi="Times New Roman" w:eastAsia="方正仿宋_GBK"/>
          <w:sz w:val="32"/>
          <w:szCs w:val="32"/>
          <w:shd w:val="clear" w:color="auto" w:fill="FFFFFF"/>
        </w:rPr>
        <w:t>%，较年初预算数增加13.08万元，增长100.00%，主要原因是追加农村公路日常养护保洁维修等经费。</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（10）资源勘探信息等支出</w:t>
      </w:r>
      <w:r>
        <w:rPr>
          <w:rFonts w:ascii="Times New Roman" w:hAnsi="Times New Roman" w:eastAsia="方正仿宋_GBK"/>
          <w:sz w:val="32"/>
          <w:szCs w:val="32"/>
        </w:rPr>
        <w:t>587.62</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24.10</w:t>
      </w:r>
      <w:r>
        <w:rPr>
          <w:rFonts w:ascii="Times New Roman" w:hAnsi="Times New Roman" w:eastAsia="方正仿宋_GBK"/>
          <w:sz w:val="32"/>
          <w:szCs w:val="32"/>
          <w:shd w:val="clear" w:color="auto" w:fill="FFFFFF"/>
        </w:rPr>
        <w:t>%，较年初预算数增加87.62万元，增长17.52%，主要原因是在预算执行中追加产业发展扶持资金。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（11）商业服务业等支出</w:t>
      </w:r>
      <w:r>
        <w:rPr>
          <w:rFonts w:ascii="Times New Roman" w:hAnsi="Times New Roman" w:eastAsia="方正仿宋_GBK"/>
          <w:sz w:val="32"/>
          <w:szCs w:val="32"/>
        </w:rPr>
        <w:t>11.28</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0.46</w:t>
      </w:r>
      <w:r>
        <w:rPr>
          <w:rFonts w:ascii="Times New Roman" w:hAnsi="Times New Roman" w:eastAsia="方正仿宋_GBK"/>
          <w:sz w:val="32"/>
          <w:szCs w:val="32"/>
          <w:shd w:val="clear" w:color="auto" w:fill="FFFFFF"/>
        </w:rPr>
        <w:t>%，较年初预算数增加11.28万元，增长100.00%，主要原因是预算执行中追加限上商贸企业补助资金。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（12）</w:t>
      </w:r>
      <w:r>
        <w:rPr>
          <w:rFonts w:ascii="Times New Roman" w:hAnsi="Times New Roman" w:eastAsia="方正仿宋_GBK"/>
          <w:sz w:val="32"/>
          <w:szCs w:val="32"/>
        </w:rPr>
        <w:t>自然资源海洋气象等支出3.01</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0.12</w:t>
      </w:r>
      <w:r>
        <w:rPr>
          <w:rFonts w:ascii="Times New Roman" w:hAnsi="Times New Roman" w:eastAsia="方正仿宋_GBK"/>
          <w:sz w:val="32"/>
          <w:szCs w:val="32"/>
          <w:shd w:val="clear" w:color="auto" w:fill="FFFFFF"/>
        </w:rPr>
        <w:t>%，较年初预算数增加3.01万元，增长100.00%，主要原因是在预算执行中追加林地整治资金。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（13）</w:t>
      </w:r>
      <w:r>
        <w:rPr>
          <w:rFonts w:ascii="Times New Roman" w:hAnsi="Times New Roman" w:eastAsia="方正仿宋_GBK"/>
          <w:sz w:val="32"/>
          <w:szCs w:val="32"/>
        </w:rPr>
        <w:t>住房保障支出60.74</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2.49</w:t>
      </w:r>
      <w:r>
        <w:rPr>
          <w:rFonts w:ascii="Times New Roman" w:hAnsi="Times New Roman" w:eastAsia="方正仿宋_GBK"/>
          <w:sz w:val="32"/>
          <w:szCs w:val="32"/>
          <w:shd w:val="clear" w:color="auto" w:fill="FFFFFF"/>
        </w:rPr>
        <w:t>%，较年初预算数增加12.05万元，增长24.75%，主要原因是</w:t>
      </w:r>
      <w:r>
        <w:rPr>
          <w:rFonts w:hint="eastAsia" w:ascii="Times New Roman" w:hAnsi="Times New Roman" w:eastAsia="方正仿宋_GBK"/>
          <w:sz w:val="32"/>
          <w:szCs w:val="32"/>
          <w:shd w:val="clear" w:color="auto" w:fill="FFFFFF"/>
        </w:rPr>
        <w:t>新进1名公务员、1名事业人员、机构改革转隶1名事业人员，</w:t>
      </w:r>
      <w:r>
        <w:rPr>
          <w:rFonts w:ascii="Times New Roman" w:hAnsi="Times New Roman" w:eastAsia="方正仿宋_GBK"/>
          <w:sz w:val="32"/>
          <w:szCs w:val="32"/>
          <w:shd w:val="clear" w:color="auto" w:fill="FFFFFF"/>
        </w:rPr>
        <w:t>住房公积金单位部分</w:t>
      </w:r>
      <w:r>
        <w:rPr>
          <w:rFonts w:hint="eastAsia" w:ascii="Times New Roman" w:hAnsi="Times New Roman" w:eastAsia="方正仿宋_GBK"/>
          <w:sz w:val="32"/>
          <w:szCs w:val="32"/>
          <w:shd w:val="clear" w:color="auto" w:fill="FFFFFF"/>
        </w:rPr>
        <w:t>增加</w:t>
      </w:r>
      <w:r>
        <w:rPr>
          <w:rFonts w:ascii="Times New Roman" w:hAnsi="Times New Roman" w:eastAsia="方正仿宋_GBK"/>
          <w:sz w:val="32"/>
          <w:szCs w:val="32"/>
          <w:shd w:val="clear" w:color="auto" w:fill="FFFFFF"/>
        </w:rPr>
        <w:t>。</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（14）</w:t>
      </w:r>
      <w:r>
        <w:rPr>
          <w:rFonts w:ascii="Times New Roman" w:hAnsi="Times New Roman" w:eastAsia="方正仿宋_GBK"/>
          <w:sz w:val="32"/>
          <w:szCs w:val="32"/>
        </w:rPr>
        <w:t>灾害防治及应急管理支出13.16</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0.54</w:t>
      </w:r>
      <w:r>
        <w:rPr>
          <w:rFonts w:ascii="Times New Roman" w:hAnsi="Times New Roman" w:eastAsia="方正仿宋_GBK"/>
          <w:sz w:val="32"/>
          <w:szCs w:val="32"/>
          <w:shd w:val="clear" w:color="auto" w:fill="FFFFFF"/>
        </w:rPr>
        <w:t>%，较年初预算数增加8.66万元，增长192.44%，主要原因是在预算执行中追加冬春救助、自然灾害救助、地质灾害避险搬迁等专项资金。</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12"/>
        <w:autoSpaceDE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2024年度一般公共财政拨款基本支出</w:t>
      </w:r>
      <w:r>
        <w:rPr>
          <w:rFonts w:ascii="Times New Roman" w:hAnsi="Times New Roman" w:eastAsia="方正仿宋_GBK"/>
          <w:sz w:val="32"/>
          <w:szCs w:val="32"/>
        </w:rPr>
        <w:t>1327.48</w:t>
      </w:r>
      <w:r>
        <w:rPr>
          <w:rFonts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1200.45</w:t>
      </w:r>
      <w:r>
        <w:rPr>
          <w:rFonts w:ascii="Times New Roman" w:hAnsi="Times New Roman" w:eastAsia="方正仿宋_GBK"/>
          <w:sz w:val="32"/>
          <w:szCs w:val="32"/>
          <w:shd w:val="clear" w:color="auto" w:fill="FFFFFF"/>
        </w:rPr>
        <w:t>万元，与2023年度相比，减少21.47万元，下降1.76%，主要原因是厉行节约缩减伙食补助等费用。人员经费用途主要包括基本工资、津贴补贴、奖金、绩效工资、伙食补助费、养老保险、职业年金、医疗保障缴费、生活补助、医疗费补助、其他工资福利支出等。公用经费</w:t>
      </w:r>
      <w:r>
        <w:rPr>
          <w:rFonts w:ascii="Times New Roman" w:hAnsi="Times New Roman" w:eastAsia="方正仿宋_GBK"/>
          <w:sz w:val="32"/>
          <w:szCs w:val="32"/>
        </w:rPr>
        <w:t>127.03</w:t>
      </w:r>
      <w:r>
        <w:rPr>
          <w:rFonts w:ascii="Times New Roman" w:hAnsi="Times New Roman" w:eastAsia="方正仿宋_GBK"/>
          <w:sz w:val="32"/>
          <w:szCs w:val="32"/>
          <w:shd w:val="clear" w:color="auto" w:fill="FFFFFF"/>
        </w:rPr>
        <w:t>万元，与2023年度相比，减少86.18万元，下降40.42%，主要原因是厉行节约缩减公用经费开支等。公用经费用途主要包括公用经费用途主要包括办公费、印刷费、水费、电费、邮电费、差旅费、维修费、劳务费、委托业务费、工会经费、公务车运行维护费、公务接待费、会议费、培训费、其他商品服务支出、办公设备购置等组成。</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12"/>
        <w:autoSpaceDE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2024年度政府性基金预算财政拨款年初结转结余</w:t>
      </w:r>
      <w:r>
        <w:rPr>
          <w:rFonts w:ascii="Times New Roman" w:hAnsi="Times New Roman" w:eastAsia="方正仿宋_GBK"/>
          <w:sz w:val="32"/>
          <w:szCs w:val="32"/>
        </w:rPr>
        <w:t>5.96</w:t>
      </w:r>
      <w:r>
        <w:rPr>
          <w:rFonts w:ascii="Times New Roman" w:hAnsi="Times New Roman" w:eastAsia="方正仿宋_GBK"/>
          <w:sz w:val="32"/>
          <w:szCs w:val="32"/>
          <w:shd w:val="clear" w:color="auto" w:fill="FFFFFF"/>
        </w:rPr>
        <w:t>万元，年末结转结余</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万元。本年收入</w:t>
      </w:r>
      <w:r>
        <w:rPr>
          <w:rFonts w:ascii="Times New Roman" w:hAnsi="Times New Roman" w:eastAsia="方正仿宋_GBK"/>
          <w:sz w:val="32"/>
          <w:szCs w:val="32"/>
        </w:rPr>
        <w:t>227.44</w:t>
      </w:r>
      <w:r>
        <w:rPr>
          <w:rFonts w:ascii="Times New Roman" w:hAnsi="Times New Roman" w:eastAsia="方正仿宋_GBK"/>
          <w:sz w:val="32"/>
          <w:szCs w:val="32"/>
          <w:shd w:val="clear" w:color="auto" w:fill="FFFFFF"/>
        </w:rPr>
        <w:t>万元，与2023年度相比，增加226.72万元，增长31488.89%，主要原因是年初未预算国有土地使用权转让补缴土地价款等经费，在预算执行过程中追加预算。本年支出</w:t>
      </w:r>
      <w:r>
        <w:rPr>
          <w:rFonts w:ascii="Times New Roman" w:hAnsi="Times New Roman" w:eastAsia="方正仿宋_GBK"/>
          <w:sz w:val="32"/>
          <w:szCs w:val="32"/>
        </w:rPr>
        <w:t>233.40</w:t>
      </w:r>
      <w:r>
        <w:rPr>
          <w:rFonts w:ascii="Times New Roman" w:hAnsi="Times New Roman" w:eastAsia="方正仿宋_GBK"/>
          <w:sz w:val="32"/>
          <w:szCs w:val="32"/>
          <w:shd w:val="clear" w:color="auto" w:fill="FFFFFF"/>
        </w:rPr>
        <w:t>万元，与2023年度相比，增加225.18万元，增长2739.42%，主要原因是按上级部门要求将国有土地使用权转让补缴土地价款等专项经费纳入政府基金财政拨款支出。</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7"/>
        <w:shd w:val="clear" w:color="auto" w:fill="FFFFFF"/>
        <w:spacing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万元。本部门2024年度无国有资本经营预算财政拨款支出。</w:t>
      </w:r>
    </w:p>
    <w:p>
      <w:pPr>
        <w:pStyle w:val="12"/>
        <w:autoSpaceDE w:val="0"/>
        <w:spacing w:line="594" w:lineRule="exact"/>
        <w:ind w:firstLine="643"/>
        <w:jc w:val="both"/>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rPr>
        <w:t>财政拨款</w:t>
      </w:r>
      <w:r>
        <w:rPr>
          <w:rStyle w:val="11"/>
          <w:rFonts w:ascii="黑体" w:hAnsi="黑体" w:eastAsia="黑体" w:cs="黑体"/>
          <w:sz w:val="32"/>
          <w:szCs w:val="32"/>
          <w:shd w:val="clear" w:color="auto" w:fill="FFFFFF"/>
        </w:rPr>
        <w:t>“三公”经费情况说明</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4.47</w:t>
      </w:r>
      <w:r>
        <w:rPr>
          <w:rFonts w:hint="default" w:ascii="Times New Roman" w:hAnsi="Times New Roman" w:eastAsia="方正仿宋_GBK"/>
          <w:sz w:val="32"/>
          <w:szCs w:val="32"/>
          <w:shd w:val="clear" w:color="auto" w:fill="FFFFFF"/>
        </w:rPr>
        <w:t>万元，较年初预算数增加2.55万元，增长132.81%，主要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业务需要，公务车老化，运行维护成本大幅上升。</w:t>
      </w:r>
      <w:r>
        <w:rPr>
          <w:rFonts w:hint="default" w:ascii="Times New Roman" w:hAnsi="Times New Roman" w:eastAsia="方正仿宋_GBK"/>
          <w:sz w:val="32"/>
          <w:szCs w:val="32"/>
          <w:shd w:val="clear" w:color="auto" w:fill="FFFFFF"/>
        </w:rPr>
        <w:t>较上年支出数无增减，主要原因是一是认真贯彻落实中央八项规定精神，按照只减不增的要求从严控制“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ascii="Times New Roman" w:hAnsi="Times New Roman" w:eastAsia="方正仿宋_GBK"/>
          <w:sz w:val="32"/>
          <w:szCs w:val="32"/>
          <w:shd w:val="clear" w:color="auto" w:fill="FFFFFF"/>
        </w:rPr>
        <w:t>年初预算数未安排因公出国（境）费用，也未发生因公出国（境）费用</w:t>
      </w:r>
      <w:r>
        <w:rPr>
          <w:rFonts w:hint="default" w:ascii="Times New Roman" w:hAnsi="Times New Roman" w:eastAsia="方正仿宋_GBK"/>
          <w:sz w:val="32"/>
          <w:szCs w:val="32"/>
          <w:shd w:val="clear" w:color="auto" w:fill="FFFFFF"/>
        </w:rPr>
        <w:t>。较上年支出数无增减，主要原因是</w:t>
      </w:r>
      <w:r>
        <w:rPr>
          <w:rFonts w:ascii="Times New Roman" w:hAnsi="Times New Roman" w:eastAsia="方正仿宋_GBK"/>
          <w:sz w:val="32"/>
          <w:szCs w:val="32"/>
          <w:shd w:val="clear" w:color="auto" w:fill="FFFFFF"/>
        </w:rPr>
        <w:t>上年和本年均未发生因公出国（境）费用</w:t>
      </w:r>
      <w:r>
        <w:rPr>
          <w:rFonts w:hint="default" w:ascii="Times New Roman" w:hAnsi="Times New Roman" w:eastAsia="方正仿宋_GBK"/>
          <w:sz w:val="32"/>
          <w:szCs w:val="32"/>
          <w:shd w:val="clear" w:color="auto" w:fill="FFFFFF"/>
        </w:rPr>
        <w:t>。</w:t>
      </w:r>
    </w:p>
    <w:p>
      <w:pPr>
        <w:autoSpaceDE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费用支出较年初预算数无增减，主要原因是年初</w:t>
      </w:r>
      <w:r>
        <w:rPr>
          <w:rFonts w:ascii="Times New Roman" w:hAnsi="Times New Roman" w:eastAsia="方正仿宋_GBK"/>
          <w:sz w:val="32"/>
          <w:szCs w:val="32"/>
          <w:shd w:val="clear" w:color="auto" w:fill="FFFFFF"/>
        </w:rPr>
        <w:t>预算数</w:t>
      </w:r>
      <w:r>
        <w:rPr>
          <w:rFonts w:hint="default" w:ascii="Times New Roman" w:hAnsi="Times New Roman" w:eastAsia="方正仿宋_GBK"/>
          <w:sz w:val="32"/>
          <w:szCs w:val="32"/>
          <w:shd w:val="clear" w:color="auto" w:fill="FFFFFF"/>
        </w:rPr>
        <w:t>未</w:t>
      </w:r>
      <w:r>
        <w:rPr>
          <w:rFonts w:ascii="Times New Roman" w:hAnsi="Times New Roman" w:eastAsia="方正仿宋_GBK"/>
          <w:sz w:val="32"/>
          <w:szCs w:val="32"/>
          <w:shd w:val="clear" w:color="auto" w:fill="FFFFFF"/>
        </w:rPr>
        <w:t>安排且本年未发生公务车购置费用</w:t>
      </w:r>
      <w:r>
        <w:rPr>
          <w:rFonts w:hint="default" w:ascii="Times New Roman" w:hAnsi="Times New Roman" w:eastAsia="方正仿宋_GBK"/>
          <w:sz w:val="32"/>
          <w:szCs w:val="32"/>
          <w:shd w:val="clear" w:color="auto" w:fill="FFFFFF"/>
        </w:rPr>
        <w:t>。较上年支出数无增减，主要原因是上年</w:t>
      </w:r>
      <w:r>
        <w:rPr>
          <w:rFonts w:ascii="Times New Roman" w:hAnsi="Times New Roman" w:eastAsia="方正仿宋_GBK"/>
          <w:sz w:val="32"/>
          <w:szCs w:val="32"/>
          <w:shd w:val="clear" w:color="auto" w:fill="FFFFFF"/>
        </w:rPr>
        <w:t>和本年均</w:t>
      </w:r>
      <w:r>
        <w:rPr>
          <w:rFonts w:hint="default" w:ascii="Times New Roman" w:hAnsi="Times New Roman" w:eastAsia="方正仿宋_GBK"/>
          <w:sz w:val="32"/>
          <w:szCs w:val="32"/>
          <w:shd w:val="clear" w:color="auto" w:fill="FFFFFF"/>
        </w:rPr>
        <w:t>未</w:t>
      </w:r>
      <w:r>
        <w:rPr>
          <w:rFonts w:ascii="Times New Roman" w:hAnsi="Times New Roman" w:eastAsia="方正仿宋_GBK"/>
          <w:sz w:val="32"/>
          <w:szCs w:val="32"/>
          <w:shd w:val="clear" w:color="auto" w:fill="FFFFFF"/>
        </w:rPr>
        <w:t>发生</w:t>
      </w:r>
      <w:r>
        <w:rPr>
          <w:rFonts w:hint="default" w:ascii="Times New Roman" w:hAnsi="Times New Roman" w:eastAsia="方正仿宋_GBK"/>
          <w:sz w:val="32"/>
          <w:szCs w:val="32"/>
          <w:shd w:val="clear" w:color="auto" w:fill="FFFFFF"/>
        </w:rPr>
        <w:t>公务车购置</w:t>
      </w:r>
      <w:r>
        <w:rPr>
          <w:rFonts w:ascii="Times New Roman" w:hAnsi="Times New Roman" w:eastAsia="方正仿宋_GBK"/>
          <w:sz w:val="32"/>
          <w:szCs w:val="32"/>
          <w:shd w:val="clear" w:color="auto" w:fill="FFFFFF"/>
        </w:rPr>
        <w:t>费用</w:t>
      </w:r>
      <w:r>
        <w:rPr>
          <w:rFonts w:hint="default" w:ascii="Times New Roman" w:hAnsi="Times New Roman" w:eastAsia="方正仿宋_GBK"/>
          <w:sz w:val="32"/>
          <w:szCs w:val="32"/>
          <w:shd w:val="clear" w:color="auto" w:fill="FFFFFF"/>
        </w:rPr>
        <w:t>。</w:t>
      </w:r>
    </w:p>
    <w:p>
      <w:pPr>
        <w:autoSpaceDE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万元，主要用于市内因公出行、业务检查等工作所需车辆的燃料费、维修费、过桥过路费、保险费等。费用支出较年初预算数增加3.75万元，增长892.86%，主要</w:t>
      </w:r>
      <w:r>
        <w:rPr>
          <w:rFonts w:hint="eastAsia" w:ascii="Times New Roman" w:hAnsi="Times New Roman" w:eastAsia="方正仿宋_GBK"/>
          <w:sz w:val="32"/>
          <w:szCs w:val="32"/>
          <w:shd w:val="clear" w:color="auto" w:fill="FFFFFF"/>
          <w:lang w:eastAsia="zh-CN"/>
        </w:rPr>
        <w:t>原因是</w:t>
      </w:r>
      <w:r>
        <w:rPr>
          <w:rFonts w:hint="default" w:ascii="Times New Roman" w:hAnsi="Times New Roman" w:eastAsia="方正仿宋_GBK"/>
          <w:sz w:val="32"/>
          <w:szCs w:val="32"/>
          <w:shd w:val="clear" w:color="auto" w:fill="FFFFFF"/>
        </w:rPr>
        <w:t>业务需要，公务车老化，运行维护成本大幅上升。较上年支出数无增减，主要原因是严格控制公务用车使用，减少公务用车运行维护费支出。</w:t>
      </w:r>
    </w:p>
    <w:p>
      <w:pPr>
        <w:autoSpaceDE w:val="0"/>
        <w:spacing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0.30</w:t>
      </w:r>
      <w:r>
        <w:rPr>
          <w:rFonts w:hint="default" w:ascii="Times New Roman" w:hAnsi="Times New Roman" w:eastAsia="方正仿宋_GBK"/>
          <w:sz w:val="32"/>
          <w:szCs w:val="32"/>
          <w:shd w:val="clear" w:color="auto" w:fill="FFFFFF"/>
        </w:rPr>
        <w:t>万元，主要用于</w:t>
      </w:r>
      <w:r>
        <w:rPr>
          <w:rFonts w:ascii="Times New Roman" w:hAnsi="Times New Roman" w:eastAsia="方正仿宋_GBK"/>
          <w:sz w:val="32"/>
          <w:szCs w:val="32"/>
          <w:shd w:val="clear" w:color="auto" w:fill="FFFFFF"/>
        </w:rPr>
        <w:t>招商引资接待费用</w:t>
      </w:r>
      <w:r>
        <w:rPr>
          <w:rFonts w:hint="default" w:ascii="Times New Roman" w:hAnsi="Times New Roman" w:eastAsia="方正仿宋_GBK"/>
          <w:sz w:val="32"/>
          <w:szCs w:val="32"/>
          <w:shd w:val="clear" w:color="auto" w:fill="FFFFFF"/>
        </w:rPr>
        <w:t>。费用支出较年初预算数减少1.20万元，下降80.00%，主要原因是强化公务接待支出管理，严格遵守公务接待开支范围和开支标准，严格控制陪餐人数，对应由接待对象承担的费用一律由接待对象自行支付。较上年支出数无增减，主要原因是强化公务接待支出管理，严格遵守公务接待开支范围和开支标准，严格控制陪餐人数，对应由接待对象承担的费用一律由接待对象自行支付。</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42</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71.43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hint="default" w:ascii="Times New Roman" w:hAnsi="Times New Roman" w:eastAsia="黑体"/>
          <w:sz w:val="32"/>
          <w:szCs w:val="32"/>
          <w:shd w:val="clear" w:color="auto" w:fill="FFFFFF"/>
        </w:rPr>
        <w:t>四、其他需要说明的事项</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5.92</w:t>
      </w:r>
      <w:r>
        <w:rPr>
          <w:rFonts w:hint="default" w:ascii="Times New Roman" w:hAnsi="Times New Roman" w:eastAsia="方正仿宋_GBK"/>
          <w:sz w:val="32"/>
          <w:szCs w:val="32"/>
          <w:shd w:val="clear" w:color="auto" w:fill="FFFFFF"/>
        </w:rPr>
        <w:t>万元，与2023年度相比，减少3.76万元，下降38.84%，主要原因是</w:t>
      </w:r>
      <w:r>
        <w:rPr>
          <w:rFonts w:ascii="Times New Roman" w:hAnsi="Times New Roman" w:eastAsia="方正仿宋_GBK"/>
          <w:sz w:val="32"/>
          <w:szCs w:val="32"/>
          <w:shd w:val="clear" w:color="auto" w:fill="FFFFFF"/>
        </w:rPr>
        <w:t>减</w:t>
      </w:r>
      <w:r>
        <w:rPr>
          <w:rFonts w:hint="default" w:ascii="Times New Roman" w:hAnsi="Times New Roman" w:eastAsia="方正仿宋_GBK"/>
          <w:sz w:val="32"/>
          <w:szCs w:val="32"/>
          <w:shd w:val="clear" w:color="auto" w:fill="FFFFFF"/>
        </w:rPr>
        <w:t>少参会人员及会议次数。本年度培训费支出</w:t>
      </w:r>
      <w:r>
        <w:rPr>
          <w:rFonts w:hint="default" w:ascii="Times New Roman" w:hAnsi="Times New Roman" w:eastAsia="方正仿宋_GBK"/>
          <w:sz w:val="32"/>
          <w:szCs w:val="32"/>
        </w:rPr>
        <w:t>0.52</w:t>
      </w:r>
      <w:r>
        <w:rPr>
          <w:rFonts w:hint="default" w:ascii="Times New Roman" w:hAnsi="Times New Roman" w:eastAsia="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严控</w:t>
      </w:r>
      <w:r>
        <w:rPr>
          <w:rFonts w:hint="default" w:ascii="Times New Roman" w:hAnsi="Times New Roman" w:eastAsia="方正仿宋_GBK"/>
          <w:sz w:val="32"/>
          <w:szCs w:val="32"/>
          <w:shd w:val="clear" w:color="auto" w:fill="FFFFFF"/>
        </w:rPr>
        <w:t>培训人数及培训次数</w:t>
      </w:r>
      <w:r>
        <w:rPr>
          <w:rFonts w:ascii="Times New Roman" w:hAnsi="Times New Roman" w:eastAsia="方正仿宋_GBK"/>
          <w:sz w:val="32"/>
          <w:szCs w:val="32"/>
          <w:shd w:val="clear" w:color="auto" w:fill="FFFFFF"/>
        </w:rPr>
        <w:t>。</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103.10</w:t>
      </w:r>
      <w:r>
        <w:rPr>
          <w:rFonts w:hint="default" w:ascii="Times New Roman" w:hAnsi="Times New Roman" w:eastAsia="方正仿宋_GBK"/>
          <w:sz w:val="32"/>
          <w:szCs w:val="32"/>
          <w:shd w:val="clear" w:color="auto" w:fill="FFFFFF"/>
        </w:rPr>
        <w:t>万元，机关运行经费主要用于开支办公费、印刷费、水费、电费、邮电费、差旅费、维修费、劳务费、委托业务费、工会经费、公务车运行维护费、公务接待费、会议费、培训费、其他商品服务支出等。机关运行经费较上年支出数减少73.79万元，下降41.72%，主要原因是厉行节约，减少办公费、印刷费、差旅费、劳务费等支出。</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7"/>
        <w:shd w:val="clear" w:color="auto" w:fill="FFFFFF"/>
        <w:spacing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（一）部门自评情况</w:t>
      </w:r>
    </w:p>
    <w:p>
      <w:pPr>
        <w:pStyle w:val="13"/>
        <w:autoSpaceDE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对</w:t>
      </w:r>
      <w:r>
        <w:rPr>
          <w:rFonts w:hint="eastAsia" w:ascii="Times New Roman" w:hAnsi="Times New Roman" w:eastAsia="方正仿宋_GBK"/>
          <w:sz w:val="32"/>
          <w:szCs w:val="32"/>
          <w:shd w:val="clear" w:color="auto" w:fill="FFFFFF"/>
        </w:rPr>
        <w:t>部门整体绩效及</w:t>
      </w:r>
      <w:r>
        <w:rPr>
          <w:rFonts w:ascii="Times New Roman" w:hAnsi="Times New Roman" w:eastAsia="方正仿宋_GBK"/>
          <w:sz w:val="32"/>
          <w:szCs w:val="32"/>
          <w:shd w:val="clear" w:color="auto" w:fill="FFFFFF"/>
        </w:rPr>
        <w:t>68个二级项目开展了绩效自评，涉及财政拨款项目支出资金1292.31万元。</w:t>
      </w:r>
    </w:p>
    <w:p>
      <w:pPr>
        <w:pStyle w:val="13"/>
        <w:autoSpaceDE w:val="0"/>
        <w:spacing w:before="0" w:beforeAutospacing="0" w:after="0" w:afterAutospacing="0" w:line="594" w:lineRule="exact"/>
        <w:ind w:firstLine="560" w:firstLineChars="200"/>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部门整体绩效自评表样</w:t>
      </w:r>
    </w:p>
    <w:tbl>
      <w:tblPr>
        <w:tblStyle w:val="8"/>
        <w:tblW w:w="8342" w:type="dxa"/>
        <w:tblInd w:w="0" w:type="dxa"/>
        <w:tblLayout w:type="fixed"/>
        <w:tblCellMar>
          <w:top w:w="0" w:type="dxa"/>
          <w:left w:w="0" w:type="dxa"/>
          <w:bottom w:w="0" w:type="dxa"/>
          <w:right w:w="0" w:type="dxa"/>
        </w:tblCellMar>
      </w:tblPr>
      <w:tblGrid>
        <w:gridCol w:w="1563"/>
        <w:gridCol w:w="737"/>
        <w:gridCol w:w="644"/>
        <w:gridCol w:w="659"/>
        <w:gridCol w:w="634"/>
        <w:gridCol w:w="666"/>
        <w:gridCol w:w="616"/>
        <w:gridCol w:w="729"/>
        <w:gridCol w:w="475"/>
        <w:gridCol w:w="591"/>
        <w:gridCol w:w="1028"/>
      </w:tblGrid>
      <w:tr>
        <w:tblPrEx>
          <w:tblLayout w:type="fixed"/>
          <w:tblCellMar>
            <w:top w:w="0" w:type="dxa"/>
            <w:left w:w="0" w:type="dxa"/>
            <w:bottom w:w="0" w:type="dxa"/>
            <w:right w:w="0" w:type="dxa"/>
          </w:tblCellMar>
        </w:tblPrEx>
        <w:trPr>
          <w:trHeight w:val="8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2024年度部门整体绩效自评表</w:t>
            </w:r>
          </w:p>
        </w:tc>
      </w:tr>
      <w:tr>
        <w:tblPrEx>
          <w:tblLayout w:type="fixed"/>
          <w:tblCellMar>
            <w:top w:w="0" w:type="dxa"/>
            <w:left w:w="0" w:type="dxa"/>
            <w:bottom w:w="0" w:type="dxa"/>
            <w:right w:w="0" w:type="dxa"/>
          </w:tblCellMar>
        </w:tblPrEx>
        <w:trPr>
          <w:trHeight w:val="5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垫江县鹤游镇人民政府整体自评</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w:t>
            </w:r>
          </w:p>
          <w:p>
            <w:pPr>
              <w:jc w:val="both"/>
              <w:textAlignment w:val="center"/>
              <w:rPr>
                <w:rFonts w:hint="default" w:cs="宋体"/>
                <w:b/>
                <w:color w:val="000000"/>
                <w:sz w:val="22"/>
                <w:szCs w:val="22"/>
              </w:rPr>
            </w:pPr>
            <w:r>
              <w:rPr>
                <w:rFonts w:cs="宋体"/>
                <w:b/>
                <w:color w:val="000000"/>
                <w:sz w:val="22"/>
                <w:szCs w:val="22"/>
                <w:lang w:bidi="ar"/>
              </w:rPr>
              <w:t>编码：</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50023100024P000148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自评总分：</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82.243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财政归口处室：</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部门联系人：</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联系电话：</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23,923,533.53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23,923,533.53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465"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6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36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贯彻和执行上级的各项方针政策，提升社会治理能力，促进群众的获得感、幸福感、安全感。;合理安排和统筹政府各项费用收支;反应发展与改革的事务，促进农民增收，提升人居生活质量。</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基本完成</w:t>
            </w:r>
          </w:p>
        </w:tc>
      </w:tr>
      <w:tr>
        <w:tblPrEx>
          <w:tblLayout w:type="fixed"/>
          <w:tblCellMar>
            <w:top w:w="0" w:type="dxa"/>
            <w:left w:w="0" w:type="dxa"/>
            <w:bottom w:w="0" w:type="dxa"/>
            <w:right w:w="0" w:type="dxa"/>
          </w:tblCellMar>
        </w:tblPrEx>
        <w:trPr>
          <w:trHeight w:val="465"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城区绿化面积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平方米</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5000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党建培训人次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780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798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2.31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到市、进京非访、集访次数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0"/>
                <w:szCs w:val="20"/>
                <w:lang w:bidi="ar"/>
              </w:rPr>
              <w:t>有两人到市非访集防</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较大森林火险发生次数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年生活垃圾处理量</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1.82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81.8</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3.27</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优抚、民政、计生等困难群众补助人数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760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762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0.26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重大安全事故发生次数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社区网格员覆盖率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辖区河道水质</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一般公共预算收入完成率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49.06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50.94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经济疲软，收入减少</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应公开的政务信息公开率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农村卫生厕所改厕覆盖率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全年预算支出执行率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三季度预算执行进度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信访处置率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预决算按时公开率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征兵完成率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0"/>
                <w:szCs w:val="20"/>
                <w:lang w:bidi="ar"/>
              </w:rPr>
              <w:t>农村常住居民人均可支配收入增速</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45.26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2"/>
                <w:szCs w:val="22"/>
              </w:rPr>
            </w:pPr>
            <w:r>
              <w:rPr>
                <w:rFonts w:cs="宋体"/>
                <w:color w:val="000000"/>
                <w:sz w:val="20"/>
                <w:szCs w:val="20"/>
                <w:lang w:bidi="ar"/>
              </w:rPr>
              <w:t>总体增速较低，年初预估高了增速</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辖区干部满意率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辖区群众满意度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3"/>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w:t>
      </w:r>
      <w:r>
        <w:rPr>
          <w:rFonts w:ascii="Times New Roman" w:hAnsi="Times New Roman" w:eastAsia="方正仿宋_GBK"/>
          <w:sz w:val="28"/>
          <w:szCs w:val="28"/>
          <w:shd w:val="clear" w:color="auto" w:fill="FFFFFF"/>
        </w:rPr>
        <w:t>项目支出绩效自评表（</w:t>
      </w:r>
      <w:r>
        <w:rPr>
          <w:rFonts w:hint="eastAsia" w:ascii="Times New Roman" w:hAnsi="Times New Roman" w:eastAsia="方正仿宋_GBK"/>
          <w:sz w:val="28"/>
          <w:szCs w:val="28"/>
          <w:shd w:val="clear" w:color="auto" w:fill="FFFFFF"/>
        </w:rPr>
        <w:t>二</w:t>
      </w:r>
      <w:r>
        <w:rPr>
          <w:rFonts w:ascii="Times New Roman" w:hAnsi="Times New Roman" w:eastAsia="方正仿宋_GBK"/>
          <w:sz w:val="28"/>
          <w:szCs w:val="28"/>
          <w:shd w:val="clear" w:color="auto" w:fill="FFFFFF"/>
        </w:rPr>
        <w:t>级项目）</w:t>
      </w:r>
    </w:p>
    <w:tbl>
      <w:tblPr>
        <w:tblStyle w:val="8"/>
        <w:tblW w:w="8537" w:type="dxa"/>
        <w:tblInd w:w="-178" w:type="dxa"/>
        <w:tblLayout w:type="fixed"/>
        <w:tblCellMar>
          <w:top w:w="0" w:type="dxa"/>
          <w:left w:w="0" w:type="dxa"/>
          <w:bottom w:w="0" w:type="dxa"/>
          <w:right w:w="0" w:type="dxa"/>
        </w:tblCellMar>
      </w:tblPr>
      <w:tblGrid>
        <w:gridCol w:w="1452"/>
        <w:gridCol w:w="789"/>
        <w:gridCol w:w="902"/>
        <w:gridCol w:w="857"/>
        <w:gridCol w:w="780"/>
        <w:gridCol w:w="565"/>
        <w:gridCol w:w="797"/>
        <w:gridCol w:w="502"/>
        <w:gridCol w:w="500"/>
        <w:gridCol w:w="736"/>
        <w:gridCol w:w="657"/>
      </w:tblGrid>
      <w:tr>
        <w:tblPrEx>
          <w:tblLayout w:type="fixed"/>
          <w:tblCellMar>
            <w:top w:w="0" w:type="dxa"/>
            <w:left w:w="0" w:type="dxa"/>
            <w:bottom w:w="0" w:type="dxa"/>
            <w:right w:w="0" w:type="dxa"/>
          </w:tblCellMar>
        </w:tblPrEx>
        <w:trPr>
          <w:trHeight w:val="691"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9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严重精神障碍患者监护人以奖代补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50023122T000000096131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17"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9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监护人人数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年度完成任务率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提高精神病患者幸福感</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124250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124250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autoSpaceDE w:val="0"/>
        <w:spacing w:line="594" w:lineRule="exact"/>
        <w:ind w:firstLine="640" w:firstLineChars="200"/>
        <w:rPr>
          <w:rFonts w:hint="default" w:ascii="Times New Roman" w:hAnsi="Times New Roman" w:eastAsia="方正仿宋_GBK"/>
          <w:sz w:val="32"/>
          <w:szCs w:val="32"/>
          <w:shd w:val="clear" w:color="auto" w:fill="FFFFFF"/>
        </w:rPr>
      </w:pPr>
    </w:p>
    <w:tbl>
      <w:tblPr>
        <w:tblStyle w:val="8"/>
        <w:tblW w:w="8559" w:type="dxa"/>
        <w:tblInd w:w="-178" w:type="dxa"/>
        <w:tblLayout w:type="fixed"/>
        <w:tblCellMar>
          <w:top w:w="0" w:type="dxa"/>
          <w:left w:w="0" w:type="dxa"/>
          <w:bottom w:w="0" w:type="dxa"/>
          <w:right w:w="0" w:type="dxa"/>
        </w:tblCellMar>
      </w:tblPr>
      <w:tblGrid>
        <w:gridCol w:w="1405"/>
        <w:gridCol w:w="644"/>
        <w:gridCol w:w="793"/>
        <w:gridCol w:w="887"/>
        <w:gridCol w:w="650"/>
        <w:gridCol w:w="784"/>
        <w:gridCol w:w="811"/>
        <w:gridCol w:w="632"/>
        <w:gridCol w:w="510"/>
        <w:gridCol w:w="750"/>
        <w:gridCol w:w="693"/>
      </w:tblGrid>
      <w:tr>
        <w:tblPrEx>
          <w:tblLayout w:type="fixed"/>
          <w:tblCellMar>
            <w:top w:w="0" w:type="dxa"/>
            <w:left w:w="0" w:type="dxa"/>
            <w:bottom w:w="0" w:type="dxa"/>
            <w:right w:w="0" w:type="dxa"/>
          </w:tblCellMar>
        </w:tblPrEx>
        <w:trPr>
          <w:trHeight w:val="8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离任村干部生活补贴</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50023123T000003558305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项目主管</w:t>
            </w:r>
          </w:p>
          <w:p>
            <w:pPr>
              <w:jc w:val="both"/>
              <w:textAlignment w:val="center"/>
              <w:rPr>
                <w:rFonts w:hint="default" w:cs="宋体"/>
                <w:b/>
                <w:color w:val="000000"/>
                <w:sz w:val="22"/>
                <w:szCs w:val="22"/>
              </w:rPr>
            </w:pPr>
            <w:r>
              <w:rPr>
                <w:rFonts w:cs="宋体"/>
                <w:b/>
                <w:color w:val="000000"/>
                <w:sz w:val="22"/>
                <w:szCs w:val="22"/>
                <w:lang w:bidi="ar"/>
              </w:rPr>
              <w:t>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联系</w:t>
            </w:r>
          </w:p>
          <w:p>
            <w:pPr>
              <w:jc w:val="both"/>
              <w:textAlignment w:val="center"/>
              <w:rPr>
                <w:rFonts w:hint="default" w:cs="宋体"/>
                <w:b/>
                <w:color w:val="000000"/>
                <w:sz w:val="22"/>
                <w:szCs w:val="22"/>
              </w:rPr>
            </w:pPr>
            <w:r>
              <w:rPr>
                <w:rFonts w:cs="宋体"/>
                <w:b/>
                <w:color w:val="000000"/>
                <w:sz w:val="22"/>
                <w:szCs w:val="22"/>
                <w:lang w:bidi="ar"/>
              </w:rPr>
              <w:t>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568"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离任干部人数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离任干部补助覆盖率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补助发放及时率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提高离任干部生活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（二）部门绩效评价情况</w:t>
      </w:r>
    </w:p>
    <w:p>
      <w:pPr>
        <w:pStyle w:val="12"/>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pPr>
        <w:pStyle w:val="7"/>
        <w:shd w:val="clear" w:color="auto" w:fill="FFFFFF"/>
        <w:spacing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财政局未委托第三方对我单位开展绩效评价。</w:t>
      </w:r>
    </w:p>
    <w:p>
      <w:pPr>
        <w:pStyle w:val="7"/>
        <w:shd w:val="clear" w:color="auto" w:fill="FFFFFF"/>
        <w:spacing w:beforeAutospacing="0" w:after="0" w:afterAutospacing="0" w:line="594"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xml:space="preserve">  </w:t>
      </w:r>
      <w:r>
        <w:rPr>
          <w:rStyle w:val="11"/>
          <w:rFonts w:hint="default" w:ascii="Times New Roman" w:hAnsi="Times New Roman" w:eastAsia="黑体"/>
          <w:sz w:val="32"/>
          <w:szCs w:val="32"/>
          <w:shd w:val="clear" w:color="auto" w:fill="FFFFFF"/>
        </w:rPr>
        <w:t>六、专业名词解释</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（十二）“三公”经费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spacing w:beforeAutospacing="0" w:after="0" w:afterAutospacing="0" w:line="594"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xml:space="preserve">  </w:t>
      </w:r>
      <w:r>
        <w:rPr>
          <w:rStyle w:val="11"/>
          <w:rFonts w:hint="default" w:ascii="Times New Roman" w:hAnsi="Times New Roman" w:eastAsia="黑体"/>
          <w:sz w:val="32"/>
          <w:szCs w:val="32"/>
          <w:shd w:val="clear" w:color="auto" w:fill="FFFFFF"/>
        </w:rPr>
        <w:t>七、决算公开联系方式及信息反馈渠道</w:t>
      </w:r>
    </w:p>
    <w:p>
      <w:pPr>
        <w:pStyle w:val="7"/>
        <w:snapToGrid w:val="0"/>
        <w:spacing w:before="0" w:beforeAutospacing="0" w:after="0" w:afterAutospacing="0" w:line="594" w:lineRule="exact"/>
        <w:ind w:firstLine="640" w:firstLineChars="200"/>
        <w:jc w:val="both"/>
        <w:rPr>
          <w:rStyle w:val="11"/>
          <w:rFonts w:hint="default" w:ascii="方正仿宋_GBK" w:hAnsi="方正仿宋_GBK" w:eastAsia="方正仿宋_GBK" w:cs="方正仿宋_GBK"/>
          <w:sz w:val="32"/>
          <w:szCs w:val="32"/>
          <w:shd w:val="clear" w:color="auto" w:fill="FFFF00"/>
        </w:rPr>
      </w:pPr>
      <w:r>
        <w:rPr>
          <w:rFonts w:hint="default" w:ascii="Times New Roman" w:hAnsi="Times New Roman" w:eastAsia="方正仿宋_GBK"/>
          <w:sz w:val="32"/>
          <w:szCs w:val="32"/>
          <w:shd w:val="clear" w:color="auto" w:fill="FFFFFF"/>
        </w:rPr>
        <w:t>本单位决算公开信息反馈和联系方式：023-74582700。</w:t>
      </w: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shd w:val="clear" w:color="auto" w:fill="FFFFFF"/>
        <w:spacing w:line="15" w:lineRule="atLeast"/>
        <w:ind w:firstLine="643" w:firstLineChars="200"/>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垫江县鹤游镇人民政府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2,598.88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垫江县鹤游镇人民政府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2,598.88</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2,598.88</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w:t>
            </w:r>
            <w:bookmarkStart w:id="0" w:name="_GoBack"/>
            <w:bookmarkEnd w:id="0"/>
            <w:r>
              <w:rPr>
                <w:rFonts w:cs="宋体"/>
                <w:color w:val="000000"/>
                <w:sz w:val="20"/>
                <w:szCs w:val="20"/>
              </w:rPr>
              <w:t>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垫江县鹤游镇人民政府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2,671.44</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1,327.48</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1,343.96</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390.02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313.38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垫江县鹤游镇人民政府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2,371.44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2,598.88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7"/>
        <w:gridCol w:w="3895"/>
        <w:gridCol w:w="3306"/>
        <w:gridCol w:w="3300"/>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2,438.04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1,327.48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356.05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390.02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313.38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垫江县鹤游镇人民政府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122.23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194.10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294.65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1,200.45</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垫江县鹤游镇人民政府</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00AD7"/>
    <w:rsid w:val="00261065"/>
    <w:rsid w:val="002D0E5A"/>
    <w:rsid w:val="002E5443"/>
    <w:rsid w:val="003051FD"/>
    <w:rsid w:val="0032196C"/>
    <w:rsid w:val="00355CCF"/>
    <w:rsid w:val="004C12FF"/>
    <w:rsid w:val="00550ABE"/>
    <w:rsid w:val="005B023C"/>
    <w:rsid w:val="00600322"/>
    <w:rsid w:val="006137D7"/>
    <w:rsid w:val="0062611F"/>
    <w:rsid w:val="00634FA8"/>
    <w:rsid w:val="0063613A"/>
    <w:rsid w:val="006E2034"/>
    <w:rsid w:val="00720F1C"/>
    <w:rsid w:val="00732392"/>
    <w:rsid w:val="00792285"/>
    <w:rsid w:val="007A0D2E"/>
    <w:rsid w:val="007A3314"/>
    <w:rsid w:val="007B419D"/>
    <w:rsid w:val="00810F13"/>
    <w:rsid w:val="00916FFB"/>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914F8"/>
    <w:rsid w:val="00DF7706"/>
    <w:rsid w:val="00E05175"/>
    <w:rsid w:val="00E654E2"/>
    <w:rsid w:val="00E76362"/>
    <w:rsid w:val="00F02408"/>
    <w:rsid w:val="00F137D3"/>
    <w:rsid w:val="00F13C36"/>
    <w:rsid w:val="00F23C68"/>
    <w:rsid w:val="00F32C53"/>
    <w:rsid w:val="00F73F90"/>
    <w:rsid w:val="00F7623D"/>
    <w:rsid w:val="00F8598B"/>
    <w:rsid w:val="00FA0819"/>
    <w:rsid w:val="01065520"/>
    <w:rsid w:val="01474EBF"/>
    <w:rsid w:val="01F3521E"/>
    <w:rsid w:val="02531409"/>
    <w:rsid w:val="03B87EA0"/>
    <w:rsid w:val="03E3214F"/>
    <w:rsid w:val="044C50BA"/>
    <w:rsid w:val="05BC6D49"/>
    <w:rsid w:val="06194FF1"/>
    <w:rsid w:val="06A2550B"/>
    <w:rsid w:val="06F80EE2"/>
    <w:rsid w:val="07001CCA"/>
    <w:rsid w:val="075678DB"/>
    <w:rsid w:val="079D7CC7"/>
    <w:rsid w:val="08051BCA"/>
    <w:rsid w:val="080A4260"/>
    <w:rsid w:val="086C12F4"/>
    <w:rsid w:val="08BA052C"/>
    <w:rsid w:val="08DB07BA"/>
    <w:rsid w:val="0969353F"/>
    <w:rsid w:val="098305D0"/>
    <w:rsid w:val="098A0877"/>
    <w:rsid w:val="0A5C4B69"/>
    <w:rsid w:val="0A86124A"/>
    <w:rsid w:val="0AB54CC0"/>
    <w:rsid w:val="0B9335CE"/>
    <w:rsid w:val="0C0F492D"/>
    <w:rsid w:val="0C7927C4"/>
    <w:rsid w:val="0C9B098C"/>
    <w:rsid w:val="0D1E7569"/>
    <w:rsid w:val="0D673E11"/>
    <w:rsid w:val="0DDA54E4"/>
    <w:rsid w:val="0E3A5F83"/>
    <w:rsid w:val="0E74421A"/>
    <w:rsid w:val="0EF13A6C"/>
    <w:rsid w:val="0F836721"/>
    <w:rsid w:val="0FA25D96"/>
    <w:rsid w:val="107B59E5"/>
    <w:rsid w:val="10EC0126"/>
    <w:rsid w:val="10F70B9A"/>
    <w:rsid w:val="111445C7"/>
    <w:rsid w:val="114278C6"/>
    <w:rsid w:val="1158083A"/>
    <w:rsid w:val="11643A4B"/>
    <w:rsid w:val="11ED0F98"/>
    <w:rsid w:val="11F03528"/>
    <w:rsid w:val="12A76142"/>
    <w:rsid w:val="12C921C4"/>
    <w:rsid w:val="13871C70"/>
    <w:rsid w:val="13A71CB4"/>
    <w:rsid w:val="13AF1D43"/>
    <w:rsid w:val="13CE1647"/>
    <w:rsid w:val="13FD55AB"/>
    <w:rsid w:val="14200702"/>
    <w:rsid w:val="14A05075"/>
    <w:rsid w:val="1536772D"/>
    <w:rsid w:val="154A1E41"/>
    <w:rsid w:val="163A6CEE"/>
    <w:rsid w:val="173708E3"/>
    <w:rsid w:val="17701C9D"/>
    <w:rsid w:val="179F0B77"/>
    <w:rsid w:val="17C374FC"/>
    <w:rsid w:val="189079DC"/>
    <w:rsid w:val="189B0D0B"/>
    <w:rsid w:val="18B43F7C"/>
    <w:rsid w:val="194A1770"/>
    <w:rsid w:val="19B906A4"/>
    <w:rsid w:val="1B6E3C92"/>
    <w:rsid w:val="1B6F15B6"/>
    <w:rsid w:val="1BAA2EDC"/>
    <w:rsid w:val="1C5C0973"/>
    <w:rsid w:val="1CA55E64"/>
    <w:rsid w:val="1CCE4A18"/>
    <w:rsid w:val="1D014A01"/>
    <w:rsid w:val="1D022362"/>
    <w:rsid w:val="1D1B04B0"/>
    <w:rsid w:val="1DBD6767"/>
    <w:rsid w:val="1DC52125"/>
    <w:rsid w:val="1DD26311"/>
    <w:rsid w:val="1E374ACB"/>
    <w:rsid w:val="1E5818DD"/>
    <w:rsid w:val="1E5E27E3"/>
    <w:rsid w:val="1ECF0A66"/>
    <w:rsid w:val="1EF67CA4"/>
    <w:rsid w:val="1F020D3A"/>
    <w:rsid w:val="1F2C5189"/>
    <w:rsid w:val="1F4B0B02"/>
    <w:rsid w:val="1FBB35CD"/>
    <w:rsid w:val="1FCD26AF"/>
    <w:rsid w:val="20642787"/>
    <w:rsid w:val="21435063"/>
    <w:rsid w:val="21556F04"/>
    <w:rsid w:val="221D217D"/>
    <w:rsid w:val="22403BD3"/>
    <w:rsid w:val="22693DAA"/>
    <w:rsid w:val="22E94D58"/>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C843CEF"/>
    <w:rsid w:val="2E5F438A"/>
    <w:rsid w:val="2EBF7B3E"/>
    <w:rsid w:val="2ECC6C0C"/>
    <w:rsid w:val="2EDE1934"/>
    <w:rsid w:val="2FCA4B37"/>
    <w:rsid w:val="2FE029D7"/>
    <w:rsid w:val="2FF06E00"/>
    <w:rsid w:val="30477CA5"/>
    <w:rsid w:val="30562E26"/>
    <w:rsid w:val="30586FEC"/>
    <w:rsid w:val="30EC7046"/>
    <w:rsid w:val="315F0B22"/>
    <w:rsid w:val="319D022C"/>
    <w:rsid w:val="31BA110C"/>
    <w:rsid w:val="31C90022"/>
    <w:rsid w:val="31D84415"/>
    <w:rsid w:val="32285F6F"/>
    <w:rsid w:val="32770556"/>
    <w:rsid w:val="328F57D6"/>
    <w:rsid w:val="329C0913"/>
    <w:rsid w:val="32AA0460"/>
    <w:rsid w:val="3337290D"/>
    <w:rsid w:val="33E31118"/>
    <w:rsid w:val="33EF7674"/>
    <w:rsid w:val="342D7BC6"/>
    <w:rsid w:val="34C25667"/>
    <w:rsid w:val="352930DB"/>
    <w:rsid w:val="35573069"/>
    <w:rsid w:val="355F6038"/>
    <w:rsid w:val="35734AC3"/>
    <w:rsid w:val="358C217E"/>
    <w:rsid w:val="35937598"/>
    <w:rsid w:val="363B46C1"/>
    <w:rsid w:val="36646D9E"/>
    <w:rsid w:val="36C9128A"/>
    <w:rsid w:val="372E3953"/>
    <w:rsid w:val="37841E99"/>
    <w:rsid w:val="37BF1123"/>
    <w:rsid w:val="383C3F15"/>
    <w:rsid w:val="384307F7"/>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2953D1"/>
    <w:rsid w:val="41314E40"/>
    <w:rsid w:val="41E0734B"/>
    <w:rsid w:val="426554D0"/>
    <w:rsid w:val="426C1EA8"/>
    <w:rsid w:val="42736402"/>
    <w:rsid w:val="42E86A87"/>
    <w:rsid w:val="43307B09"/>
    <w:rsid w:val="438D0E97"/>
    <w:rsid w:val="43BB152F"/>
    <w:rsid w:val="44A01AF5"/>
    <w:rsid w:val="44C37687"/>
    <w:rsid w:val="45C615EF"/>
    <w:rsid w:val="45CB699A"/>
    <w:rsid w:val="465B470D"/>
    <w:rsid w:val="466476F1"/>
    <w:rsid w:val="469D6AD4"/>
    <w:rsid w:val="471E6C84"/>
    <w:rsid w:val="4748792B"/>
    <w:rsid w:val="475D719D"/>
    <w:rsid w:val="47674801"/>
    <w:rsid w:val="48043D4B"/>
    <w:rsid w:val="48225EF7"/>
    <w:rsid w:val="488F422B"/>
    <w:rsid w:val="48E36915"/>
    <w:rsid w:val="495C4A24"/>
    <w:rsid w:val="497135DF"/>
    <w:rsid w:val="4A263DF2"/>
    <w:rsid w:val="4A6F6675"/>
    <w:rsid w:val="4B0502DF"/>
    <w:rsid w:val="4B135857"/>
    <w:rsid w:val="4B506196"/>
    <w:rsid w:val="4B7951CB"/>
    <w:rsid w:val="4B7C315C"/>
    <w:rsid w:val="4DAC4ACA"/>
    <w:rsid w:val="4DBE01D2"/>
    <w:rsid w:val="4E824E56"/>
    <w:rsid w:val="4EFC6D10"/>
    <w:rsid w:val="4F0C6BA3"/>
    <w:rsid w:val="4F10477D"/>
    <w:rsid w:val="4F186D58"/>
    <w:rsid w:val="4FEA65B7"/>
    <w:rsid w:val="4FF4660A"/>
    <w:rsid w:val="50C76CC1"/>
    <w:rsid w:val="50F06B6E"/>
    <w:rsid w:val="511C4FE5"/>
    <w:rsid w:val="52234D33"/>
    <w:rsid w:val="522F6E0C"/>
    <w:rsid w:val="52463BA1"/>
    <w:rsid w:val="526C7A88"/>
    <w:rsid w:val="52F163D4"/>
    <w:rsid w:val="531A2DB4"/>
    <w:rsid w:val="53465B3D"/>
    <w:rsid w:val="536725F2"/>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B375E9"/>
    <w:rsid w:val="56E856D9"/>
    <w:rsid w:val="56FF7E9E"/>
    <w:rsid w:val="578867FC"/>
    <w:rsid w:val="5842572D"/>
    <w:rsid w:val="584A2379"/>
    <w:rsid w:val="59293794"/>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790A40"/>
    <w:rsid w:val="64FB113D"/>
    <w:rsid w:val="656152C6"/>
    <w:rsid w:val="6587477F"/>
    <w:rsid w:val="658C3A08"/>
    <w:rsid w:val="65C031CA"/>
    <w:rsid w:val="65CE6852"/>
    <w:rsid w:val="66267C04"/>
    <w:rsid w:val="663F505A"/>
    <w:rsid w:val="66967186"/>
    <w:rsid w:val="66EE5541"/>
    <w:rsid w:val="67924660"/>
    <w:rsid w:val="68407834"/>
    <w:rsid w:val="687F5136"/>
    <w:rsid w:val="6883293E"/>
    <w:rsid w:val="688412AD"/>
    <w:rsid w:val="68C16285"/>
    <w:rsid w:val="68EB1B71"/>
    <w:rsid w:val="691C36BE"/>
    <w:rsid w:val="69475C96"/>
    <w:rsid w:val="69ED0608"/>
    <w:rsid w:val="6AAD2300"/>
    <w:rsid w:val="6B474EF5"/>
    <w:rsid w:val="6BBF53FD"/>
    <w:rsid w:val="6C560CAE"/>
    <w:rsid w:val="6C576495"/>
    <w:rsid w:val="6D903FF5"/>
    <w:rsid w:val="6DA955B8"/>
    <w:rsid w:val="6DB74BEF"/>
    <w:rsid w:val="6DE346AB"/>
    <w:rsid w:val="6DE5391A"/>
    <w:rsid w:val="6EFD1324"/>
    <w:rsid w:val="6F5A53AC"/>
    <w:rsid w:val="6F7F2EB1"/>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281484"/>
    <w:rsid w:val="78B40336"/>
    <w:rsid w:val="78E34BDA"/>
    <w:rsid w:val="796D60A4"/>
    <w:rsid w:val="79A031D5"/>
    <w:rsid w:val="7A1525F7"/>
    <w:rsid w:val="7B420052"/>
    <w:rsid w:val="7B5E7784"/>
    <w:rsid w:val="7B861484"/>
    <w:rsid w:val="7BD06A28"/>
    <w:rsid w:val="7C3A7C0B"/>
    <w:rsid w:val="7C5248E4"/>
    <w:rsid w:val="7C566698"/>
    <w:rsid w:val="7C5866A3"/>
    <w:rsid w:val="7D7406BB"/>
    <w:rsid w:val="7DE94331"/>
    <w:rsid w:val="7EEF7DF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next w:val="1"/>
    <w:qFormat/>
    <w:uiPriority w:val="0"/>
    <w:pPr>
      <w:ind w:firstLine="567"/>
    </w:pPr>
    <w:rPr>
      <w:rFonts w:hint="eastAsia" w:ascii="宋体" w:hAnsi="宋体" w:eastAsia="宋体" w:cs="Times New Roman"/>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5778</Words>
  <Characters>32936</Characters>
  <Lines>274</Lines>
  <Paragraphs>77</Paragraphs>
  <TotalTime>8</TotalTime>
  <ScaleCrop>false</ScaleCrop>
  <LinksUpToDate>false</LinksUpToDate>
  <CharactersWithSpaces>38637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2025-12-09T06:15:02Z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