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94" w:lineRule="exact"/>
        <w:ind w:firstLine="720" w:firstLineChars="200"/>
        <w:jc w:val="center"/>
        <w:rPr>
          <w:rFonts w:hint="default" w:ascii="方正小标宋_GBK" w:hAnsi="方正小标宋_GBK" w:eastAsia="方正小标宋_GBK" w:cs="方正小标宋_GBK"/>
          <w:sz w:val="36"/>
          <w:szCs w:val="36"/>
        </w:rPr>
      </w:pPr>
    </w:p>
    <w:p>
      <w:pPr>
        <w:pStyle w:val="7"/>
        <w:adjustRightInd w:val="0"/>
        <w:snapToGrid w:val="0"/>
        <w:spacing w:before="0" w:beforeAutospacing="0" w:after="0" w:afterAutospacing="0" w:line="594" w:lineRule="exact"/>
        <w:ind w:firstLine="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垫江县普顺镇人民政府（本级）</w:t>
      </w:r>
    </w:p>
    <w:p>
      <w:pPr>
        <w:pStyle w:val="7"/>
        <w:adjustRightInd w:val="0"/>
        <w:snapToGrid w:val="0"/>
        <w:spacing w:before="0" w:beforeAutospacing="0" w:after="0" w:afterAutospacing="0" w:line="594" w:lineRule="exact"/>
        <w:ind w:firstLine="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before="0" w:beforeAutospacing="0" w:after="0" w:afterAutospacing="0" w:line="594"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7"/>
        <w:shd w:val="clear" w:color="auto" w:fill="FFFFFF"/>
        <w:adjustRightInd w:val="0"/>
        <w:snapToGrid w:val="0"/>
        <w:spacing w:before="0" w:beforeAutospacing="0" w:after="0" w:afterAutospacing="0" w:line="594" w:lineRule="exact"/>
        <w:ind w:firstLine="482" w:firstLineChars="15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adjustRightInd w:val="0"/>
        <w:snapToGrid w:val="0"/>
        <w:spacing w:line="594"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加强基层党的建设。加强党的基</w:t>
      </w:r>
      <w:bookmarkStart w:id="0" w:name="_GoBack"/>
      <w:bookmarkEnd w:id="0"/>
      <w:r>
        <w:rPr>
          <w:rFonts w:ascii="方正仿宋_GBK" w:hAnsi="仿宋" w:eastAsia="方正仿宋_GBK"/>
          <w:sz w:val="32"/>
          <w:szCs w:val="32"/>
        </w:rPr>
        <w:t>层组织建设、夯实党在基层的执政根基，推动全面从严治党向基层延伸；强化服务管理职能。强化企业投资、规划建设、城镇管理、环境保护、安全生产、农业发展、农村经营管理、生态建设、防灾减灾、扶贫济困等方面的服务管理职能；提高审批服务便民化水平。推进审批服务标准化，着力提升“互联网+政务服务”能力；推进综合行政执法。集中行使依法授权或委托的农林水利、规划建设、环境保护、卫生健康、市容环卫、文化旅游、民政管理、消防等领域的行政执法权。加强综合行政执法队伍建设，实行综合行政执法。</w:t>
      </w:r>
    </w:p>
    <w:p>
      <w:pPr>
        <w:pStyle w:val="7"/>
        <w:shd w:val="clear" w:color="auto" w:fill="FFFFFF"/>
        <w:adjustRightInd w:val="0"/>
        <w:snapToGrid w:val="0"/>
        <w:spacing w:before="0" w:beforeAutospacing="0" w:after="0" w:afterAutospacing="0" w:line="594" w:lineRule="exact"/>
        <w:ind w:firstLine="482" w:firstLineChars="15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adjustRightInd w:val="0"/>
        <w:snapToGrid w:val="0"/>
        <w:spacing w:line="594" w:lineRule="exact"/>
        <w:ind w:firstLine="640" w:firstLineChars="200"/>
        <w:rPr>
          <w:rFonts w:hint="default" w:ascii="方正仿宋_GBK" w:hAnsi="楷体" w:eastAsia="方正仿宋_GBK" w:cs="楷体"/>
          <w:sz w:val="32"/>
          <w:szCs w:val="32"/>
        </w:rPr>
      </w:pPr>
      <w:r>
        <w:rPr>
          <w:rFonts w:ascii="方正仿宋_GBK" w:hAnsi="仿宋" w:eastAsia="方正仿宋_GBK"/>
          <w:sz w:val="32"/>
          <w:szCs w:val="32"/>
        </w:rPr>
        <w:t>共设置党委、政府综合办事机构10个，分别是：党政办公室、党群工作办公室、党群工作办公室、</w:t>
      </w:r>
      <w:r>
        <w:rPr>
          <w:rFonts w:hint="eastAsia" w:ascii="方正仿宋_GBK" w:hAnsi="仿宋" w:eastAsia="方正仿宋_GBK"/>
          <w:sz w:val="32"/>
          <w:szCs w:val="32"/>
          <w:lang w:eastAsia="zh-CN"/>
        </w:rPr>
        <w:t>人大常委会办公室</w:t>
      </w:r>
      <w:r>
        <w:rPr>
          <w:rFonts w:ascii="方正仿宋_GBK" w:hAnsi="仿宋" w:eastAsia="方正仿宋_GBK"/>
          <w:sz w:val="32"/>
          <w:szCs w:val="32"/>
        </w:rPr>
        <w:t>、经济发展办公室、财政办公室、民政和社会事务办公室、平安建设办公室、规划建设管理环保办公室、应急管理办公室、综合行政执法办公室。</w:t>
      </w:r>
    </w:p>
    <w:p>
      <w:pPr>
        <w:pStyle w:val="7"/>
        <w:shd w:val="clear" w:color="auto" w:fill="FFFFFF"/>
        <w:adjustRightInd w:val="0"/>
        <w:snapToGrid w:val="0"/>
        <w:spacing w:before="0" w:beforeAutospacing="0" w:after="0" w:afterAutospacing="0" w:line="594" w:lineRule="exact"/>
        <w:ind w:firstLine="803" w:firstLineChars="25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widowControl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2024年度收入总计3500.44万元，支出总计</w:t>
      </w:r>
      <w:r>
        <w:rPr>
          <w:rFonts w:ascii="方正仿宋_GBK" w:hAnsi="方正仿宋_GBK" w:eastAsia="方正仿宋_GBK" w:cs="方正仿宋_GBK"/>
          <w:sz w:val="32"/>
          <w:szCs w:val="32"/>
        </w:rPr>
        <w:t>3500.44</w:t>
      </w:r>
      <w:r>
        <w:rPr>
          <w:rFonts w:ascii="方正仿宋_GBK" w:hAnsi="方正仿宋_GBK" w:eastAsia="方正仿宋_GBK" w:cs="方正仿宋_GBK"/>
          <w:sz w:val="32"/>
          <w:szCs w:val="32"/>
          <w:shd w:val="clear" w:color="auto" w:fill="FFFFFF"/>
        </w:rPr>
        <w:t>万元。收、支与2023年度相比，增加235.32万元，增长7.21%，主要原因是基本支出减少195.31万元，公共安全、文化旅游体育和传媒、社会保障与就业以及卫生健康等项目支出增加430</w:t>
      </w:r>
      <w:r>
        <w:rPr>
          <w:rFonts w:hint="default" w:ascii="方正仿宋_GBK" w:hAnsi="方正仿宋_GBK" w:eastAsia="方正仿宋_GBK" w:cs="方正仿宋_GBK"/>
          <w:sz w:val="32"/>
          <w:szCs w:val="32"/>
          <w:shd w:val="clear" w:color="auto" w:fill="FFFFFF"/>
        </w:rPr>
        <w:t>.63</w:t>
      </w:r>
      <w:r>
        <w:rPr>
          <w:rFonts w:ascii="方正仿宋_GBK" w:hAnsi="方正仿宋_GBK" w:eastAsia="方正仿宋_GBK" w:cs="方正仿宋_GBK"/>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2024年度收入合计3455.46万元，与2023年度相比，增加197.46万元，增长6.06%，主要原因是公共安全、文化旅游体育和传媒、社会保障与就业以及卫生健康等项目支出增加</w:t>
      </w:r>
      <w:r>
        <w:rPr>
          <w:rFonts w:ascii="方正仿宋_GBK" w:hAnsi="Times New Roman" w:eastAsia="方正仿宋_GBK"/>
          <w:sz w:val="32"/>
          <w:szCs w:val="32"/>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3455.46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44.98</w:t>
      </w:r>
      <w:r>
        <w:rPr>
          <w:rFonts w:ascii="方正仿宋_GBK" w:hAnsi="方正仿宋_GBK" w:eastAsia="方正仿宋_GBK" w:cs="方正仿宋_GBK"/>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3493.84</w:t>
      </w:r>
      <w:r>
        <w:rPr>
          <w:rFonts w:ascii="方正仿宋_GBK" w:hAnsi="方正仿宋_GBK" w:eastAsia="方正仿宋_GBK" w:cs="方正仿宋_GBK"/>
          <w:sz w:val="32"/>
          <w:szCs w:val="32"/>
          <w:shd w:val="clear" w:color="auto" w:fill="FFFFFF"/>
        </w:rPr>
        <w:t>万元，与2023年度相比，增加235.32万元，增长7.22%，主要原因是基本支出减少195.31万元，公共安全、文化旅游体育和传媒、社会保障与就业以及卫生健康等项目支出增加。其中：基本支出</w:t>
      </w:r>
      <w:r>
        <w:rPr>
          <w:rFonts w:ascii="方正仿宋_GBK" w:hAnsi="方正仿宋_GBK" w:eastAsia="方正仿宋_GBK" w:cs="方正仿宋_GBK"/>
          <w:sz w:val="32"/>
          <w:szCs w:val="32"/>
        </w:rPr>
        <w:t>1345.48</w:t>
      </w:r>
      <w:r>
        <w:rPr>
          <w:rFonts w:ascii="方正仿宋_GBK" w:hAnsi="方正仿宋_GBK" w:eastAsia="方正仿宋_GBK" w:cs="方正仿宋_GBK"/>
          <w:sz w:val="32"/>
          <w:szCs w:val="32"/>
          <w:shd w:val="clear" w:color="auto" w:fill="FFFFFF"/>
        </w:rPr>
        <w:t>万元，占38.51%；项目支出</w:t>
      </w:r>
      <w:r>
        <w:rPr>
          <w:rFonts w:ascii="方正仿宋_GBK" w:hAnsi="方正仿宋_GBK" w:eastAsia="方正仿宋_GBK" w:cs="方正仿宋_GBK"/>
          <w:sz w:val="32"/>
          <w:szCs w:val="32"/>
        </w:rPr>
        <w:t>2148.36</w:t>
      </w:r>
      <w:r>
        <w:rPr>
          <w:rFonts w:ascii="方正仿宋_GBK" w:hAnsi="方正仿宋_GBK" w:eastAsia="方正仿宋_GBK" w:cs="方正仿宋_GBK"/>
          <w:sz w:val="32"/>
          <w:szCs w:val="32"/>
          <w:shd w:val="clear" w:color="auto" w:fill="FFFFFF"/>
        </w:rPr>
        <w:t>万元，占61.49%；经营支出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本年度未使用结转结余</w:t>
      </w:r>
      <w:r>
        <w:rPr>
          <w:rFonts w:ascii="方正仿宋_GBK" w:hAnsi="方正仿宋_GBK" w:eastAsia="方正仿宋_GBK" w:cs="方正仿宋_GBK"/>
          <w:sz w:val="32"/>
          <w:szCs w:val="32"/>
          <w:shd w:val="clear" w:color="auto" w:fill="FFFFFF"/>
        </w:rPr>
        <w:t>。</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2024年度财政拨款收、支总计3500.44万元。与2023年相比，财政拨款收、支总计各增加235.32万元，增长7.21%。主要原因是公共安全、文化旅游体育和传媒、社会保障与就业以及卫生健康等项目支出增加</w:t>
      </w:r>
      <w:r>
        <w:rPr>
          <w:rFonts w:ascii="方正仿宋_GBK" w:hAnsi="Times New Roman" w:eastAsia="方正仿宋_GBK"/>
          <w:sz w:val="32"/>
          <w:szCs w:val="32"/>
        </w:rPr>
        <w:t>。</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3278.46</w:t>
      </w:r>
      <w:r>
        <w:rPr>
          <w:rFonts w:ascii="方正仿宋_GBK" w:hAnsi="方正仿宋_GBK" w:eastAsia="方正仿宋_GBK" w:cs="方正仿宋_GBK"/>
          <w:sz w:val="32"/>
          <w:szCs w:val="32"/>
          <w:shd w:val="clear" w:color="auto" w:fill="FFFFFF"/>
        </w:rPr>
        <w:t>万元，与2023年度相比，增加36.15万元，增长1.11%。主要原因是公共安全、文化旅游体育和传媒、社会保障与就业以及卫生健康等项目支出增加。较年初预算数增加766.63万元，增长30.52%。主要原因是</w:t>
      </w:r>
      <w:r>
        <w:rPr>
          <w:rFonts w:hint="eastAsia" w:ascii="方正仿宋_GBK" w:hAnsi="方正仿宋_GBK" w:eastAsia="方正仿宋_GBK" w:cs="方正仿宋_GBK"/>
          <w:b w:val="0"/>
          <w:bCs/>
          <w:sz w:val="32"/>
          <w:szCs w:val="32"/>
          <w:shd w:val="clear" w:color="auto" w:fill="FFFFFF"/>
        </w:rPr>
        <w:t>追加种粮直补工作经费、追加全县森林防灭火工作经费、追加人员经费预算</w:t>
      </w:r>
      <w:r>
        <w:rPr>
          <w:rFonts w:hint="eastAsia" w:ascii="方正仿宋_GBK" w:hAnsi="方正仿宋_GBK" w:eastAsia="方正仿宋_GBK" w:cs="方正仿宋_GBK"/>
          <w:b w:val="0"/>
          <w:bCs/>
          <w:sz w:val="32"/>
          <w:szCs w:val="32"/>
          <w:shd w:val="clear" w:color="auto" w:fill="FFFFFF"/>
          <w:lang w:val="en-US" w:eastAsia="zh-CN"/>
        </w:rPr>
        <w:t>等</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44.98</w:t>
      </w:r>
      <w:r>
        <w:rPr>
          <w:rFonts w:ascii="方正仿宋_GBK" w:hAnsi="方正仿宋_GBK" w:eastAsia="方正仿宋_GBK" w:cs="方正仿宋_GBK"/>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3316.84</w:t>
      </w:r>
      <w:r>
        <w:rPr>
          <w:rFonts w:ascii="方正仿宋_GBK" w:hAnsi="方正仿宋_GBK" w:eastAsia="方正仿宋_GBK" w:cs="方正仿宋_GBK"/>
          <w:sz w:val="32"/>
          <w:szCs w:val="32"/>
          <w:shd w:val="clear" w:color="auto" w:fill="FFFFFF"/>
        </w:rPr>
        <w:t>万元，与2023年度相比，增加74.02万元，增长2.28%。主要原因是公共安全、文化旅游体育和传媒、社会保障与就业以及卫生健康等项目支出增加</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较年初预算数增加805.01万元，增长32.05%。主要原因是</w:t>
      </w:r>
      <w:r>
        <w:rPr>
          <w:rFonts w:hint="eastAsia" w:ascii="方正仿宋_GBK" w:hAnsi="方正仿宋_GBK" w:eastAsia="方正仿宋_GBK" w:cs="方正仿宋_GBK"/>
          <w:b w:val="0"/>
          <w:bCs/>
          <w:sz w:val="32"/>
          <w:szCs w:val="32"/>
          <w:shd w:val="clear" w:color="auto" w:fill="FFFFFF"/>
        </w:rPr>
        <w:t>追加种粮直补工作经费、追加全县森林防灭火工作经费、追加人员经费预算</w:t>
      </w:r>
      <w:r>
        <w:rPr>
          <w:rFonts w:hint="eastAsia" w:ascii="方正仿宋_GBK" w:hAnsi="方正仿宋_GBK" w:eastAsia="方正仿宋_GBK" w:cs="方正仿宋_GBK"/>
          <w:b w:val="0"/>
          <w:bCs/>
          <w:sz w:val="32"/>
          <w:szCs w:val="32"/>
          <w:shd w:val="clear" w:color="auto" w:fill="FFFFFF"/>
          <w:lang w:val="en-US" w:eastAsia="zh-CN"/>
        </w:rPr>
        <w:t>等</w:t>
      </w:r>
      <w:r>
        <w:rPr>
          <w:rFonts w:hint="eastAsia" w:ascii="方正仿宋_GBK" w:hAnsi="方正仿宋_GBK" w:eastAsia="方正仿宋_GBK" w:cs="方正仿宋_GBK"/>
          <w:b w:val="0"/>
          <w:bCs/>
          <w:sz w:val="32"/>
          <w:szCs w:val="32"/>
          <w:shd w:val="clear" w:color="auto" w:fill="FFFFFF"/>
          <w:lang w:eastAsia="zh-CN"/>
        </w:rPr>
        <w:t>。</w:t>
      </w:r>
    </w:p>
    <w:p>
      <w:pPr>
        <w:pStyle w:val="7"/>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本年度未使用结转结余</w:t>
      </w:r>
      <w:r>
        <w:rPr>
          <w:rFonts w:ascii="方正仿宋_GBK" w:hAnsi="方正仿宋_GBK" w:eastAsia="方正仿宋_GBK" w:cs="方正仿宋_GBK"/>
          <w:sz w:val="32"/>
          <w:szCs w:val="32"/>
          <w:shd w:val="clear" w:color="auto" w:fill="FFFFFF"/>
        </w:rPr>
        <w:t>。</w:t>
      </w:r>
    </w:p>
    <w:p>
      <w:pPr>
        <w:pStyle w:val="7"/>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953.98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28.76</w:t>
      </w:r>
      <w:r>
        <w:rPr>
          <w:rFonts w:ascii="方正仿宋_GBK" w:hAnsi="方正仿宋_GBK" w:eastAsia="方正仿宋_GBK" w:cs="方正仿宋_GBK"/>
          <w:sz w:val="32"/>
          <w:szCs w:val="32"/>
          <w:shd w:val="clear" w:color="auto" w:fill="FFFFFF"/>
        </w:rPr>
        <w:t>%，较年初预算数减少221.64万元，下降18.85%，主要原因是减少人大事务、统计信息事务、组织事务等经费。</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0.31</w:t>
      </w:r>
      <w:r>
        <w:rPr>
          <w:rFonts w:ascii="方正仿宋_GBK" w:hAnsi="方正仿宋_GBK" w:eastAsia="方正仿宋_GBK" w:cs="方正仿宋_GBK"/>
          <w:sz w:val="32"/>
          <w:szCs w:val="32"/>
          <w:shd w:val="clear" w:color="auto" w:fill="FFFFFF"/>
        </w:rPr>
        <w:t>%，较年初预算数增加10.40万元，增长100.00%，主要原因是追加平安建设、农村交通安全劝导站等经费。</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%，较年初预算数增加5.00万元，增长100.00%，主要原因是追加文化站免费开发补助资金。</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197.12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5.94</w:t>
      </w:r>
      <w:r>
        <w:rPr>
          <w:rFonts w:ascii="方正仿宋_GBK" w:hAnsi="方正仿宋_GBK" w:eastAsia="方正仿宋_GBK" w:cs="方正仿宋_GBK"/>
          <w:sz w:val="32"/>
          <w:szCs w:val="32"/>
          <w:shd w:val="clear" w:color="auto" w:fill="FFFFFF"/>
        </w:rPr>
        <w:t>%，较年初预算数增加45.86万元，增长30.32%，主要原因是追加信访疑难资金、退役军人再就业帮扶、残疾人事业发展等经费。</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53.81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1.62</w:t>
      </w:r>
      <w:r>
        <w:rPr>
          <w:rFonts w:ascii="方正仿宋_GBK" w:hAnsi="方正仿宋_GBK" w:eastAsia="方正仿宋_GBK" w:cs="方正仿宋_GBK"/>
          <w:sz w:val="32"/>
          <w:szCs w:val="32"/>
          <w:shd w:val="clear" w:color="auto" w:fill="FFFFFF"/>
        </w:rPr>
        <w:t>%，较年初预算数增加17.24万元，增长47.14%，主要原因是追加严重精神障碍患者监护人以奖代补、计划生育特殊家庭节日走访慰问、居民医保参保工作等经费。</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52.64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1.59</w:t>
      </w:r>
      <w:r>
        <w:rPr>
          <w:rFonts w:ascii="方正仿宋_GBK" w:hAnsi="方正仿宋_GBK" w:eastAsia="方正仿宋_GBK" w:cs="方正仿宋_GBK"/>
          <w:sz w:val="32"/>
          <w:szCs w:val="32"/>
          <w:shd w:val="clear" w:color="auto" w:fill="FFFFFF"/>
        </w:rPr>
        <w:t>%，较年初预算数减少67.36万元，下降56.13%，主要原因是减少</w:t>
      </w:r>
      <w:r>
        <w:rPr>
          <w:rFonts w:ascii="方正仿宋_GBK" w:hAnsi="方正仿宋_GBK" w:eastAsia="方正仿宋_GBK" w:cs="方正仿宋_GBK"/>
          <w:bCs/>
          <w:sz w:val="32"/>
          <w:szCs w:val="32"/>
          <w:shd w:val="clear" w:color="auto" w:fill="FFFFFF"/>
        </w:rPr>
        <w:t>城镇基础设施建设、市政设施运行维护等经费</w:t>
      </w:r>
      <w:r>
        <w:rPr>
          <w:rFonts w:ascii="方正仿宋_GBK" w:hAnsi="方正仿宋_GBK" w:eastAsia="方正仿宋_GBK" w:cs="方正仿宋_GBK"/>
          <w:sz w:val="32"/>
          <w:szCs w:val="32"/>
          <w:shd w:val="clear" w:color="auto" w:fill="FFFFFF"/>
        </w:rPr>
        <w:t>。</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624.99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18.84</w:t>
      </w:r>
      <w:r>
        <w:rPr>
          <w:rFonts w:ascii="方正仿宋_GBK" w:hAnsi="方正仿宋_GBK" w:eastAsia="方正仿宋_GBK" w:cs="方正仿宋_GBK"/>
          <w:sz w:val="32"/>
          <w:szCs w:val="32"/>
          <w:shd w:val="clear" w:color="auto" w:fill="FFFFFF"/>
        </w:rPr>
        <w:t>%，较年初预算数增加161.53万元，增长34.85%，主要原因是追加</w:t>
      </w:r>
      <w:r>
        <w:rPr>
          <w:rFonts w:ascii="方正仿宋_GBK" w:hAnsi="方正仿宋_GBK" w:eastAsia="方正仿宋_GBK" w:cs="方正仿宋_GBK"/>
          <w:bCs/>
          <w:sz w:val="32"/>
          <w:szCs w:val="32"/>
          <w:shd w:val="clear" w:color="auto" w:fill="FFFFFF"/>
        </w:rPr>
        <w:t>病虫害控制、林业草原防灾减灾、防汛等经费</w:t>
      </w:r>
      <w:r>
        <w:rPr>
          <w:rFonts w:ascii="方正仿宋_GBK" w:hAnsi="方正仿宋_GBK" w:eastAsia="方正仿宋_GBK" w:cs="方正仿宋_GBK"/>
          <w:sz w:val="32"/>
          <w:szCs w:val="32"/>
          <w:shd w:val="clear" w:color="auto" w:fill="FFFFFF"/>
        </w:rPr>
        <w:t>。</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792.68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23.90</w:t>
      </w:r>
      <w:r>
        <w:rPr>
          <w:rFonts w:ascii="方正仿宋_GBK" w:hAnsi="方正仿宋_GBK" w:eastAsia="方正仿宋_GBK" w:cs="方正仿宋_GBK"/>
          <w:sz w:val="32"/>
          <w:szCs w:val="32"/>
          <w:shd w:val="clear" w:color="auto" w:fill="FFFFFF"/>
        </w:rPr>
        <w:t>%，较年初预算数增加792.68万元，增长100.00%，主要原因是</w:t>
      </w:r>
      <w:r>
        <w:rPr>
          <w:rFonts w:ascii="方正仿宋_GBK" w:hAnsi="方正仿宋_GBK" w:eastAsia="方正仿宋_GBK" w:cs="方正仿宋_GBK"/>
          <w:bCs/>
          <w:sz w:val="32"/>
          <w:szCs w:val="32"/>
          <w:shd w:val="clear" w:color="auto" w:fill="FFFFFF"/>
        </w:rPr>
        <w:t>追加农村公路建设、公路补助等经费</w:t>
      </w:r>
      <w:r>
        <w:rPr>
          <w:rFonts w:ascii="方正仿宋_GBK" w:hAnsi="方正仿宋_GBK" w:eastAsia="方正仿宋_GBK" w:cs="方正仿宋_GBK"/>
          <w:sz w:val="32"/>
          <w:szCs w:val="32"/>
          <w:shd w:val="clear" w:color="auto" w:fill="FFFFFF"/>
        </w:rPr>
        <w:t>。</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468.90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14.14</w:t>
      </w:r>
      <w:r>
        <w:rPr>
          <w:rFonts w:ascii="方正仿宋_GBK" w:hAnsi="方正仿宋_GBK" w:eastAsia="方正仿宋_GBK" w:cs="方正仿宋_GBK"/>
          <w:sz w:val="32"/>
          <w:szCs w:val="32"/>
          <w:shd w:val="clear" w:color="auto" w:fill="FFFFFF"/>
        </w:rPr>
        <w:t>%，较年初预算数减少31.10万元，下降6.22%，主要原因是减少</w:t>
      </w:r>
      <w:r>
        <w:rPr>
          <w:rFonts w:ascii="方正仿宋_GBK" w:hAnsi="方正仿宋_GBK" w:eastAsia="方正仿宋_GBK" w:cs="方正仿宋_GBK"/>
          <w:bCs/>
          <w:sz w:val="32"/>
          <w:szCs w:val="32"/>
          <w:shd w:val="clear" w:color="auto" w:fill="FFFFFF"/>
        </w:rPr>
        <w:t>支持中小企业发展资金</w:t>
      </w:r>
      <w:r>
        <w:rPr>
          <w:rFonts w:ascii="方正仿宋_GBK" w:hAnsi="方正仿宋_GBK" w:eastAsia="方正仿宋_GBK" w:cs="方正仿宋_GBK"/>
          <w:sz w:val="32"/>
          <w:szCs w:val="32"/>
          <w:shd w:val="clear" w:color="auto" w:fill="FFFFFF"/>
        </w:rPr>
        <w:t>。</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（10）商业服务业等支出</w:t>
      </w:r>
      <w:r>
        <w:rPr>
          <w:rFonts w:ascii="方正仿宋_GBK" w:hAnsi="方正仿宋_GBK" w:eastAsia="方正仿宋_GBK" w:cs="方正仿宋_GBK"/>
          <w:sz w:val="32"/>
          <w:szCs w:val="32"/>
        </w:rPr>
        <w:t>5.82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%，较年初预算数增加5.82万元，增长100.00%，主要原因是</w:t>
      </w:r>
      <w:r>
        <w:rPr>
          <w:rFonts w:ascii="方正仿宋_GBK" w:hAnsi="方正仿宋_GBK" w:eastAsia="方正仿宋_GBK" w:cs="方正仿宋_GBK"/>
          <w:bCs/>
          <w:sz w:val="32"/>
          <w:szCs w:val="32"/>
          <w:shd w:val="clear" w:color="auto" w:fill="FFFFFF"/>
        </w:rPr>
        <w:t>追加限上企业、个体发展补助、统计人员补助等经费</w:t>
      </w:r>
      <w:r>
        <w:rPr>
          <w:rFonts w:ascii="方正仿宋_GBK" w:hAnsi="方正仿宋_GBK" w:eastAsia="方正仿宋_GBK" w:cs="方正仿宋_GBK"/>
          <w:sz w:val="32"/>
          <w:szCs w:val="32"/>
          <w:shd w:val="clear" w:color="auto" w:fill="FFFFFF"/>
        </w:rPr>
        <w:t>。</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自然资源海洋气象等支出27.00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0.81</w:t>
      </w:r>
      <w:r>
        <w:rPr>
          <w:rFonts w:ascii="方正仿宋_GBK" w:hAnsi="方正仿宋_GBK" w:eastAsia="方正仿宋_GBK" w:cs="方正仿宋_GBK"/>
          <w:sz w:val="32"/>
          <w:szCs w:val="32"/>
          <w:shd w:val="clear" w:color="auto" w:fill="FFFFFF"/>
        </w:rPr>
        <w:t>%，较年初预算数增加27.00万元，增长100.00%，主要原因是追加自然资源利用与保护资金。</w:t>
      </w:r>
    </w:p>
    <w:p>
      <w:pPr>
        <w:adjustRightInd w:val="0"/>
        <w:snapToGrid w:val="0"/>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住房保障支出66.70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2.01</w:t>
      </w:r>
      <w:r>
        <w:rPr>
          <w:rFonts w:ascii="方正仿宋_GBK" w:hAnsi="方正仿宋_GBK" w:eastAsia="方正仿宋_GBK" w:cs="方正仿宋_GBK"/>
          <w:sz w:val="32"/>
          <w:szCs w:val="32"/>
          <w:shd w:val="clear" w:color="auto" w:fill="FFFFFF"/>
        </w:rPr>
        <w:t>%，较年初预算数增加17.78万元，增长36.35%，主要原因是</w:t>
      </w:r>
      <w:r>
        <w:rPr>
          <w:rFonts w:ascii="方正仿宋_GBK" w:hAnsi="方正仿宋_GBK" w:eastAsia="方正仿宋_GBK" w:cs="方正仿宋_GBK"/>
          <w:bCs/>
          <w:sz w:val="32"/>
          <w:szCs w:val="32"/>
          <w:shd w:val="clear" w:color="auto" w:fill="FFFFFF"/>
        </w:rPr>
        <w:t>住房公积金调标、追加农村危房改造补助资金</w:t>
      </w:r>
      <w:r>
        <w:rPr>
          <w:rFonts w:ascii="方正仿宋_GBK" w:hAnsi="方正仿宋_GBK" w:eastAsia="方正仿宋_GBK" w:cs="方正仿宋_GBK"/>
          <w:sz w:val="32"/>
          <w:szCs w:val="32"/>
          <w:shd w:val="clear" w:color="auto" w:fill="FFFFFF"/>
        </w:rPr>
        <w:t>。</w:t>
      </w:r>
    </w:p>
    <w:p>
      <w:pPr>
        <w:adjustRightInd w:val="0"/>
        <w:snapToGrid w:val="0"/>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灾害防治及应急管理支出57.80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%，较年初预算数增加41.80万元，增长261.25%，主要原因是追加自然灾害救灾补助资金、地质灾害避险搬迁项目资金。</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1345.48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1098.74</w:t>
      </w:r>
      <w:r>
        <w:rPr>
          <w:rFonts w:ascii="方正仿宋_GBK" w:hAnsi="方正仿宋_GBK" w:eastAsia="方正仿宋_GBK" w:cs="方正仿宋_GBK"/>
          <w:sz w:val="32"/>
          <w:szCs w:val="32"/>
          <w:shd w:val="clear" w:color="auto" w:fill="FFFFFF"/>
        </w:rPr>
        <w:t>万元，与2023年度相比，减少72.21万元，下降6.17%，主要原因是</w:t>
      </w:r>
      <w:r>
        <w:rPr>
          <w:rFonts w:ascii="方正仿宋_GBK" w:hAnsi="Times New Roman" w:eastAsia="方正仿宋_GBK"/>
          <w:sz w:val="32"/>
          <w:szCs w:val="32"/>
        </w:rPr>
        <w:t>人员减少，工资福利支出减少</w:t>
      </w:r>
      <w:r>
        <w:rPr>
          <w:rFonts w:ascii="方正仿宋_GBK" w:hAnsi="方正仿宋_GBK" w:eastAsia="方正仿宋_GBK" w:cs="方正仿宋_GBK"/>
          <w:sz w:val="32"/>
          <w:szCs w:val="32"/>
          <w:shd w:val="clear" w:color="auto" w:fill="FFFFFF"/>
        </w:rPr>
        <w:t>。</w:t>
      </w:r>
      <w:r>
        <w:rPr>
          <w:rFonts w:ascii="方正仿宋_GBK" w:eastAsia="方正仿宋_GBK"/>
          <w:sz w:val="32"/>
          <w:szCs w:val="32"/>
        </w:rPr>
        <w:t>人员经费用途主要</w:t>
      </w:r>
      <w:r>
        <w:rPr>
          <w:rFonts w:ascii="方正仿宋_GBK" w:hAnsi="Times New Roman" w:eastAsia="方正仿宋_GBK"/>
          <w:sz w:val="32"/>
          <w:szCs w:val="32"/>
        </w:rPr>
        <w:t>包括基本工资、津贴补贴、奖金、绩效工资、社会保障缴费、住房公积金、其他工资福利支出等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246.74</w:t>
      </w:r>
      <w:r>
        <w:rPr>
          <w:rFonts w:ascii="方正仿宋_GBK" w:hAnsi="方正仿宋_GBK" w:eastAsia="方正仿宋_GBK" w:cs="方正仿宋_GBK"/>
          <w:sz w:val="32"/>
          <w:szCs w:val="32"/>
          <w:shd w:val="clear" w:color="auto" w:fill="FFFFFF"/>
        </w:rPr>
        <w:t>万元，与2023年度相比，减少123.10万元，下降33.28%，主要原因是落实中央八项规定，严控公用经费支出。公用经费用途主要包括</w:t>
      </w:r>
      <w:r>
        <w:rPr>
          <w:rFonts w:ascii="方正仿宋_GBK" w:hAnsi="Times New Roman" w:eastAsia="方正仿宋_GBK"/>
          <w:sz w:val="32"/>
          <w:szCs w:val="32"/>
        </w:rPr>
        <w:t>办公费、印刷费、咨询费、手续费、电费、邮电费、差旅费、维修（护）费、会议费、培训费、公务接待费、劳务费、委托业务费、公务用车运行维护费等</w:t>
      </w:r>
      <w:r>
        <w:rPr>
          <w:rFonts w:ascii="方正仿宋_GBK" w:hAnsi="方正仿宋_GBK" w:eastAsia="方正仿宋_GBK" w:cs="方正仿宋_GBK"/>
          <w:sz w:val="32"/>
          <w:szCs w:val="32"/>
          <w:shd w:val="clear" w:color="auto" w:fill="FFFFFF"/>
        </w:rPr>
        <w:t>。</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177.00</w:t>
      </w:r>
      <w:r>
        <w:rPr>
          <w:rFonts w:ascii="方正仿宋_GBK" w:hAnsi="方正仿宋_GBK" w:eastAsia="方正仿宋_GBK" w:cs="方正仿宋_GBK"/>
          <w:sz w:val="32"/>
          <w:szCs w:val="32"/>
          <w:shd w:val="clear" w:color="auto" w:fill="FFFFFF"/>
        </w:rPr>
        <w:t>万元，与2023年度相比，增加161.31万元，增长1028.11%，</w:t>
      </w:r>
      <w:r>
        <w:rPr>
          <w:rFonts w:hint="eastAsia" w:ascii="方正仿宋_GBK" w:hAnsi="方正仿宋_GBK" w:eastAsia="方正仿宋_GBK" w:cs="方正仿宋_GBK"/>
          <w:sz w:val="32"/>
          <w:szCs w:val="32"/>
          <w:shd w:val="clear" w:color="auto" w:fill="FFFFFF"/>
          <w:lang w:val="en-US" w:eastAsia="zh-CN"/>
        </w:rPr>
        <w:t>主要原因是征地和拆迁补偿支出和农业生产发展支出</w:t>
      </w:r>
      <w:r>
        <w:rPr>
          <w:rFonts w:ascii="方正仿宋_GBK" w:hAnsi="方正仿宋_GBK" w:eastAsia="方正仿宋_GBK" w:cs="方正仿宋_GBK"/>
          <w:sz w:val="32"/>
          <w:szCs w:val="32"/>
          <w:shd w:val="clear" w:color="auto" w:fill="FFFFFF"/>
        </w:rPr>
        <w:t>增加。本年支出</w:t>
      </w:r>
      <w:r>
        <w:rPr>
          <w:rFonts w:ascii="方正仿宋_GBK" w:hAnsi="方正仿宋_GBK" w:eastAsia="方正仿宋_GBK" w:cs="方正仿宋_GBK"/>
          <w:sz w:val="32"/>
          <w:szCs w:val="32"/>
        </w:rPr>
        <w:t>177.00</w:t>
      </w:r>
      <w:r>
        <w:rPr>
          <w:rFonts w:ascii="方正仿宋_GBK" w:hAnsi="方正仿宋_GBK" w:eastAsia="方正仿宋_GBK" w:cs="方正仿宋_GBK"/>
          <w:sz w:val="32"/>
          <w:szCs w:val="32"/>
          <w:shd w:val="clear" w:color="auto" w:fill="FFFFFF"/>
        </w:rPr>
        <w:t>万元，与2023年度相比，增加161.31万元，增长1028.11%，</w:t>
      </w:r>
      <w:r>
        <w:rPr>
          <w:rFonts w:hint="eastAsia" w:ascii="方正仿宋_GBK" w:hAnsi="方正仿宋_GBK" w:eastAsia="方正仿宋_GBK" w:cs="方正仿宋_GBK"/>
          <w:sz w:val="32"/>
          <w:szCs w:val="32"/>
          <w:shd w:val="clear" w:color="auto" w:fill="FFFFFF"/>
          <w:lang w:val="en-US" w:eastAsia="zh-CN"/>
        </w:rPr>
        <w:t>主要原因是征地和拆迁补偿支出和农业生产发展支出</w:t>
      </w:r>
      <w:r>
        <w:rPr>
          <w:rFonts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adjustRightInd w:val="0"/>
        <w:snapToGrid w:val="0"/>
        <w:spacing w:before="0" w:beforeAutospacing="0" w:after="0" w:afterAutospacing="0" w:line="594"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8.53</w:t>
      </w:r>
      <w:r>
        <w:rPr>
          <w:rFonts w:ascii="方正仿宋_GBK" w:hAnsi="方正仿宋_GBK" w:eastAsia="方正仿宋_GBK" w:cs="方正仿宋_GBK"/>
          <w:sz w:val="32"/>
          <w:szCs w:val="32"/>
          <w:shd w:val="clear" w:color="auto" w:fill="FFFFFF"/>
        </w:rPr>
        <w:t>万元，较年初预算数减少4.47万元，下降34.38%，主要原因是严格控制公务用车使用次数，公车运行维护费减少</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较上年支出数减少0.10万元，下降1.16%，主要原因是</w:t>
      </w:r>
      <w:r>
        <w:rPr>
          <w:rFonts w:ascii="方正仿宋_GBK" w:eastAsia="方正仿宋_GBK"/>
          <w:sz w:val="32"/>
          <w:szCs w:val="32"/>
        </w:rPr>
        <w:t>按照只减不增的原则，严控</w:t>
      </w:r>
      <w:r>
        <w:rPr>
          <w:rFonts w:ascii="方正仿宋_GBK" w:hAnsi="方正仿宋_GBK" w:eastAsia="方正仿宋_GBK" w:cs="方正仿宋_GBK"/>
          <w:sz w:val="32"/>
          <w:szCs w:val="32"/>
          <w:shd w:val="clear" w:color="auto" w:fill="FFFFFF"/>
        </w:rPr>
        <w:t>“三公”</w:t>
      </w:r>
      <w:r>
        <w:rPr>
          <w:rFonts w:ascii="方正仿宋_GBK" w:eastAsia="方正仿宋_GBK"/>
          <w:sz w:val="32"/>
          <w:szCs w:val="32"/>
        </w:rPr>
        <w:t>经费支出。</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4.39</w:t>
      </w:r>
      <w:r>
        <w:rPr>
          <w:rFonts w:ascii="方正仿宋_GBK" w:hAnsi="方正仿宋_GBK" w:eastAsia="方正仿宋_GBK" w:cs="方正仿宋_GBK"/>
          <w:sz w:val="32"/>
          <w:szCs w:val="32"/>
          <w:shd w:val="clear" w:color="auto" w:fill="FFFFFF"/>
        </w:rPr>
        <w:t>万元，主要用于</w:t>
      </w:r>
      <w:r>
        <w:rPr>
          <w:rFonts w:ascii="方正仿宋_GBK" w:hAnsi="Times New Roman" w:eastAsia="方正仿宋_GBK"/>
          <w:sz w:val="32"/>
          <w:szCs w:val="32"/>
        </w:rPr>
        <w:t>机要文件交换、市内因公出行、工作检查等工作所需车辆的燃料费、维修费、过桥过路费、保险费等。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费用支出较年初预算数减少5.61万元，下降56.10%，主要原因是严格控制公务用车使用次数。较上年支出数减少0.05万元，下降1.13%，主要原因是</w:t>
      </w:r>
      <w:r>
        <w:rPr>
          <w:rFonts w:ascii="方正仿宋_GBK" w:eastAsia="方正仿宋_GBK"/>
          <w:sz w:val="32"/>
          <w:szCs w:val="32"/>
        </w:rPr>
        <w:t>按照只减不增的原则，严控</w:t>
      </w:r>
      <w:r>
        <w:rPr>
          <w:rFonts w:ascii="方正仿宋_GBK" w:hAnsi="方正仿宋_GBK" w:eastAsia="方正仿宋_GBK" w:cs="方正仿宋_GBK"/>
          <w:sz w:val="32"/>
          <w:szCs w:val="32"/>
          <w:shd w:val="clear" w:color="auto" w:fill="FFFFFF"/>
        </w:rPr>
        <w:t>公务车运行维护费</w:t>
      </w:r>
      <w:r>
        <w:rPr>
          <w:rFonts w:ascii="方正仿宋_GBK" w:eastAsia="方正仿宋_GBK"/>
          <w:sz w:val="32"/>
          <w:szCs w:val="32"/>
        </w:rPr>
        <w:t>支出</w:t>
      </w:r>
      <w:r>
        <w:rPr>
          <w:rFonts w:ascii="方正仿宋_GBK" w:hAnsi="方正仿宋_GBK" w:eastAsia="方正仿宋_GBK" w:cs="方正仿宋_GBK"/>
          <w:sz w:val="32"/>
          <w:szCs w:val="32"/>
          <w:shd w:val="clear" w:color="auto" w:fill="FFFFFF"/>
        </w:rPr>
        <w:t>。</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4.14</w:t>
      </w:r>
      <w:r>
        <w:rPr>
          <w:rFonts w:ascii="方正仿宋_GBK" w:hAnsi="方正仿宋_GBK" w:eastAsia="方正仿宋_GBK" w:cs="方正仿宋_GBK"/>
          <w:sz w:val="32"/>
          <w:szCs w:val="32"/>
          <w:shd w:val="clear" w:color="auto" w:fill="FFFFFF"/>
        </w:rPr>
        <w:t>万元，主要用于</w:t>
      </w:r>
      <w:r>
        <w:rPr>
          <w:rFonts w:ascii="方正仿宋_GBK" w:hAnsi="Times New Roman" w:eastAsia="方正仿宋_GBK"/>
          <w:sz w:val="32"/>
          <w:szCs w:val="32"/>
        </w:rPr>
        <w:t>接待客商到我单位考察招商引资环境的接待支出。</w:t>
      </w:r>
      <w:r>
        <w:rPr>
          <w:rFonts w:ascii="方正仿宋_GBK" w:hAnsi="方正仿宋_GBK" w:eastAsia="方正仿宋_GBK" w:cs="方正仿宋_GBK"/>
          <w:sz w:val="32"/>
          <w:szCs w:val="32"/>
          <w:shd w:val="clear" w:color="auto" w:fill="FFFFFF"/>
        </w:rPr>
        <w:t>费用支出较年初预算数增加1.14万元，增长38.00%，主要原因是加大招商引资力度，增加了招商引资中公务接待费</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较上年支出数减少0.05万元，下降1.19%，主要原因是</w:t>
      </w:r>
      <w:r>
        <w:rPr>
          <w:rFonts w:ascii="方正仿宋_GBK" w:hAnsi="Times New Roman" w:eastAsia="方正仿宋_GBK"/>
          <w:sz w:val="32"/>
          <w:szCs w:val="32"/>
        </w:rPr>
        <w:t>强化公务接待支出管理，严格遵守公务接待开支范围和开支标准，严格控制陪餐人数，对应由接待对象承担的费用一律由接待对象自行支付。</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79.56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w:t>
      </w:r>
    </w:p>
    <w:p>
      <w:pPr>
        <w:pStyle w:val="7"/>
        <w:shd w:val="clear" w:color="auto" w:fill="FFFFFF"/>
        <w:adjustRightInd w:val="0"/>
        <w:snapToGrid w:val="0"/>
        <w:spacing w:before="0" w:beforeAutospacing="0" w:after="0" w:afterAutospacing="0" w:line="594"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5.15</w:t>
      </w:r>
      <w:r>
        <w:rPr>
          <w:rFonts w:ascii="方正仿宋_GBK" w:hAnsi="方正仿宋_GBK" w:eastAsia="方正仿宋_GBK" w:cs="方正仿宋_GBK"/>
          <w:sz w:val="32"/>
          <w:szCs w:val="32"/>
          <w:shd w:val="clear" w:color="auto" w:fill="FFFFFF"/>
        </w:rPr>
        <w:t>万元，与2023年度相比，减少0.05万元，下降0.96%，主要原因是</w:t>
      </w:r>
      <w:r>
        <w:rPr>
          <w:rFonts w:ascii="方正仿宋_GBK" w:eastAsia="方正仿宋_GBK"/>
          <w:sz w:val="32"/>
          <w:szCs w:val="32"/>
        </w:rPr>
        <w:t>本年会议召开的次数减少。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万元，与2023年度相比，减少0.04万元，下降2.19%，主要原因是</w:t>
      </w:r>
      <w:r>
        <w:rPr>
          <w:rFonts w:ascii="方正仿宋_GBK" w:eastAsia="方正仿宋_GBK"/>
          <w:sz w:val="32"/>
          <w:szCs w:val="32"/>
        </w:rPr>
        <w:t>本年安排的培训减少。</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246.74</w:t>
      </w:r>
      <w:r>
        <w:rPr>
          <w:rFonts w:ascii="方正仿宋_GBK" w:hAnsi="方正仿宋_GBK" w:eastAsia="方正仿宋_GBK" w:cs="方正仿宋_GBK"/>
          <w:sz w:val="32"/>
          <w:szCs w:val="32"/>
          <w:shd w:val="clear" w:color="auto" w:fill="FFFFFF"/>
        </w:rPr>
        <w:t>万元，机关运行经费主要用于开支</w:t>
      </w:r>
      <w:r>
        <w:rPr>
          <w:rFonts w:ascii="方正仿宋_GBK" w:hAnsi="Times New Roman" w:eastAsia="方正仿宋_GBK"/>
          <w:sz w:val="32"/>
          <w:szCs w:val="32"/>
        </w:rPr>
        <w:t>办公费、印刷费、咨询费、手续费、电费、邮电费、差旅费、维修（护）费、会议费、培训费、公务接待费、劳务费、委托业务费、公务用车运行维护费等。</w:t>
      </w:r>
      <w:r>
        <w:rPr>
          <w:rFonts w:ascii="方正仿宋_GBK" w:hAnsi="方正仿宋_GBK" w:eastAsia="方正仿宋_GBK" w:cs="方正仿宋_GBK"/>
          <w:sz w:val="32"/>
          <w:szCs w:val="32"/>
          <w:shd w:val="clear" w:color="auto" w:fill="FFFFFF"/>
        </w:rPr>
        <w:t>机关运行经费较上年支出数减少123.10万元，下降33.28%，主要原因是本年本严控机关运行费用支出，缩减差旅费、“三公”经费等支出。</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pPr>
        <w:pStyle w:val="13"/>
        <w:adjustRightInd w:val="0"/>
        <w:snapToGrid w:val="0"/>
        <w:spacing w:before="0" w:beforeAutospacing="0" w:after="0" w:afterAutospacing="0" w:line="594"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adjustRightInd w:val="0"/>
        <w:snapToGrid w:val="0"/>
        <w:spacing w:before="0" w:beforeAutospacing="0" w:after="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shd w:val="clear" w:color="auto" w:fill="FFFFFF"/>
        </w:rPr>
        <w:t>79个二级项目开展了绩效自评，涉及财政拨款项目支出资金</w:t>
      </w:r>
      <w:r>
        <w:rPr>
          <w:rFonts w:ascii="方正仿宋_GBK" w:hAnsi="方正仿宋_GBK" w:eastAsia="方正仿宋_GBK" w:cs="方正仿宋_GBK"/>
          <w:sz w:val="32"/>
          <w:szCs w:val="32"/>
        </w:rPr>
        <w:t>2148.36</w:t>
      </w:r>
      <w:r>
        <w:rPr>
          <w:rFonts w:hint="eastAsia" w:ascii="方正仿宋_GBK" w:hAnsi="方正仿宋_GBK" w:eastAsia="方正仿宋_GBK" w:cs="方正仿宋_GBK"/>
          <w:sz w:val="32"/>
          <w:szCs w:val="32"/>
          <w:shd w:val="clear" w:color="auto" w:fill="FFFFFF"/>
        </w:rPr>
        <w:t>万元。</w:t>
      </w:r>
    </w:p>
    <w:tbl>
      <w:tblPr>
        <w:tblStyle w:val="8"/>
        <w:tblpPr w:leftFromText="180" w:rightFromText="180" w:vertAnchor="text" w:horzAnchor="page" w:tblpX="1647" w:tblpY="600"/>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98"/>
        <w:gridCol w:w="662"/>
        <w:gridCol w:w="679"/>
        <w:gridCol w:w="826"/>
        <w:gridCol w:w="548"/>
        <w:gridCol w:w="765"/>
        <w:gridCol w:w="690"/>
        <w:gridCol w:w="660"/>
        <w:gridCol w:w="81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项目名称：</w:t>
            </w:r>
          </w:p>
        </w:tc>
        <w:tc>
          <w:tcPr>
            <w:tcW w:w="136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农村综合改革转移支付</w:t>
            </w:r>
          </w:p>
        </w:tc>
        <w:tc>
          <w:tcPr>
            <w:tcW w:w="679"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项目编码：</w:t>
            </w:r>
          </w:p>
        </w:tc>
        <w:tc>
          <w:tcPr>
            <w:tcW w:w="1374"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50023122T000002074162</w:t>
            </w:r>
          </w:p>
        </w:tc>
        <w:tc>
          <w:tcPr>
            <w:tcW w:w="765"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自评总分：</w:t>
            </w:r>
          </w:p>
        </w:tc>
        <w:tc>
          <w:tcPr>
            <w:tcW w:w="135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100.00</w:t>
            </w:r>
          </w:p>
        </w:tc>
        <w:tc>
          <w:tcPr>
            <w:tcW w:w="81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　</w:t>
            </w:r>
          </w:p>
        </w:tc>
        <w:tc>
          <w:tcPr>
            <w:tcW w:w="1183"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项目主管部门：</w:t>
            </w:r>
          </w:p>
        </w:tc>
        <w:tc>
          <w:tcPr>
            <w:tcW w:w="136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707-垫江县普顺镇人民政府</w:t>
            </w:r>
          </w:p>
        </w:tc>
        <w:tc>
          <w:tcPr>
            <w:tcW w:w="679"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财政归口处室：</w:t>
            </w:r>
          </w:p>
        </w:tc>
        <w:tc>
          <w:tcPr>
            <w:tcW w:w="1374"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014-会计管理核算中心</w:t>
            </w:r>
          </w:p>
        </w:tc>
        <w:tc>
          <w:tcPr>
            <w:tcW w:w="765"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部门联系人：</w:t>
            </w:r>
          </w:p>
        </w:tc>
        <w:tc>
          <w:tcPr>
            <w:tcW w:w="135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张小飞</w:t>
            </w:r>
          </w:p>
        </w:tc>
        <w:tc>
          <w:tcPr>
            <w:tcW w:w="81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联系电话：</w:t>
            </w:r>
          </w:p>
        </w:tc>
        <w:tc>
          <w:tcPr>
            <w:tcW w:w="1183"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13594560245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38"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22"/>
                <w:szCs w:val="22"/>
              </w:rPr>
            </w:pPr>
            <w:r>
              <w:rPr>
                <w:rFonts w:cs="宋体"/>
                <w:color w:val="000000"/>
                <w:sz w:val="22"/>
                <w:szCs w:val="22"/>
              </w:rPr>
              <w:t>　</w:t>
            </w:r>
          </w:p>
        </w:tc>
        <w:tc>
          <w:tcPr>
            <w:tcW w:w="1341"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年初预算数</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全年（调整）预算数</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全年执行数</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执行率</w:t>
            </w:r>
          </w:p>
        </w:tc>
        <w:tc>
          <w:tcPr>
            <w:tcW w:w="810" w:type="dxa"/>
            <w:tcBorders>
              <w:tl2br w:val="nil"/>
              <w:tr2bl w:val="nil"/>
            </w:tcBorders>
            <w:shd w:val="clear" w:color="auto" w:fill="auto"/>
            <w:noWrap/>
            <w:vAlign w:val="center"/>
          </w:tcPr>
          <w:p>
            <w:pPr>
              <w:adjustRightInd w:val="0"/>
              <w:snapToGrid w:val="0"/>
              <w:spacing w:line="594" w:lineRule="exact"/>
              <w:ind w:firstLine="200"/>
              <w:rPr>
                <w:rFonts w:hint="default" w:cs="宋体"/>
                <w:b/>
                <w:bCs/>
                <w:color w:val="000000"/>
                <w:sz w:val="22"/>
                <w:szCs w:val="22"/>
              </w:rPr>
            </w:pPr>
            <w:r>
              <w:rPr>
                <w:rFonts w:cs="宋体"/>
                <w:b/>
                <w:bCs/>
                <w:color w:val="000000"/>
                <w:sz w:val="22"/>
                <w:szCs w:val="22"/>
              </w:rPr>
              <w:t>执行率权重</w:t>
            </w:r>
          </w:p>
        </w:tc>
        <w:tc>
          <w:tcPr>
            <w:tcW w:w="1183"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执行率得分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年度总金额</w:t>
            </w:r>
          </w:p>
        </w:tc>
        <w:tc>
          <w:tcPr>
            <w:tcW w:w="698"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62"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0</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110,000.00</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110,000.00</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p>
        </w:tc>
        <w:tc>
          <w:tcPr>
            <w:tcW w:w="1183"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其中：财政拨款</w:t>
            </w:r>
          </w:p>
        </w:tc>
        <w:tc>
          <w:tcPr>
            <w:tcW w:w="698"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62"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0</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110,000.00</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110,000.00</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100</w:t>
            </w: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10</w:t>
            </w:r>
          </w:p>
        </w:tc>
        <w:tc>
          <w:tcPr>
            <w:tcW w:w="1183"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sz w:val="18"/>
                <w:szCs w:val="18"/>
              </w:rPr>
            </w:pPr>
            <w:r>
              <w:rPr>
                <w:rFonts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一般公共预算</w:t>
            </w:r>
          </w:p>
        </w:tc>
        <w:tc>
          <w:tcPr>
            <w:tcW w:w="698"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62"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0</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110,000.00</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110,000.00</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100</w:t>
            </w: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p>
        </w:tc>
        <w:tc>
          <w:tcPr>
            <w:tcW w:w="1183"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79" w:type="dxa"/>
            <w:gridSpan w:val="4"/>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年初绩效目标</w:t>
            </w:r>
          </w:p>
        </w:tc>
        <w:tc>
          <w:tcPr>
            <w:tcW w:w="2829" w:type="dxa"/>
            <w:gridSpan w:val="4"/>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全年（调整）绩效目标</w:t>
            </w:r>
          </w:p>
        </w:tc>
        <w:tc>
          <w:tcPr>
            <w:tcW w:w="2653" w:type="dxa"/>
            <w:gridSpan w:val="3"/>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3379" w:type="dxa"/>
            <w:gridSpan w:val="4"/>
            <w:tcBorders>
              <w:tl2br w:val="nil"/>
              <w:tr2bl w:val="nil"/>
            </w:tcBorders>
            <w:shd w:val="clear" w:color="auto" w:fill="auto"/>
          </w:tcPr>
          <w:p>
            <w:pPr>
              <w:adjustRightInd w:val="0"/>
              <w:snapToGrid w:val="0"/>
              <w:spacing w:line="594" w:lineRule="exact"/>
              <w:ind w:firstLine="200"/>
              <w:rPr>
                <w:rFonts w:hint="default" w:cs="宋体"/>
                <w:color w:val="000000"/>
                <w:sz w:val="22"/>
                <w:szCs w:val="22"/>
              </w:rPr>
            </w:pPr>
            <w:r>
              <w:rPr>
                <w:rFonts w:cs="宋体"/>
                <w:color w:val="000000"/>
                <w:sz w:val="22"/>
                <w:szCs w:val="22"/>
              </w:rPr>
              <w:t>一事一议建设</w:t>
            </w:r>
          </w:p>
        </w:tc>
        <w:tc>
          <w:tcPr>
            <w:tcW w:w="2829" w:type="dxa"/>
            <w:gridSpan w:val="4"/>
            <w:tcBorders>
              <w:tl2br w:val="nil"/>
              <w:tr2bl w:val="nil"/>
            </w:tcBorders>
            <w:shd w:val="clear" w:color="auto" w:fill="auto"/>
          </w:tcPr>
          <w:p>
            <w:pPr>
              <w:adjustRightInd w:val="0"/>
              <w:snapToGrid w:val="0"/>
              <w:spacing w:line="594" w:lineRule="exact"/>
              <w:ind w:firstLine="200"/>
              <w:rPr>
                <w:rFonts w:hint="default" w:cs="宋体"/>
                <w:color w:val="000000"/>
                <w:sz w:val="22"/>
                <w:szCs w:val="22"/>
              </w:rPr>
            </w:pPr>
            <w:r>
              <w:rPr>
                <w:rFonts w:cs="宋体"/>
                <w:color w:val="000000"/>
                <w:sz w:val="22"/>
                <w:szCs w:val="22"/>
              </w:rPr>
              <w:t>一事一议建设</w:t>
            </w:r>
          </w:p>
        </w:tc>
        <w:tc>
          <w:tcPr>
            <w:tcW w:w="2653" w:type="dxa"/>
            <w:gridSpan w:val="3"/>
            <w:tcBorders>
              <w:tl2br w:val="nil"/>
              <w:tr2bl w:val="nil"/>
            </w:tcBorders>
            <w:shd w:val="clear" w:color="auto" w:fill="auto"/>
          </w:tcPr>
          <w:p>
            <w:pPr>
              <w:adjustRightInd w:val="0"/>
              <w:snapToGrid w:val="0"/>
              <w:spacing w:line="594" w:lineRule="exact"/>
              <w:ind w:firstLine="200"/>
              <w:rPr>
                <w:rFonts w:hint="default" w:cs="宋体"/>
                <w:color w:val="000000"/>
                <w:sz w:val="22"/>
                <w:szCs w:val="22"/>
              </w:rPr>
            </w:pPr>
            <w:r>
              <w:rPr>
                <w:rFonts w:cs="宋体"/>
                <w:color w:val="000000"/>
                <w:sz w:val="22"/>
                <w:szCs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34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指标名称</w:t>
            </w:r>
          </w:p>
        </w:tc>
        <w:tc>
          <w:tcPr>
            <w:tcW w:w="698"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计量单位</w:t>
            </w:r>
          </w:p>
        </w:tc>
        <w:tc>
          <w:tcPr>
            <w:tcW w:w="662"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指标性质</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指标值</w:t>
            </w:r>
          </w:p>
        </w:tc>
        <w:tc>
          <w:tcPr>
            <w:tcW w:w="826"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全年完成值</w:t>
            </w:r>
          </w:p>
        </w:tc>
        <w:tc>
          <w:tcPr>
            <w:tcW w:w="548"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偏离度（%）</w:t>
            </w:r>
          </w:p>
        </w:tc>
        <w:tc>
          <w:tcPr>
            <w:tcW w:w="765"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得分系数（%）</w:t>
            </w:r>
          </w:p>
        </w:tc>
        <w:tc>
          <w:tcPr>
            <w:tcW w:w="69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指标权重</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指标得分</w:t>
            </w: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是否核心指标</w:t>
            </w:r>
          </w:p>
        </w:tc>
        <w:tc>
          <w:tcPr>
            <w:tcW w:w="1183"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硬化里程</w:t>
            </w:r>
          </w:p>
        </w:tc>
        <w:tc>
          <w:tcPr>
            <w:tcW w:w="698"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公里</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4.8</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4.8</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20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20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项目完成质量合格率</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项目完成及时率</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20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20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一事一议建设</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p>
        </w:tc>
        <w:tc>
          <w:tcPr>
            <w:tcW w:w="662"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定性</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好</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20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20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服务对象满意率</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90</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90</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补助标准</w:t>
            </w:r>
          </w:p>
        </w:tc>
        <w:tc>
          <w:tcPr>
            <w:tcW w:w="698"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万元/公里</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15</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15</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10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项目名称：</w:t>
            </w:r>
          </w:p>
        </w:tc>
        <w:tc>
          <w:tcPr>
            <w:tcW w:w="136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森林植被恢复返还渝财农【2022】128号</w:t>
            </w:r>
          </w:p>
        </w:tc>
        <w:tc>
          <w:tcPr>
            <w:tcW w:w="679"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项目编码：</w:t>
            </w:r>
          </w:p>
        </w:tc>
        <w:tc>
          <w:tcPr>
            <w:tcW w:w="1374"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50023123T000003530508</w:t>
            </w:r>
          </w:p>
        </w:tc>
        <w:tc>
          <w:tcPr>
            <w:tcW w:w="765"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自评总分：</w:t>
            </w:r>
          </w:p>
        </w:tc>
        <w:tc>
          <w:tcPr>
            <w:tcW w:w="135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100.00</w:t>
            </w:r>
          </w:p>
        </w:tc>
        <w:tc>
          <w:tcPr>
            <w:tcW w:w="81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　</w:t>
            </w:r>
          </w:p>
        </w:tc>
        <w:tc>
          <w:tcPr>
            <w:tcW w:w="1183"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项目主管部门：</w:t>
            </w:r>
          </w:p>
        </w:tc>
        <w:tc>
          <w:tcPr>
            <w:tcW w:w="136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707-垫江县普顺镇人民政府</w:t>
            </w:r>
          </w:p>
        </w:tc>
        <w:tc>
          <w:tcPr>
            <w:tcW w:w="679"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财政归口处室：</w:t>
            </w:r>
          </w:p>
        </w:tc>
        <w:tc>
          <w:tcPr>
            <w:tcW w:w="1374"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014-会计管理核算中心</w:t>
            </w:r>
          </w:p>
        </w:tc>
        <w:tc>
          <w:tcPr>
            <w:tcW w:w="765"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部门联系人：</w:t>
            </w:r>
          </w:p>
        </w:tc>
        <w:tc>
          <w:tcPr>
            <w:tcW w:w="1350" w:type="dxa"/>
            <w:gridSpan w:val="2"/>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张小飞</w:t>
            </w:r>
          </w:p>
        </w:tc>
        <w:tc>
          <w:tcPr>
            <w:tcW w:w="810" w:type="dxa"/>
            <w:tcBorders>
              <w:tl2br w:val="nil"/>
              <w:tr2bl w:val="nil"/>
            </w:tcBorders>
            <w:shd w:val="clear" w:color="auto" w:fill="auto"/>
            <w:noWrap/>
            <w:vAlign w:val="center"/>
          </w:tcPr>
          <w:p>
            <w:pPr>
              <w:adjustRightInd w:val="0"/>
              <w:snapToGrid w:val="0"/>
              <w:spacing w:line="594" w:lineRule="exact"/>
              <w:ind w:firstLine="200"/>
              <w:jc w:val="right"/>
              <w:rPr>
                <w:rFonts w:hint="default" w:cs="宋体"/>
                <w:b/>
                <w:bCs/>
                <w:color w:val="000000"/>
                <w:sz w:val="22"/>
                <w:szCs w:val="22"/>
              </w:rPr>
            </w:pPr>
            <w:r>
              <w:rPr>
                <w:rFonts w:cs="宋体"/>
                <w:b/>
                <w:bCs/>
                <w:color w:val="000000"/>
                <w:sz w:val="22"/>
                <w:szCs w:val="22"/>
              </w:rPr>
              <w:t>联系电话：</w:t>
            </w:r>
          </w:p>
        </w:tc>
        <w:tc>
          <w:tcPr>
            <w:tcW w:w="1183"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13594560245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38"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22"/>
                <w:szCs w:val="22"/>
              </w:rPr>
            </w:pPr>
            <w:r>
              <w:rPr>
                <w:rFonts w:cs="宋体"/>
                <w:color w:val="000000"/>
                <w:sz w:val="22"/>
                <w:szCs w:val="22"/>
              </w:rPr>
              <w:t>　</w:t>
            </w:r>
          </w:p>
        </w:tc>
        <w:tc>
          <w:tcPr>
            <w:tcW w:w="1341"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年初预算数</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全年（调整）预算数</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全年执行数</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执行率</w:t>
            </w:r>
          </w:p>
        </w:tc>
        <w:tc>
          <w:tcPr>
            <w:tcW w:w="810" w:type="dxa"/>
            <w:tcBorders>
              <w:tl2br w:val="nil"/>
              <w:tr2bl w:val="nil"/>
            </w:tcBorders>
            <w:shd w:val="clear" w:color="auto" w:fill="auto"/>
            <w:noWrap/>
            <w:vAlign w:val="center"/>
          </w:tcPr>
          <w:p>
            <w:pPr>
              <w:adjustRightInd w:val="0"/>
              <w:snapToGrid w:val="0"/>
              <w:spacing w:line="594" w:lineRule="exact"/>
              <w:ind w:firstLine="200"/>
              <w:rPr>
                <w:rFonts w:hint="default" w:cs="宋体"/>
                <w:b/>
                <w:bCs/>
                <w:color w:val="000000"/>
                <w:sz w:val="22"/>
                <w:szCs w:val="22"/>
              </w:rPr>
            </w:pPr>
            <w:r>
              <w:rPr>
                <w:rFonts w:cs="宋体"/>
                <w:b/>
                <w:bCs/>
                <w:color w:val="000000"/>
                <w:sz w:val="22"/>
                <w:szCs w:val="22"/>
              </w:rPr>
              <w:t>执行率权重</w:t>
            </w:r>
          </w:p>
        </w:tc>
        <w:tc>
          <w:tcPr>
            <w:tcW w:w="1183"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执行率得分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年度总金额</w:t>
            </w:r>
          </w:p>
        </w:tc>
        <w:tc>
          <w:tcPr>
            <w:tcW w:w="698"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62"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0</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261,000.00</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261,000.00</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p>
        </w:tc>
        <w:tc>
          <w:tcPr>
            <w:tcW w:w="1183"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其中：财政拨款</w:t>
            </w:r>
          </w:p>
        </w:tc>
        <w:tc>
          <w:tcPr>
            <w:tcW w:w="698"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62"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0</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261,000.00</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261,000.00</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100</w:t>
            </w: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10</w:t>
            </w:r>
          </w:p>
        </w:tc>
        <w:tc>
          <w:tcPr>
            <w:tcW w:w="1183"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sz w:val="18"/>
                <w:szCs w:val="18"/>
              </w:rPr>
            </w:pPr>
            <w:r>
              <w:rPr>
                <w:rFonts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一般公共预算</w:t>
            </w:r>
          </w:p>
        </w:tc>
        <w:tc>
          <w:tcPr>
            <w:tcW w:w="698"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62"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22"/>
                <w:szCs w:val="22"/>
              </w:rPr>
            </w:pPr>
            <w:r>
              <w:rPr>
                <w:rFonts w:cs="宋体"/>
                <w:color w:val="000000"/>
                <w:sz w:val="22"/>
                <w:szCs w:val="22"/>
              </w:rPr>
              <w:t>　</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0</w:t>
            </w:r>
          </w:p>
        </w:tc>
        <w:tc>
          <w:tcPr>
            <w:tcW w:w="1374"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261,000.00</w:t>
            </w:r>
          </w:p>
        </w:tc>
        <w:tc>
          <w:tcPr>
            <w:tcW w:w="1455" w:type="dxa"/>
            <w:gridSpan w:val="2"/>
            <w:tcBorders>
              <w:tl2br w:val="nil"/>
              <w:tr2bl w:val="nil"/>
            </w:tcBorders>
            <w:shd w:val="clear" w:color="auto" w:fill="auto"/>
            <w:noWrap/>
            <w:vAlign w:val="center"/>
          </w:tcPr>
          <w:p>
            <w:pPr>
              <w:adjustRightInd w:val="0"/>
              <w:snapToGrid w:val="0"/>
              <w:spacing w:line="594" w:lineRule="exact"/>
              <w:ind w:firstLine="200"/>
              <w:jc w:val="center"/>
              <w:textAlignment w:val="center"/>
              <w:rPr>
                <w:rFonts w:hint="default" w:cs="宋体"/>
                <w:color w:val="000000"/>
                <w:sz w:val="18"/>
                <w:szCs w:val="18"/>
              </w:rPr>
            </w:pPr>
            <w:r>
              <w:rPr>
                <w:rFonts w:cs="宋体"/>
                <w:color w:val="000000"/>
                <w:sz w:val="18"/>
                <w:szCs w:val="18"/>
                <w:lang w:bidi="ar"/>
              </w:rPr>
              <w:t>261,000.00</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r>
              <w:rPr>
                <w:rFonts w:cs="宋体"/>
                <w:color w:val="000000"/>
                <w:sz w:val="18"/>
                <w:szCs w:val="18"/>
              </w:rPr>
              <w:t>100</w:t>
            </w: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color w:val="000000"/>
                <w:sz w:val="18"/>
                <w:szCs w:val="18"/>
              </w:rPr>
            </w:pPr>
          </w:p>
        </w:tc>
        <w:tc>
          <w:tcPr>
            <w:tcW w:w="1183" w:type="dxa"/>
            <w:tcBorders>
              <w:tl2br w:val="nil"/>
              <w:tr2bl w:val="nil"/>
            </w:tcBorders>
            <w:shd w:val="clear" w:color="auto" w:fill="auto"/>
            <w:noWrap/>
            <w:vAlign w:val="center"/>
          </w:tcPr>
          <w:p>
            <w:pPr>
              <w:adjustRightInd w:val="0"/>
              <w:snapToGrid w:val="0"/>
              <w:spacing w:line="594" w:lineRule="exact"/>
              <w:ind w:firstLine="180" w:firstLineChars="100"/>
              <w:jc w:val="center"/>
              <w:rPr>
                <w:rFonts w:hint="default"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79" w:type="dxa"/>
            <w:gridSpan w:val="4"/>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年初绩效目标</w:t>
            </w:r>
          </w:p>
        </w:tc>
        <w:tc>
          <w:tcPr>
            <w:tcW w:w="2829" w:type="dxa"/>
            <w:gridSpan w:val="4"/>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全年（调整）绩效目标</w:t>
            </w:r>
          </w:p>
        </w:tc>
        <w:tc>
          <w:tcPr>
            <w:tcW w:w="2653" w:type="dxa"/>
            <w:gridSpan w:val="3"/>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3379" w:type="dxa"/>
            <w:gridSpan w:val="4"/>
            <w:tcBorders>
              <w:tl2br w:val="nil"/>
              <w:tr2bl w:val="nil"/>
            </w:tcBorders>
            <w:shd w:val="clear" w:color="auto" w:fill="auto"/>
          </w:tcPr>
          <w:p>
            <w:pPr>
              <w:adjustRightInd w:val="0"/>
              <w:snapToGrid w:val="0"/>
              <w:spacing w:line="594" w:lineRule="exact"/>
              <w:ind w:firstLine="200"/>
              <w:rPr>
                <w:rFonts w:hint="default" w:cs="宋体"/>
                <w:color w:val="000000"/>
                <w:sz w:val="22"/>
                <w:szCs w:val="22"/>
              </w:rPr>
            </w:pPr>
            <w:r>
              <w:rPr>
                <w:rFonts w:cs="宋体"/>
                <w:color w:val="000000"/>
                <w:sz w:val="22"/>
                <w:szCs w:val="22"/>
              </w:rPr>
              <w:t>松材线虫除治</w:t>
            </w:r>
          </w:p>
        </w:tc>
        <w:tc>
          <w:tcPr>
            <w:tcW w:w="2829" w:type="dxa"/>
            <w:gridSpan w:val="4"/>
            <w:tcBorders>
              <w:tl2br w:val="nil"/>
              <w:tr2bl w:val="nil"/>
            </w:tcBorders>
            <w:shd w:val="clear" w:color="auto" w:fill="auto"/>
          </w:tcPr>
          <w:p>
            <w:pPr>
              <w:adjustRightInd w:val="0"/>
              <w:snapToGrid w:val="0"/>
              <w:spacing w:line="594" w:lineRule="exact"/>
              <w:ind w:firstLine="200"/>
              <w:rPr>
                <w:rFonts w:hint="default" w:cs="宋体"/>
                <w:color w:val="000000"/>
                <w:sz w:val="22"/>
                <w:szCs w:val="22"/>
              </w:rPr>
            </w:pPr>
            <w:r>
              <w:rPr>
                <w:rFonts w:cs="宋体"/>
                <w:color w:val="000000"/>
                <w:sz w:val="22"/>
                <w:szCs w:val="22"/>
              </w:rPr>
              <w:t>松材线虫除治</w:t>
            </w:r>
          </w:p>
        </w:tc>
        <w:tc>
          <w:tcPr>
            <w:tcW w:w="2653" w:type="dxa"/>
            <w:gridSpan w:val="3"/>
            <w:tcBorders>
              <w:tl2br w:val="nil"/>
              <w:tr2bl w:val="nil"/>
            </w:tcBorders>
            <w:shd w:val="clear" w:color="auto" w:fill="auto"/>
          </w:tcPr>
          <w:p>
            <w:pPr>
              <w:adjustRightInd w:val="0"/>
              <w:snapToGrid w:val="0"/>
              <w:spacing w:line="594" w:lineRule="exact"/>
              <w:ind w:firstLine="200"/>
              <w:rPr>
                <w:rFonts w:hint="default" w:cs="宋体"/>
                <w:color w:val="000000"/>
                <w:sz w:val="22"/>
                <w:szCs w:val="22"/>
              </w:rPr>
            </w:pPr>
            <w:r>
              <w:rPr>
                <w:rFonts w:cs="宋体"/>
                <w:color w:val="000000"/>
                <w:sz w:val="22"/>
                <w:szCs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11"/>
            <w:tcBorders>
              <w:tl2br w:val="nil"/>
              <w:tr2bl w:val="nil"/>
            </w:tcBorders>
            <w:shd w:val="clear" w:color="auto" w:fill="auto"/>
            <w:noWrap/>
            <w:vAlign w:val="center"/>
          </w:tcPr>
          <w:p>
            <w:pPr>
              <w:adjustRightInd w:val="0"/>
              <w:snapToGrid w:val="0"/>
              <w:spacing w:line="594" w:lineRule="exact"/>
              <w:ind w:firstLine="200"/>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指标名称</w:t>
            </w:r>
          </w:p>
        </w:tc>
        <w:tc>
          <w:tcPr>
            <w:tcW w:w="698"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计量单位</w:t>
            </w:r>
          </w:p>
        </w:tc>
        <w:tc>
          <w:tcPr>
            <w:tcW w:w="662"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指标性质</w:t>
            </w:r>
          </w:p>
        </w:tc>
        <w:tc>
          <w:tcPr>
            <w:tcW w:w="679"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指标值</w:t>
            </w:r>
          </w:p>
        </w:tc>
        <w:tc>
          <w:tcPr>
            <w:tcW w:w="826"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全年完成值</w:t>
            </w:r>
          </w:p>
        </w:tc>
        <w:tc>
          <w:tcPr>
            <w:tcW w:w="548"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偏离度（%）</w:t>
            </w:r>
          </w:p>
        </w:tc>
        <w:tc>
          <w:tcPr>
            <w:tcW w:w="765"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得分系数（%）</w:t>
            </w:r>
          </w:p>
        </w:tc>
        <w:tc>
          <w:tcPr>
            <w:tcW w:w="69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指标权重</w:t>
            </w:r>
          </w:p>
        </w:tc>
        <w:tc>
          <w:tcPr>
            <w:tcW w:w="66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指标得分</w:t>
            </w:r>
          </w:p>
        </w:tc>
        <w:tc>
          <w:tcPr>
            <w:tcW w:w="810"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是否核心指标</w:t>
            </w:r>
          </w:p>
        </w:tc>
        <w:tc>
          <w:tcPr>
            <w:tcW w:w="1183" w:type="dxa"/>
            <w:tcBorders>
              <w:tl2br w:val="nil"/>
              <w:tr2bl w:val="nil"/>
            </w:tcBorders>
            <w:shd w:val="clear" w:color="auto" w:fill="auto"/>
            <w:noWrap/>
            <w:vAlign w:val="center"/>
          </w:tcPr>
          <w:p>
            <w:pPr>
              <w:adjustRightInd w:val="0"/>
              <w:snapToGrid w:val="0"/>
              <w:spacing w:line="594" w:lineRule="exact"/>
              <w:ind w:firstLine="200"/>
              <w:jc w:val="center"/>
              <w:rPr>
                <w:rFonts w:hint="default" w:cs="宋体"/>
                <w:b/>
                <w:bCs/>
                <w:color w:val="000000"/>
                <w:sz w:val="22"/>
                <w:szCs w:val="22"/>
              </w:rPr>
            </w:pPr>
            <w:r>
              <w:rPr>
                <w:rFonts w:cs="宋体"/>
                <w:b/>
                <w:bCs/>
                <w:color w:val="00000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除治面积</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亩</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18"/>
                <w:szCs w:val="18"/>
              </w:rPr>
            </w:pPr>
            <w:r>
              <w:rPr>
                <w:rFonts w:cs="宋体"/>
                <w:color w:val="000000"/>
                <w:sz w:val="18"/>
                <w:szCs w:val="18"/>
              </w:rPr>
              <w:t>22000</w:t>
            </w:r>
          </w:p>
        </w:tc>
        <w:tc>
          <w:tcPr>
            <w:tcW w:w="826"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18"/>
                <w:szCs w:val="18"/>
              </w:rPr>
            </w:pPr>
            <w:r>
              <w:rPr>
                <w:rFonts w:cs="宋体"/>
                <w:color w:val="000000"/>
                <w:sz w:val="18"/>
                <w:szCs w:val="18"/>
              </w:rPr>
              <w:t>22000</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20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20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项目完成质量合格率</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项目完成及时率</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20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20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松材线虫除治</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　</w:t>
            </w:r>
          </w:p>
        </w:tc>
        <w:tc>
          <w:tcPr>
            <w:tcW w:w="662"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18"/>
                <w:szCs w:val="18"/>
              </w:rPr>
            </w:pPr>
            <w:r>
              <w:rPr>
                <w:rFonts w:cs="宋体"/>
                <w:color w:val="000000"/>
                <w:sz w:val="18"/>
                <w:szCs w:val="18"/>
              </w:rPr>
              <w:t>定性</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好</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20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20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服务对象满意率</w:t>
            </w:r>
          </w:p>
        </w:tc>
        <w:tc>
          <w:tcPr>
            <w:tcW w:w="69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90</w:t>
            </w:r>
          </w:p>
        </w:tc>
        <w:tc>
          <w:tcPr>
            <w:tcW w:w="826"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90</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是</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除治经费</w:t>
            </w:r>
          </w:p>
        </w:tc>
        <w:tc>
          <w:tcPr>
            <w:tcW w:w="698"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18"/>
                <w:szCs w:val="18"/>
              </w:rPr>
            </w:pPr>
            <w:r>
              <w:rPr>
                <w:rFonts w:cs="宋体"/>
                <w:color w:val="000000"/>
                <w:sz w:val="18"/>
                <w:szCs w:val="18"/>
              </w:rPr>
              <w:t>元/亩</w:t>
            </w:r>
          </w:p>
        </w:tc>
        <w:tc>
          <w:tcPr>
            <w:tcW w:w="662"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w:t>
            </w:r>
          </w:p>
        </w:tc>
        <w:tc>
          <w:tcPr>
            <w:tcW w:w="679"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18"/>
                <w:szCs w:val="18"/>
              </w:rPr>
            </w:pPr>
            <w:r>
              <w:rPr>
                <w:rFonts w:cs="宋体"/>
                <w:color w:val="000000"/>
                <w:sz w:val="18"/>
                <w:szCs w:val="18"/>
              </w:rPr>
              <w:t>11.86</w:t>
            </w:r>
          </w:p>
        </w:tc>
        <w:tc>
          <w:tcPr>
            <w:tcW w:w="826" w:type="dxa"/>
            <w:tcBorders>
              <w:tl2br w:val="nil"/>
              <w:tr2bl w:val="nil"/>
            </w:tcBorders>
            <w:shd w:val="clear" w:color="auto" w:fill="auto"/>
            <w:noWrap/>
            <w:vAlign w:val="center"/>
          </w:tcPr>
          <w:p>
            <w:pPr>
              <w:adjustRightInd w:val="0"/>
              <w:snapToGrid w:val="0"/>
              <w:spacing w:line="594" w:lineRule="exact"/>
              <w:ind w:firstLine="200"/>
              <w:rPr>
                <w:rFonts w:hint="default" w:cs="宋体"/>
                <w:color w:val="000000"/>
                <w:sz w:val="18"/>
                <w:szCs w:val="18"/>
              </w:rPr>
            </w:pPr>
            <w:r>
              <w:rPr>
                <w:rFonts w:cs="宋体"/>
                <w:color w:val="000000"/>
                <w:sz w:val="18"/>
                <w:szCs w:val="18"/>
              </w:rPr>
              <w:t>11.86</w:t>
            </w:r>
          </w:p>
        </w:tc>
        <w:tc>
          <w:tcPr>
            <w:tcW w:w="548"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0</w:t>
            </w:r>
          </w:p>
        </w:tc>
        <w:tc>
          <w:tcPr>
            <w:tcW w:w="765"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100</w:t>
            </w:r>
          </w:p>
        </w:tc>
        <w:tc>
          <w:tcPr>
            <w:tcW w:w="69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w:t>
            </w:r>
          </w:p>
        </w:tc>
        <w:tc>
          <w:tcPr>
            <w:tcW w:w="66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10</w:t>
            </w:r>
          </w:p>
        </w:tc>
        <w:tc>
          <w:tcPr>
            <w:tcW w:w="810" w:type="dxa"/>
            <w:tcBorders>
              <w:tl2br w:val="nil"/>
              <w:tr2bl w:val="nil"/>
            </w:tcBorders>
            <w:shd w:val="clear" w:color="auto" w:fill="auto"/>
            <w:noWrap/>
            <w:vAlign w:val="center"/>
          </w:tcPr>
          <w:p>
            <w:pPr>
              <w:adjustRightInd w:val="0"/>
              <w:snapToGrid w:val="0"/>
              <w:spacing w:line="594" w:lineRule="exact"/>
              <w:ind w:firstLine="180" w:firstLineChars="100"/>
              <w:rPr>
                <w:rFonts w:hint="default" w:cs="宋体"/>
                <w:color w:val="000000"/>
                <w:sz w:val="18"/>
                <w:szCs w:val="18"/>
              </w:rPr>
            </w:pPr>
            <w:r>
              <w:rPr>
                <w:rFonts w:cs="宋体"/>
                <w:color w:val="000000"/>
                <w:sz w:val="18"/>
                <w:szCs w:val="18"/>
              </w:rPr>
              <w:t>否</w:t>
            </w:r>
          </w:p>
        </w:tc>
        <w:tc>
          <w:tcPr>
            <w:tcW w:w="1183" w:type="dxa"/>
            <w:tcBorders>
              <w:tl2br w:val="nil"/>
              <w:tr2bl w:val="nil"/>
            </w:tcBorders>
            <w:shd w:val="clear" w:color="auto" w:fill="auto"/>
            <w:noWrap/>
            <w:vAlign w:val="center"/>
          </w:tcPr>
          <w:p>
            <w:pPr>
              <w:adjustRightInd w:val="0"/>
              <w:snapToGrid w:val="0"/>
              <w:spacing w:line="594" w:lineRule="exact"/>
              <w:ind w:firstLine="220" w:firstLineChars="100"/>
              <w:rPr>
                <w:rFonts w:hint="default" w:cs="宋体"/>
                <w:color w:val="000000"/>
                <w:sz w:val="22"/>
                <w:szCs w:val="22"/>
              </w:rPr>
            </w:pPr>
            <w:r>
              <w:rPr>
                <w:rFonts w:cs="宋体"/>
                <w:color w:val="000000"/>
                <w:sz w:val="22"/>
                <w:szCs w:val="22"/>
              </w:rPr>
              <w:t>　</w:t>
            </w:r>
          </w:p>
        </w:tc>
      </w:tr>
    </w:tbl>
    <w:p>
      <w:pPr>
        <w:pStyle w:val="13"/>
        <w:autoSpaceDE w:val="0"/>
        <w:adjustRightInd w:val="0"/>
        <w:snapToGrid w:val="0"/>
        <w:spacing w:before="0" w:beforeAutospacing="0" w:after="0" w:afterAutospacing="0" w:line="594" w:lineRule="exact"/>
        <w:ind w:firstLine="200"/>
        <w:rPr>
          <w:rFonts w:ascii="方正仿宋_GBK" w:hAnsi="方正仿宋_GBK" w:eastAsia="方正仿宋_GBK" w:cs="方正仿宋_GBK"/>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autoSpaceDE w:val="0"/>
        <w:adjustRightInd w:val="0"/>
        <w:snapToGrid w:val="0"/>
        <w:spacing w:before="0" w:beforeAutospacing="0" w:after="0" w:afterAutospacing="0" w:line="594" w:lineRule="exact"/>
        <w:ind w:left="800" w:firstLine="200"/>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7"/>
        <w:autoSpaceDE w:val="0"/>
        <w:adjustRightInd w:val="0"/>
        <w:snapToGrid w:val="0"/>
        <w:spacing w:line="594"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adjustRightInd w:val="0"/>
        <w:snapToGrid w:val="0"/>
        <w:spacing w:line="594" w:lineRule="exact"/>
        <w:ind w:left="1040" w:leftChars="300" w:hanging="320" w:hangingChars="1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13"/>
        <w:autoSpaceDE w:val="0"/>
        <w:adjustRightInd w:val="0"/>
        <w:snapToGrid w:val="0"/>
        <w:spacing w:before="0" w:beforeAutospacing="0" w:after="0" w:afterAutospacing="0" w:line="594" w:lineRule="exact"/>
        <w:ind w:firstLine="200"/>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7"/>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2"/>
        <w:autoSpaceDE w:val="0"/>
        <w:adjustRightInd w:val="0"/>
        <w:snapToGrid w:val="0"/>
        <w:spacing w:line="594" w:lineRule="exact"/>
        <w:ind w:firstLine="640"/>
        <w:rPr>
          <w:rFonts w:ascii="方正仿宋_GBK" w:eastAsia="方正仿宋_GBK"/>
          <w:sz w:val="32"/>
          <w:szCs w:val="32"/>
        </w:rPr>
      </w:pPr>
      <w:r>
        <w:rPr>
          <w:rFonts w:hint="eastAsia" w:ascii="方正仿宋_GBK" w:eastAsia="方正仿宋_GBK"/>
          <w:sz w:val="32"/>
          <w:szCs w:val="32"/>
        </w:rPr>
        <w:t>张老师    023-74548800</w:t>
      </w:r>
    </w:p>
    <w:p>
      <w:pPr>
        <w:pStyle w:val="12"/>
        <w:autoSpaceDE w:val="0"/>
        <w:adjustRightInd w:val="0"/>
        <w:snapToGrid w:val="0"/>
        <w:spacing w:line="594" w:lineRule="exact"/>
        <w:ind w:firstLine="640"/>
        <w:rPr>
          <w:rFonts w:ascii="方正仿宋_GBK" w:eastAsia="方正仿宋_GBK"/>
          <w:sz w:val="32"/>
          <w:szCs w:val="32"/>
        </w:rPr>
      </w:pPr>
    </w:p>
    <w:p>
      <w:pPr>
        <w:shd w:val="clear" w:color="auto" w:fill="FFFFFF"/>
        <w:adjustRightInd w:val="0"/>
        <w:snapToGrid w:val="0"/>
        <w:spacing w:line="594" w:lineRule="exact"/>
        <w:ind w:firstLine="643" w:firstLineChars="200"/>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垫江县普顺镇人民政府（本级）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3,278.46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953.98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197.12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3,493.84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3,500.44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3,500.44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垫江县普顺镇人民政府（本级）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3,455.46</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3,455.46</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197.12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197.12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3,493.84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1,345.48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2,148.36</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235.01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211.11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197.12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垫江县普顺镇人民政府（本级）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3,278.46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3,455.46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3,493.84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3,316.84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3,500.44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3,500.44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3,316.84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1,971.37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211.11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197.12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垫江县普顺镇人民政府（本级）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1,098.74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246.74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97.49</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246.74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246.74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200"/>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C01CC"/>
    <w:rsid w:val="000D7702"/>
    <w:rsid w:val="000F6721"/>
    <w:rsid w:val="001632EC"/>
    <w:rsid w:val="00261065"/>
    <w:rsid w:val="002821C1"/>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A71"/>
    <w:rsid w:val="007C5C5B"/>
    <w:rsid w:val="00810F13"/>
    <w:rsid w:val="00826B47"/>
    <w:rsid w:val="00893689"/>
    <w:rsid w:val="009323F4"/>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52CC0"/>
    <w:rsid w:val="00C55AF3"/>
    <w:rsid w:val="00C96B11"/>
    <w:rsid w:val="00C97747"/>
    <w:rsid w:val="00CC6B99"/>
    <w:rsid w:val="00DF7706"/>
    <w:rsid w:val="00E05175"/>
    <w:rsid w:val="00E654E2"/>
    <w:rsid w:val="00E76362"/>
    <w:rsid w:val="00E86B80"/>
    <w:rsid w:val="00F078CD"/>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4E23328"/>
    <w:rsid w:val="05BC6D49"/>
    <w:rsid w:val="06194FF1"/>
    <w:rsid w:val="06A2550B"/>
    <w:rsid w:val="06F80EE2"/>
    <w:rsid w:val="07001CCA"/>
    <w:rsid w:val="071E321C"/>
    <w:rsid w:val="075678DB"/>
    <w:rsid w:val="079D7CC7"/>
    <w:rsid w:val="07F92DBB"/>
    <w:rsid w:val="08051BCA"/>
    <w:rsid w:val="086C12F4"/>
    <w:rsid w:val="08825285"/>
    <w:rsid w:val="08871528"/>
    <w:rsid w:val="08BA052C"/>
    <w:rsid w:val="08DB07BA"/>
    <w:rsid w:val="0969353F"/>
    <w:rsid w:val="098305D0"/>
    <w:rsid w:val="098A0877"/>
    <w:rsid w:val="09E95678"/>
    <w:rsid w:val="0A4505E1"/>
    <w:rsid w:val="0A5C4B69"/>
    <w:rsid w:val="0A86124A"/>
    <w:rsid w:val="0AB127DB"/>
    <w:rsid w:val="0AB54CC0"/>
    <w:rsid w:val="0B9335CE"/>
    <w:rsid w:val="0C7927C4"/>
    <w:rsid w:val="0C9B098C"/>
    <w:rsid w:val="0D673E11"/>
    <w:rsid w:val="0DDA54E4"/>
    <w:rsid w:val="0E084ABF"/>
    <w:rsid w:val="0E3A5F83"/>
    <w:rsid w:val="0E74421A"/>
    <w:rsid w:val="0EA46639"/>
    <w:rsid w:val="0EC6180C"/>
    <w:rsid w:val="0F497FB6"/>
    <w:rsid w:val="0F836721"/>
    <w:rsid w:val="0FA25D96"/>
    <w:rsid w:val="0FFE28AC"/>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2E4642"/>
    <w:rsid w:val="14907817"/>
    <w:rsid w:val="163A6CEE"/>
    <w:rsid w:val="173708E3"/>
    <w:rsid w:val="174C19C7"/>
    <w:rsid w:val="17C374FC"/>
    <w:rsid w:val="189079DC"/>
    <w:rsid w:val="189B0D0B"/>
    <w:rsid w:val="18AC781C"/>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48357F"/>
    <w:rsid w:val="21556F04"/>
    <w:rsid w:val="22403BD3"/>
    <w:rsid w:val="23DA37D9"/>
    <w:rsid w:val="24B92327"/>
    <w:rsid w:val="24C14514"/>
    <w:rsid w:val="2533755C"/>
    <w:rsid w:val="25791755"/>
    <w:rsid w:val="26396DF4"/>
    <w:rsid w:val="27167136"/>
    <w:rsid w:val="27B23302"/>
    <w:rsid w:val="288A6D7D"/>
    <w:rsid w:val="29310A5F"/>
    <w:rsid w:val="29C37A35"/>
    <w:rsid w:val="2A076083"/>
    <w:rsid w:val="2A73162E"/>
    <w:rsid w:val="2A751F0B"/>
    <w:rsid w:val="2B167953"/>
    <w:rsid w:val="2B200583"/>
    <w:rsid w:val="2B220436"/>
    <w:rsid w:val="2B8209DE"/>
    <w:rsid w:val="2C6762A3"/>
    <w:rsid w:val="2C9A79C2"/>
    <w:rsid w:val="2CF96A64"/>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3B461A"/>
    <w:rsid w:val="33A40F1F"/>
    <w:rsid w:val="33E31118"/>
    <w:rsid w:val="33EF7674"/>
    <w:rsid w:val="342D7BC6"/>
    <w:rsid w:val="34475F39"/>
    <w:rsid w:val="352930DB"/>
    <w:rsid w:val="35573069"/>
    <w:rsid w:val="355F6038"/>
    <w:rsid w:val="358C217E"/>
    <w:rsid w:val="35937598"/>
    <w:rsid w:val="3676199F"/>
    <w:rsid w:val="36C9128A"/>
    <w:rsid w:val="372E3953"/>
    <w:rsid w:val="37841E99"/>
    <w:rsid w:val="37BF1123"/>
    <w:rsid w:val="383C3F15"/>
    <w:rsid w:val="38BE4696"/>
    <w:rsid w:val="3939115E"/>
    <w:rsid w:val="39981C2C"/>
    <w:rsid w:val="39B82A39"/>
    <w:rsid w:val="39C42CA8"/>
    <w:rsid w:val="39DC4FD6"/>
    <w:rsid w:val="39F03D7A"/>
    <w:rsid w:val="39F33306"/>
    <w:rsid w:val="39F54F60"/>
    <w:rsid w:val="3A2C1C67"/>
    <w:rsid w:val="3A3C5159"/>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8E1092"/>
    <w:rsid w:val="41E0734B"/>
    <w:rsid w:val="426554D0"/>
    <w:rsid w:val="426C1EA8"/>
    <w:rsid w:val="42736402"/>
    <w:rsid w:val="42E86A87"/>
    <w:rsid w:val="43307B09"/>
    <w:rsid w:val="43470647"/>
    <w:rsid w:val="438C484F"/>
    <w:rsid w:val="438D0E97"/>
    <w:rsid w:val="43BB152F"/>
    <w:rsid w:val="43C15F05"/>
    <w:rsid w:val="44494994"/>
    <w:rsid w:val="44C37687"/>
    <w:rsid w:val="45CB699A"/>
    <w:rsid w:val="464617DD"/>
    <w:rsid w:val="465B470D"/>
    <w:rsid w:val="469D6AD4"/>
    <w:rsid w:val="471E6C84"/>
    <w:rsid w:val="4748792B"/>
    <w:rsid w:val="475D719D"/>
    <w:rsid w:val="47674801"/>
    <w:rsid w:val="48225EF7"/>
    <w:rsid w:val="488F422B"/>
    <w:rsid w:val="48E36915"/>
    <w:rsid w:val="49403BC9"/>
    <w:rsid w:val="495C4A24"/>
    <w:rsid w:val="497135DF"/>
    <w:rsid w:val="49B32549"/>
    <w:rsid w:val="4A1605D9"/>
    <w:rsid w:val="4A263DF2"/>
    <w:rsid w:val="4A6F6675"/>
    <w:rsid w:val="4A8858E0"/>
    <w:rsid w:val="4ABF0746"/>
    <w:rsid w:val="4AD22135"/>
    <w:rsid w:val="4B0502DF"/>
    <w:rsid w:val="4B135857"/>
    <w:rsid w:val="4B7951CB"/>
    <w:rsid w:val="4B7C315C"/>
    <w:rsid w:val="4CCF773C"/>
    <w:rsid w:val="4D9709DC"/>
    <w:rsid w:val="4DAC4ACA"/>
    <w:rsid w:val="4DBE01D2"/>
    <w:rsid w:val="4E17111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7902C8F"/>
    <w:rsid w:val="5842572D"/>
    <w:rsid w:val="5A3B59D6"/>
    <w:rsid w:val="5AD134D8"/>
    <w:rsid w:val="5B6503B1"/>
    <w:rsid w:val="5C0F7EC4"/>
    <w:rsid w:val="5C263CE4"/>
    <w:rsid w:val="5C5D2777"/>
    <w:rsid w:val="5CF66BF3"/>
    <w:rsid w:val="5D290C69"/>
    <w:rsid w:val="5F2D4A41"/>
    <w:rsid w:val="60C74F6C"/>
    <w:rsid w:val="60FF47F6"/>
    <w:rsid w:val="61025A59"/>
    <w:rsid w:val="61241E74"/>
    <w:rsid w:val="613D5BBC"/>
    <w:rsid w:val="61536C39"/>
    <w:rsid w:val="616F34AD"/>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5E75374"/>
    <w:rsid w:val="66267C04"/>
    <w:rsid w:val="663F505A"/>
    <w:rsid w:val="66967186"/>
    <w:rsid w:val="66EE5541"/>
    <w:rsid w:val="67924660"/>
    <w:rsid w:val="683200C2"/>
    <w:rsid w:val="68407834"/>
    <w:rsid w:val="6883293E"/>
    <w:rsid w:val="688412AD"/>
    <w:rsid w:val="68EB1B71"/>
    <w:rsid w:val="6938068A"/>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4A14608"/>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autoRedefine/>
    <w:unhideWhenUsed/>
    <w:qFormat/>
    <w:uiPriority w:val="0"/>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4358</Words>
  <Characters>5250</Characters>
  <Lines>224</Lines>
  <Paragraphs>63</Paragraphs>
  <TotalTime>0</TotalTime>
  <ScaleCrop>false</ScaleCrop>
  <LinksUpToDate>false</LinksUpToDate>
  <CharactersWithSpaces>5271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WPS_1664260647</cp:lastModifiedBy>
  <dcterms:modified xsi:type="dcterms:W3CDTF">2025-09-27T13:34:27Z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eyJoZGlkIjoiMzc5MThlMDQ3N2FhMGQ5ZjViNTQ5Njk1MzE2ZjEwYTciLCJ1c2VySWQiOiIxMjAwOTU3OTYwIn0=</vt:lpwstr>
  </property>
</Properties>
</file>