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垫江县裴兴镇人民政府</w:t>
      </w:r>
      <w:r>
        <w:rPr>
          <w:rFonts w:ascii="方正小标宋_GBK" w:hAnsi="方正小标宋_GBK" w:eastAsia="方正小标宋_GBK" w:cs="方正小标宋_GBK"/>
          <w:sz w:val="36"/>
          <w:szCs w:val="36"/>
          <w:shd w:val="clear" w:color="auto" w:fill="FFFFFF"/>
        </w:rPr>
        <w:t>2023年度决算公开说明</w:t>
      </w:r>
    </w:p>
    <w:p>
      <w:pPr>
        <w:pStyle w:val="5"/>
        <w:shd w:val="clear" w:color="auto" w:fill="FFFFFF"/>
        <w:rPr>
          <w:rFonts w:hint="default" w:ascii="黑体" w:hAnsi="黑体" w:eastAsia="黑体" w:cs="黑体"/>
          <w:sz w:val="32"/>
          <w:szCs w:val="32"/>
        </w:rPr>
      </w:pPr>
      <w:r>
        <w:rPr>
          <w:rStyle w:val="9"/>
          <w:rFonts w:ascii="黑体" w:hAnsi="黑体" w:eastAsia="黑体" w:cs="黑体"/>
          <w:sz w:val="32"/>
          <w:szCs w:val="32"/>
          <w:shd w:val="clear" w:color="auto" w:fill="FFFFFF"/>
        </w:rPr>
        <w:t>一、部门基本情况</w:t>
      </w:r>
    </w:p>
    <w:p>
      <w:pPr>
        <w:pStyle w:val="5"/>
        <w:shd w:val="clear" w:color="auto" w:fill="FFFFFF"/>
        <w:ind w:firstLine="642" w:firstLineChars="20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（2）负责乡人民代表大会、主席团履行法定职权的具体工作。组织人大代表视察、调研、评议等工作。完成党委、人大主席团交办的其他工作。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（14）负责配合综合行政执法办公室做好有关农林水利、规划建设、卫生健康、市容环卫、环境保护、文化旅游、民政管理、消防等方面的执法工作。</w:t>
      </w:r>
    </w:p>
    <w:p>
      <w:pPr>
        <w:pStyle w:val="5"/>
        <w:shd w:val="clear" w:color="auto" w:fill="FFFFFF"/>
        <w:spacing w:afterAutospacing="0" w:line="560" w:lineRule="exact"/>
        <w:ind w:firstLine="642" w:firstLineChars="20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按照优化协同高效的原则，共计设置行政办公室10个，公益一类事业单位5个。分别是：党政办公室、党群工作办公室、人大办公室、经济发展办公室、财政办公室、民政和社会事务办公室、平安建设办公室、规划建设管理环保办公室、应急管理办公室、综合行政执法办公室、农业服务中心、文化服务中心、劳动就业和社会保障服务所、退役军人服务站、综合行政执法大队。</w:t>
      </w:r>
    </w:p>
    <w:p>
      <w:pPr>
        <w:pStyle w:val="5"/>
        <w:shd w:val="clear" w:color="auto" w:fill="FFFFFF"/>
        <w:spacing w:line="560" w:lineRule="exact"/>
        <w:rPr>
          <w:rFonts w:hint="default" w:ascii="方正仿宋_GBK" w:hAnsi="方正仿宋_GBK" w:eastAsia="方正仿宋_GBK" w:cs="方正仿宋_GBK"/>
          <w:sz w:val="32"/>
          <w:szCs w:val="32"/>
        </w:rPr>
      </w:pPr>
      <w:r>
        <w:rPr>
          <w:rStyle w:val="9"/>
          <w:rFonts w:ascii="黑体" w:hAnsi="黑体" w:eastAsia="黑体" w:cs="黑体"/>
          <w:sz w:val="32"/>
          <w:szCs w:val="32"/>
          <w:shd w:val="clear" w:color="auto" w:fill="FFFFFF"/>
        </w:rPr>
        <w:t>二、部门决算情况说明</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5"/>
        <w:shd w:val="clear" w:color="auto" w:fill="FFFFFF"/>
        <w:spacing w:line="560" w:lineRule="exact"/>
        <w:ind w:firstLine="642"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2023年度收入总计2017.15万元，支出总计</w:t>
      </w:r>
      <w:r>
        <w:rPr>
          <w:rFonts w:ascii="方正仿宋_GBK" w:hAnsi="方正仿宋_GBK" w:eastAsia="方正仿宋_GBK" w:cs="方正仿宋_GBK"/>
          <w:sz w:val="32"/>
          <w:szCs w:val="32"/>
        </w:rPr>
        <w:t>2017.15</w:t>
      </w:r>
      <w:r>
        <w:rPr>
          <w:rFonts w:ascii="方正仿宋_GBK" w:hAnsi="方正仿宋_GBK" w:eastAsia="方正仿宋_GBK" w:cs="方正仿宋_GBK"/>
          <w:sz w:val="32"/>
          <w:szCs w:val="32"/>
          <w:shd w:val="clear" w:color="auto" w:fill="FFFFFF"/>
        </w:rPr>
        <w:t>万元。收支较上年决算数减少685.65万元，下降25.37%，主要原因是降低了项目资金的安排、项目体制补助减少、机关运行经费减少。</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2023年度收入合计2017.15万元，较上年决算数减少264.56万元，下降11.59%，主要原因是降低了项目资金的安排。其中：财政拨款收入</w:t>
      </w:r>
      <w:r>
        <w:rPr>
          <w:rFonts w:ascii="方正仿宋_GBK" w:hAnsi="方正仿宋_GBK" w:eastAsia="方正仿宋_GBK" w:cs="方正仿宋_GBK"/>
          <w:sz w:val="32"/>
          <w:szCs w:val="32"/>
        </w:rPr>
        <w:t>2017.15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2017.15</w:t>
      </w:r>
      <w:r>
        <w:rPr>
          <w:rFonts w:ascii="方正仿宋_GBK" w:hAnsi="方正仿宋_GBK" w:eastAsia="方正仿宋_GBK" w:cs="方正仿宋_GBK"/>
          <w:sz w:val="32"/>
          <w:szCs w:val="32"/>
          <w:shd w:val="clear" w:color="auto" w:fill="FFFFFF"/>
        </w:rPr>
        <w:t>万元，较上年决算数减少685.65万元，下降25.37%，主要原因是项目体制补助减少、机关运行经费减少。其中：基本支出</w:t>
      </w:r>
      <w:r>
        <w:rPr>
          <w:rFonts w:ascii="方正仿宋_GBK" w:hAnsi="方正仿宋_GBK" w:eastAsia="方正仿宋_GBK" w:cs="方正仿宋_GBK"/>
          <w:sz w:val="32"/>
          <w:szCs w:val="32"/>
        </w:rPr>
        <w:t>1289.80</w:t>
      </w:r>
      <w:r>
        <w:rPr>
          <w:rFonts w:ascii="方正仿宋_GBK" w:hAnsi="方正仿宋_GBK" w:eastAsia="方正仿宋_GBK" w:cs="方正仿宋_GBK"/>
          <w:sz w:val="32"/>
          <w:szCs w:val="32"/>
          <w:shd w:val="clear" w:color="auto" w:fill="FFFFFF"/>
        </w:rPr>
        <w:t>万元，占63.94%；项目支出</w:t>
      </w:r>
      <w:r>
        <w:rPr>
          <w:rFonts w:ascii="方正仿宋_GBK" w:hAnsi="方正仿宋_GBK" w:eastAsia="方正仿宋_GBK" w:cs="方正仿宋_GBK"/>
          <w:sz w:val="32"/>
          <w:szCs w:val="32"/>
        </w:rPr>
        <w:t>727.35</w:t>
      </w:r>
      <w:r>
        <w:rPr>
          <w:rFonts w:ascii="方正仿宋_GBK" w:hAnsi="方正仿宋_GBK" w:eastAsia="方正仿宋_GBK" w:cs="方正仿宋_GBK"/>
          <w:sz w:val="32"/>
          <w:szCs w:val="32"/>
          <w:shd w:val="clear" w:color="auto" w:fill="FFFFFF"/>
        </w:rPr>
        <w:t>万元，占36.06%；经营支出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万元，较上年决算数无增减，主要原因是2022年与2023年均无结转结余。</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2023年度财政拨款收、支总计2017.15万元。与2022年相比，财政拨款收、支总计各减少685.65万元，下降25.37%。主要原因是降低了项目资金的安排、项目体制补助减少、机关运行经费减少。</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2012.08</w:t>
      </w:r>
      <w:r>
        <w:rPr>
          <w:rFonts w:ascii="方正仿宋_GBK" w:hAnsi="方正仿宋_GBK" w:eastAsia="方正仿宋_GBK" w:cs="方正仿宋_GBK"/>
          <w:sz w:val="32"/>
          <w:szCs w:val="32"/>
          <w:shd w:val="clear" w:color="auto" w:fill="FFFFFF"/>
        </w:rPr>
        <w:t>万元，较上年决算数减少222.33万元，下降9.95%。主要原因是上级拨款收入减少，本级非税收入减少。较年初预算数增加659.35万元，增长48.74%。主要原因是部分项目未纳入年初预算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2012.08</w:t>
      </w:r>
      <w:r>
        <w:rPr>
          <w:rFonts w:ascii="方正仿宋_GBK" w:hAnsi="方正仿宋_GBK" w:eastAsia="方正仿宋_GBK" w:cs="方正仿宋_GBK"/>
          <w:sz w:val="32"/>
          <w:szCs w:val="32"/>
          <w:shd w:val="clear" w:color="auto" w:fill="FFFFFF"/>
        </w:rPr>
        <w:t>万元，较上年决算数减少643.42万元，下降24.23%。主要原因是是项目体制补助减少、机关运行经费减少。较年初预算数增加659.35万元，增长48.74%。主要原因是部分项目未纳入年初预算。</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万元，较上年决算数无增减，主要原因是2022年与2023年均无结转结余。</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782.47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38.89</w:t>
      </w:r>
      <w:r>
        <w:rPr>
          <w:rFonts w:ascii="方正仿宋_GBK" w:hAnsi="方正仿宋_GBK" w:eastAsia="方正仿宋_GBK" w:cs="方正仿宋_GBK"/>
          <w:sz w:val="32"/>
          <w:szCs w:val="32"/>
          <w:shd w:val="clear" w:color="auto" w:fill="FFFFFF"/>
        </w:rPr>
        <w:t>%，较年初预算数增加309.60万元，增长65.47%，主要原因是部分项目未纳入年初预算。</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16.30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0.81</w:t>
      </w:r>
      <w:r>
        <w:rPr>
          <w:rFonts w:ascii="方正仿宋_GBK" w:hAnsi="方正仿宋_GBK" w:eastAsia="方正仿宋_GBK" w:cs="方正仿宋_GBK"/>
          <w:sz w:val="32"/>
          <w:szCs w:val="32"/>
          <w:shd w:val="clear" w:color="auto" w:fill="FFFFFF"/>
        </w:rPr>
        <w:t>%，较年初预算数增加16.30万元，增长100.00%，主要原因是部分项目未纳入年初预算。</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54.58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2.71</w:t>
      </w:r>
      <w:r>
        <w:rPr>
          <w:rFonts w:ascii="方正仿宋_GBK" w:hAnsi="方正仿宋_GBK" w:eastAsia="方正仿宋_GBK" w:cs="方正仿宋_GBK"/>
          <w:sz w:val="32"/>
          <w:szCs w:val="32"/>
          <w:shd w:val="clear" w:color="auto" w:fill="FFFFFF"/>
        </w:rPr>
        <w:t>%，较年初预算数增加4.58万元，增长9.16%，主要原因是部分项目未纳入年初预算。</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248.71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12.36</w:t>
      </w:r>
      <w:r>
        <w:rPr>
          <w:rFonts w:ascii="方正仿宋_GBK" w:hAnsi="方正仿宋_GBK" w:eastAsia="方正仿宋_GBK" w:cs="方正仿宋_GBK"/>
          <w:sz w:val="32"/>
          <w:szCs w:val="32"/>
          <w:shd w:val="clear" w:color="auto" w:fill="FFFFFF"/>
        </w:rPr>
        <w:t>%，较年初预算数增加27.26万元，增长12.31%，主要原因是行政事业单位养老支出增加。</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43.51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w:t>
      </w:r>
      <w:r>
        <w:rPr>
          <w:rFonts w:ascii="方正仿宋_GBK" w:hAnsi="方正仿宋_GBK" w:eastAsia="方正仿宋_GBK" w:cs="方正仿宋_GBK"/>
          <w:sz w:val="32"/>
          <w:szCs w:val="32"/>
          <w:shd w:val="clear" w:color="auto" w:fill="FFFFFF"/>
        </w:rPr>
        <w:t>%，较年初预算数增加15.03万元，增长52.77%，主要原因是部分项目未纳入年初预算。</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%，较年初预算数增加6.00万元，增长100.00%，主要原因是部分项目未纳入年初预算。</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28.07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%，较年初预算数减少58.69万元，下降67.65%，主要原因是项目支出减少。</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691.33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34.36</w:t>
      </w:r>
      <w:r>
        <w:rPr>
          <w:rFonts w:ascii="方正仿宋_GBK" w:hAnsi="方正仿宋_GBK" w:eastAsia="方正仿宋_GBK" w:cs="方正仿宋_GBK"/>
          <w:sz w:val="32"/>
          <w:szCs w:val="32"/>
          <w:shd w:val="clear" w:color="auto" w:fill="FFFFFF"/>
        </w:rPr>
        <w:t>%，较年初预算数增加254.14万元，增长58.13%，主要原因是增加扶贫项目支出、一事一议项目及乡村振兴项目支出等。</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23.04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1.14</w:t>
      </w:r>
      <w:r>
        <w:rPr>
          <w:rFonts w:ascii="方正仿宋_GBK" w:hAnsi="方正仿宋_GBK" w:eastAsia="方正仿宋_GBK" w:cs="方正仿宋_GBK"/>
          <w:sz w:val="32"/>
          <w:szCs w:val="32"/>
          <w:shd w:val="clear" w:color="auto" w:fill="FFFFFF"/>
        </w:rPr>
        <w:t>%，较年初预算数增加23.04万元，增长100.00%，主要原因是部分项目未纳入年初预算。</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%，较年初预算数无增减，主要原因是年初预算合理。</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住房保障支出88.39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4.39</w:t>
      </w:r>
      <w:r>
        <w:rPr>
          <w:rFonts w:ascii="方正仿宋_GBK" w:hAnsi="方正仿宋_GBK" w:eastAsia="方正仿宋_GBK" w:cs="方正仿宋_GBK"/>
          <w:sz w:val="32"/>
          <w:szCs w:val="32"/>
          <w:shd w:val="clear" w:color="auto" w:fill="FFFFFF"/>
        </w:rPr>
        <w:t>%，较年初预算数增加43.59万元，增长97.30%，主要原因是人员职级晋升工资待遇上调，住房公积金增加。</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灾害防治及应急管理支出19.68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0.98</w:t>
      </w:r>
      <w:r>
        <w:rPr>
          <w:rFonts w:ascii="方正仿宋_GBK" w:hAnsi="方正仿宋_GBK" w:eastAsia="方正仿宋_GBK" w:cs="方正仿宋_GBK"/>
          <w:sz w:val="32"/>
          <w:szCs w:val="32"/>
          <w:shd w:val="clear" w:color="auto" w:fill="FFFFFF"/>
        </w:rPr>
        <w:t>%，较年初预算数增加18.50万元，增长1567.80%，主要原因是部分项目未纳入年初预算。</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1289.80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1032.31</w:t>
      </w:r>
      <w:r>
        <w:rPr>
          <w:rFonts w:ascii="方正仿宋_GBK" w:hAnsi="方正仿宋_GBK" w:eastAsia="方正仿宋_GBK" w:cs="方正仿宋_GBK"/>
          <w:sz w:val="32"/>
          <w:szCs w:val="32"/>
          <w:shd w:val="clear" w:color="auto" w:fill="FFFFFF"/>
        </w:rPr>
        <w:t>万元，较上年决算数增加93.51万元，增长9.96%，主要原因是人员职级晋升工资待遇上调、公务员工资清算及基础绩效增加，增加支出。人员经费用途主要包括基本工资、津贴补贴、绩效工资、奖金、社会保障缴费、其他工资福利支出、退休费、医疗费等。公用经费</w:t>
      </w:r>
      <w:r>
        <w:rPr>
          <w:rFonts w:ascii="方正仿宋_GBK" w:hAnsi="方正仿宋_GBK" w:eastAsia="方正仿宋_GBK" w:cs="方正仿宋_GBK"/>
          <w:sz w:val="32"/>
          <w:szCs w:val="32"/>
        </w:rPr>
        <w:t>257.48</w:t>
      </w:r>
      <w:r>
        <w:rPr>
          <w:rFonts w:ascii="方正仿宋_GBK" w:hAnsi="方正仿宋_GBK" w:eastAsia="方正仿宋_GBK" w:cs="方正仿宋_GBK"/>
          <w:sz w:val="32"/>
          <w:szCs w:val="32"/>
          <w:shd w:val="clear" w:color="auto" w:fill="FFFFFF"/>
        </w:rPr>
        <w:t>万元，较上年决算数增加43.54万元，增长20.35%，主要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本年度房屋装修增加导致。公用经费用途主要包括办公费、水费、电费、邮电费、委托业务费、公务用车运行维护费、其他商品和服务支出等。</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5.07</w:t>
      </w:r>
      <w:r>
        <w:rPr>
          <w:rFonts w:ascii="方正仿宋_GBK" w:hAnsi="方正仿宋_GBK" w:eastAsia="方正仿宋_GBK" w:cs="方正仿宋_GBK"/>
          <w:sz w:val="32"/>
          <w:szCs w:val="32"/>
          <w:shd w:val="clear" w:color="auto" w:fill="FFFFFF"/>
        </w:rPr>
        <w:t>万元，较上年决算数减少42.23万元，下降89.28%，主要原因是减少了项目资金的安排。本年支出</w:t>
      </w:r>
      <w:r>
        <w:rPr>
          <w:rFonts w:ascii="方正仿宋_GBK" w:hAnsi="方正仿宋_GBK" w:eastAsia="方正仿宋_GBK" w:cs="方正仿宋_GBK"/>
          <w:sz w:val="32"/>
          <w:szCs w:val="32"/>
        </w:rPr>
        <w:t>5.07</w:t>
      </w:r>
      <w:r>
        <w:rPr>
          <w:rFonts w:ascii="方正仿宋_GBK" w:hAnsi="方正仿宋_GBK" w:eastAsia="方正仿宋_GBK" w:cs="方正仿宋_GBK"/>
          <w:sz w:val="32"/>
          <w:szCs w:val="32"/>
          <w:shd w:val="clear" w:color="auto" w:fill="FFFFFF"/>
        </w:rPr>
        <w:t>万元，较上年决算数减少42.23万元，下降89.28%，主要原因是项目资金支出减少。</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本部门2023年度无国有资本经营预算财政拨款支出。</w:t>
      </w:r>
    </w:p>
    <w:p>
      <w:pPr>
        <w:pStyle w:val="5"/>
        <w:shd w:val="clear" w:color="auto" w:fill="FFFFFF"/>
        <w:spacing w:line="560" w:lineRule="exact"/>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三、“三公”经费情况说明</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5.76</w:t>
      </w:r>
      <w:r>
        <w:rPr>
          <w:rFonts w:ascii="方正仿宋_GBK" w:hAnsi="方正仿宋_GBK" w:eastAsia="方正仿宋_GBK" w:cs="方正仿宋_GBK"/>
          <w:sz w:val="32"/>
          <w:szCs w:val="32"/>
          <w:shd w:val="clear" w:color="auto" w:fill="FFFFFF"/>
        </w:rPr>
        <w:t>万元，较年初预算数增加3.67万元，增长175.60%，主要原因是年初预算遗漏。较上年支出数减少0.39万元，下降6.34%，主要原因是严格执行中央八项规定，节约“三公”经费开支。</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3.05</w:t>
      </w:r>
      <w:r>
        <w:rPr>
          <w:rFonts w:ascii="方正仿宋_GBK" w:hAnsi="方正仿宋_GBK" w:eastAsia="方正仿宋_GBK" w:cs="方正仿宋_GBK"/>
          <w:sz w:val="32"/>
          <w:szCs w:val="32"/>
          <w:shd w:val="clear" w:color="auto" w:fill="FFFFFF"/>
        </w:rPr>
        <w:t>万元，主要用于公务车燃料费、维修费、过桥过路费、保险费等。费用支出较年初预算数增加1.96万元，增长179.82%，主要原因是年初预算遗漏。较上年支出数减少0.69万元，下降18.45%，主要原因是严格执行中央八项规定，节约公车费用。</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2.71</w:t>
      </w:r>
      <w:r>
        <w:rPr>
          <w:rFonts w:ascii="方正仿宋_GBK" w:hAnsi="方正仿宋_GBK" w:eastAsia="方正仿宋_GBK" w:cs="方正仿宋_GBK"/>
          <w:sz w:val="32"/>
          <w:szCs w:val="32"/>
          <w:shd w:val="clear" w:color="auto" w:fill="FFFFFF"/>
        </w:rPr>
        <w:t>万元，主要用于接待接受上级部门检查指导工作发生的接待支出。费用支出较年初预算数增加1.71万元，增长171.00%，主要原因是上级来本部门检查次数增加。较上年支出数增加0.30万元，增长12.45%，主要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上级来本部门检查次数增加。</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628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43.09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万元。</w:t>
      </w:r>
    </w:p>
    <w:p>
      <w:pPr>
        <w:pStyle w:val="5"/>
        <w:shd w:val="clear" w:color="auto" w:fill="FFFFFF"/>
        <w:spacing w:line="560" w:lineRule="exact"/>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5.11</w:t>
      </w:r>
      <w:r>
        <w:rPr>
          <w:rFonts w:ascii="方正仿宋_GBK" w:hAnsi="方正仿宋_GBK" w:eastAsia="方正仿宋_GBK" w:cs="方正仿宋_GBK"/>
          <w:sz w:val="32"/>
          <w:szCs w:val="32"/>
          <w:shd w:val="clear" w:color="auto" w:fill="FFFFFF"/>
        </w:rPr>
        <w:t>万元，较上年决算数减少3.26万元，下降38.95%，主要原因是本年度减少会议次数。本年度培训费支出</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万元，较上年决算数增加0.44万元，增长2200.00%，主要原因是到市县培训次数增加。</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227.99</w:t>
      </w:r>
      <w:r>
        <w:rPr>
          <w:rFonts w:ascii="方正仿宋_GBK" w:hAnsi="方正仿宋_GBK" w:eastAsia="方正仿宋_GBK" w:cs="方正仿宋_GBK"/>
          <w:sz w:val="32"/>
          <w:szCs w:val="32"/>
          <w:shd w:val="clear" w:color="auto" w:fill="FFFFFF"/>
        </w:rPr>
        <w:t>万元，机关运行经费主要用于开支办公费、印刷费、咨询费、手续费、水电费、邮电费、差旅费、公务接待费、公务用车运行维护费等。机关运行经费较上年支出数增加46.42万元，增长25.57%，主要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房屋装修增加导致。</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2023年度我部门未发生政府采购事项，无相关经费支出。</w:t>
      </w:r>
    </w:p>
    <w:p>
      <w:pPr>
        <w:pStyle w:val="5"/>
        <w:numPr>
          <w:ilvl w:val="0"/>
          <w:numId w:val="1"/>
        </w:numPr>
        <w:shd w:val="clear" w:color="auto" w:fill="FFFFFF"/>
        <w:spacing w:line="560" w:lineRule="exact"/>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预算绩效管理情况说明</w:t>
      </w:r>
    </w:p>
    <w:p>
      <w:pPr>
        <w:pStyle w:val="5"/>
        <w:snapToGrid w:val="0"/>
        <w:spacing w:before="0" w:beforeAutospacing="0" w:after="0" w:afterAutospacing="0" w:line="560" w:lineRule="exact"/>
        <w:ind w:firstLine="640" w:firstLineChars="200"/>
        <w:rPr>
          <w:rFonts w:hint="default" w:ascii="楷体" w:hAnsi="楷体" w:eastAsia="楷体"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根据预算绩效管理要求，本部门牢固树立“讲绩效、重绩效、用绩效”“花钱必问效、无效必问责”的绩效管理理念，进一步增强支出责任和效率意识，全面加强意识管理，优化资源配置，提高财政资金使用效率和科学精细化管理水平，提高政府执行力和公信力。本镇2023年全年总收入完成2017.15万元，完成一般预算支出2017.15万元，其中项目支出727.35万元，并将全镇的预算项目支出纳入绩效评价范围，通过加强预算绩效评价工作力度和绩效评价结果运用，切实提高财政资金配置和使用效益。</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（一）部门自评情况</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lang w:bidi="ar"/>
        </w:rPr>
        <w:t>根据预算绩效管理要求，我部门对部门</w:t>
      </w:r>
      <w:r>
        <w:rPr>
          <w:rFonts w:hint="default" w:ascii="方正仿宋_GBK" w:hAnsi="方正仿宋_GBK" w:eastAsia="方正仿宋_GBK" w:cs="方正仿宋_GBK"/>
          <w:sz w:val="32"/>
          <w:szCs w:val="32"/>
          <w:shd w:val="clear" w:color="auto" w:fill="FFFFFF"/>
          <w:lang w:bidi="ar"/>
        </w:rPr>
        <w:t>整体及</w:t>
      </w:r>
      <w:r>
        <w:rPr>
          <w:rFonts w:ascii="方正仿宋_GBK" w:hAnsi="方正仿宋_GBK" w:eastAsia="方正仿宋_GBK" w:cs="方正仿宋_GBK"/>
          <w:sz w:val="32"/>
          <w:szCs w:val="32"/>
          <w:shd w:val="clear" w:color="auto" w:fill="FFFFFF"/>
          <w:lang w:bidi="ar"/>
        </w:rPr>
        <w:t>51个项目开展了绩效自评，涉及财政拨款项目支出资金781.09万元。</w:t>
      </w:r>
    </w:p>
    <w:p>
      <w:pPr>
        <w:pStyle w:val="11"/>
        <w:autoSpaceDE w:val="0"/>
        <w:spacing w:before="0" w:beforeAutospacing="0" w:line="56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部门整体绩效自评表</w:t>
      </w:r>
    </w:p>
    <w:tbl>
      <w:tblPr>
        <w:tblStyle w:val="6"/>
        <w:tblW w:w="8438" w:type="dxa"/>
        <w:tblInd w:w="93" w:type="dxa"/>
        <w:tblLayout w:type="fixed"/>
        <w:tblCellMar>
          <w:top w:w="0" w:type="dxa"/>
          <w:left w:w="108" w:type="dxa"/>
          <w:bottom w:w="0" w:type="dxa"/>
          <w:right w:w="108" w:type="dxa"/>
        </w:tblCellMar>
      </w:tblPr>
      <w:tblGrid>
        <w:gridCol w:w="1600"/>
        <w:gridCol w:w="787"/>
        <w:gridCol w:w="787"/>
        <w:gridCol w:w="785"/>
        <w:gridCol w:w="623"/>
        <w:gridCol w:w="663"/>
        <w:gridCol w:w="745"/>
        <w:gridCol w:w="541"/>
        <w:gridCol w:w="541"/>
        <w:gridCol w:w="704"/>
        <w:gridCol w:w="662"/>
      </w:tblGrid>
      <w:tr>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2023年度部门整体绩效自评表</w:t>
            </w:r>
          </w:p>
        </w:tc>
      </w:tr>
      <w:tr>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垫江县裴兴镇人民政府整体监控</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50023100023P000086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2"/>
                <w:szCs w:val="22"/>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726-垫江县裴兴镇人民政府</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张筱</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18523632104</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2"/>
                <w:szCs w:val="22"/>
              </w:rPr>
            </w:pPr>
            <w:r>
              <w:rPr>
                <w:rFonts w:cs="宋体"/>
                <w:b/>
                <w:bCs/>
                <w:color w:val="000000"/>
                <w:sz w:val="22"/>
                <w:szCs w:val="22"/>
                <w:lang w:bidi="ar"/>
              </w:rPr>
              <w:t>执行率权重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年度总金额</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14,483,257.00 </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20,171,483.36 </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20,171,483.36 </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其中：财政拨款</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14,483,257.00 </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20,171,483.36 </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20,171,483.36 </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22"/>
                <w:szCs w:val="22"/>
              </w:rPr>
            </w:pPr>
            <w:r>
              <w:rPr>
                <w:rFonts w:cs="宋体"/>
                <w:color w:val="000000"/>
                <w:sz w:val="22"/>
                <w:szCs w:val="22"/>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一般公共预算</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14,425,937.00 </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20,120,825.86 </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20,120,825.86 </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39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5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3959"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裴兴镇党工委、办事处认真贯彻落实上级相关要求，做好基层党组织建设、乡村振兴、脱贫攻坚有效衔接、民政优抚等困难群众救助、纪监、信访、稳定，治安巡逻、民兵应急、武装训练、安全生产（含森林防火）、食品安全和农产品质量安全、粮食安全、垃圾分类、市政、环保(含河道治理等)物管费、科技服务、民营经济等工作。有效防范和化解社会矛盾，确保经济社会稳定，辖区群众满意度达90%以上。</w:t>
            </w:r>
          </w:p>
        </w:tc>
        <w:tc>
          <w:tcPr>
            <w:tcW w:w="2572"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p>
        </w:tc>
        <w:tc>
          <w:tcPr>
            <w:tcW w:w="1907"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已圆满完成</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人/次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500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500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垫江县创博办公用品批发中心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较大森林火险发生率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社区网格员覆盖率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完成老旧小区改造数量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一般公共预算收入完成率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优抚民政、计生等困难群众补助人数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50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预决算按时公开率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75</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保障了辖区稳定和经费发展</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定性</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90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各项工资及经费成本</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13527294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13527294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bl>
    <w:p>
      <w:pPr>
        <w:pStyle w:val="11"/>
        <w:spacing w:before="0" w:beforeAutospacing="0" w:line="560" w:lineRule="exact"/>
        <w:rPr>
          <w:rFonts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bidi="ar"/>
        </w:rPr>
        <w:t>项目支出绩效自评表</w:t>
      </w:r>
    </w:p>
    <w:tbl>
      <w:tblPr>
        <w:tblStyle w:val="6"/>
        <w:tblW w:w="8438" w:type="dxa"/>
        <w:tblInd w:w="93" w:type="dxa"/>
        <w:tblLayout w:type="fixed"/>
        <w:tblCellMar>
          <w:top w:w="0" w:type="dxa"/>
          <w:left w:w="108" w:type="dxa"/>
          <w:bottom w:w="0" w:type="dxa"/>
          <w:right w:w="108" w:type="dxa"/>
        </w:tblCellMar>
      </w:tblPr>
      <w:tblGrid>
        <w:gridCol w:w="1065"/>
        <w:gridCol w:w="781"/>
        <w:gridCol w:w="781"/>
        <w:gridCol w:w="872"/>
        <w:gridCol w:w="687"/>
        <w:gridCol w:w="735"/>
        <w:gridCol w:w="826"/>
        <w:gridCol w:w="591"/>
        <w:gridCol w:w="591"/>
        <w:gridCol w:w="779"/>
        <w:gridCol w:w="730"/>
      </w:tblGrid>
      <w:tr>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农村公路日常养护补助</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50023123T000003507661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726-垫江县裴兴镇人民政府</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代权</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19936398001</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2"/>
                <w:szCs w:val="22"/>
              </w:rPr>
            </w:pPr>
            <w:r>
              <w:rPr>
                <w:rFonts w:cs="宋体"/>
                <w:b/>
                <w:bCs/>
                <w:color w:val="000000"/>
                <w:sz w:val="22"/>
                <w:szCs w:val="22"/>
                <w:lang w:bidi="ar"/>
              </w:rPr>
              <w:t>执行率权重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年度总金额</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其中：财政拨款</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both"/>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一般公共预算</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8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农村公路养护</w:t>
            </w:r>
          </w:p>
        </w:tc>
        <w:tc>
          <w:tcPr>
            <w:tcW w:w="2839"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农村公路养护</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已圆满完成</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农村公路养护里程</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公里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农村环卫</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定性</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资金到位及时率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农村环境卫生治理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定性</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30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30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补助资金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230352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230352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bl>
    <w:p>
      <w:pPr>
        <w:pStyle w:val="11"/>
        <w:spacing w:before="0" w:beforeAutospacing="0"/>
        <w:rPr>
          <w:rFonts w:ascii="方正仿宋_GBK" w:hAnsi="方正仿宋_GBK" w:eastAsia="方正仿宋_GBK" w:cs="方正仿宋_GBK"/>
          <w:sz w:val="28"/>
          <w:szCs w:val="28"/>
          <w:shd w:val="clear" w:color="auto" w:fill="FFFFFF"/>
          <w:lang w:bidi="ar"/>
        </w:rPr>
      </w:pPr>
    </w:p>
    <w:tbl>
      <w:tblPr>
        <w:tblStyle w:val="6"/>
        <w:tblW w:w="8438" w:type="dxa"/>
        <w:tblInd w:w="93" w:type="dxa"/>
        <w:tblLayout w:type="fixed"/>
        <w:tblCellMar>
          <w:top w:w="0" w:type="dxa"/>
          <w:left w:w="108" w:type="dxa"/>
          <w:bottom w:w="0" w:type="dxa"/>
          <w:right w:w="108" w:type="dxa"/>
        </w:tblCellMar>
      </w:tblPr>
      <w:tblGrid>
        <w:gridCol w:w="983"/>
        <w:gridCol w:w="790"/>
        <w:gridCol w:w="790"/>
        <w:gridCol w:w="883"/>
        <w:gridCol w:w="695"/>
        <w:gridCol w:w="743"/>
        <w:gridCol w:w="835"/>
        <w:gridCol w:w="597"/>
        <w:gridCol w:w="597"/>
        <w:gridCol w:w="787"/>
        <w:gridCol w:w="738"/>
      </w:tblGrid>
      <w:tr>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农村综合改革转移支付</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50023122T000002074162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726-垫江县裴兴镇人民政府</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张筱</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18523632104</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2"/>
                <w:szCs w:val="22"/>
              </w:rPr>
            </w:pPr>
            <w:r>
              <w:rPr>
                <w:rFonts w:cs="宋体"/>
                <w:b/>
                <w:bCs/>
                <w:color w:val="000000"/>
                <w:sz w:val="22"/>
                <w:szCs w:val="22"/>
                <w:lang w:bidi="ar"/>
              </w:rPr>
              <w:t>执行率权重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年度总金额</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其中：财政拨款</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一般公共预算</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3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3446"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农村综合改革资金</w:t>
            </w: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农村综合改革资金</w:t>
            </w: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已圆满完成</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项目完成情况</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定性</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项目完成进度</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美丽乡村建设</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定性</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30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补助资金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万元</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bl>
    <w:p>
      <w:pPr>
        <w:pStyle w:val="11"/>
        <w:spacing w:before="0" w:beforeAutospacing="0"/>
        <w:rPr>
          <w:rFonts w:ascii="方正仿宋_GBK" w:hAnsi="方正仿宋_GBK" w:eastAsia="方正仿宋_GBK" w:cs="方正仿宋_GBK"/>
          <w:sz w:val="28"/>
          <w:szCs w:val="28"/>
          <w:shd w:val="clear" w:color="auto" w:fill="FFFFFF"/>
          <w:lang w:bidi="ar"/>
        </w:rPr>
      </w:pP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13"/>
        <w:autoSpaceDE w:val="0"/>
        <w:spacing w:line="560" w:lineRule="exact"/>
        <w:ind w:firstLine="64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3"/>
        <w:autoSpaceDE w:val="0"/>
        <w:spacing w:line="560"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5"/>
        <w:shd w:val="clear" w:color="auto" w:fill="FFFFFF"/>
        <w:spacing w:line="560" w:lineRule="exact"/>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六、专业名词解释</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line="560" w:lineRule="exact"/>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七、决算公开联系方式及信息反馈渠道</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本部门决算公开信息反馈和联系方式：联系电话023-74599700。</w:t>
      </w:r>
    </w:p>
    <w:p>
      <w:pPr>
        <w:pStyle w:val="11"/>
        <w:numPr>
          <w:ilvl w:val="0"/>
          <w:numId w:val="2"/>
        </w:numPr>
        <w:shd w:val="clear" w:color="auto" w:fill="FFFFFF"/>
        <w:spacing w:line="560" w:lineRule="exact"/>
        <w:ind w:left="1071" w:firstLine="642" w:firstLineChars="200"/>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6"/>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textAlignment w:val="bottom"/>
              <w:rPr>
                <w:rFonts w:hint="default" w:cs="宋体"/>
                <w:color w:val="000000"/>
              </w:rPr>
            </w:pPr>
            <w:r>
              <w:rPr>
                <w:rFonts w:cs="宋体"/>
              </w:rPr>
              <w:t>公开部门：垫江县裴兴镇人民政府</w:t>
            </w: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2,012.08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782.47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16.30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54.58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248.71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43.51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28.07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691.33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23.04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88.39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19.68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2,017.15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2,017.15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2,017.15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2,017.15 </w:t>
            </w:r>
          </w:p>
        </w:tc>
      </w:tr>
    </w:tbl>
    <w:p>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6"/>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cs="宋体"/>
              </w:rPr>
              <w:t>公开部门：垫江县裴兴镇人民政府</w:t>
            </w: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2,017.15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2,017.15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782.47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782.47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661.54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661.54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76.37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76.37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248.71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248.71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98.88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98.88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烈士纪念设施管理维护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其他农村生活救助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39.37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39.37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691.33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691.33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w:t>
            </w:r>
            <w:r>
              <w:rPr>
                <w:rFonts w:hint="eastAsia" w:cs="宋体"/>
                <w:color w:val="000000"/>
                <w:sz w:val="21"/>
                <w:szCs w:val="21"/>
                <w:lang w:bidi="ar"/>
              </w:rPr>
              <w:t>巩固拓展脱贫攻坚成果</w:t>
            </w:r>
            <w:bookmarkStart w:id="0" w:name="_GoBack"/>
            <w:bookmarkEnd w:id="0"/>
            <w:r>
              <w:rPr>
                <w:rFonts w:cs="宋体"/>
                <w:color w:val="000000"/>
                <w:sz w:val="21"/>
                <w:szCs w:val="21"/>
                <w:lang w:bidi="ar"/>
              </w:rPr>
              <w:t>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481.39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481.39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281.39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281.39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88.39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88.39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6"/>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垫江县裴兴镇人民政府 </w:t>
            </w: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2,017.15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1,289.80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727.35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782.47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520.36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262.11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661.54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520.36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47.23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47.23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248.71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204.76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81.44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98.88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98.88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烈士纪念设施管理维护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其他农村生活救助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39.37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39.37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39.37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691.33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378.71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312.62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481.39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281.39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88.39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6"/>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垫江县裴兴镇人民政府</w:t>
            </w: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2,012.08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782.47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782.47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54.58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54.58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248.71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248.71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691.33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691.33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88.39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88.39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2,017.15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2,017.15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2,012.08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2,017.15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2,017.15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2,012.08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5.07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垫江县裴兴镇人民政府</w:t>
            </w: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2,012.08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1,289.80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722.29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782.47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520.36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262.11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5.44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5.44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661.54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520.36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141.18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520.36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520.36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141.18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141.18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76.37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76.37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75.75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75.75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8.64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8.64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47.23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47.23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47.23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47.23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248.71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204.76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85.16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81.44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0.42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78.14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78.14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98.88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98.88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52.53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22.24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24.11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烈士纪念设施管理维护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9.41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9.41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其他农村生活救助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29.27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24.44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24.44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24.44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43.51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39.37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4.14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39.37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39.37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20.69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20.69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18.68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28.07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28.07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28.07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28.07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28.07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28.07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691.33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378.71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312.62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155.84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152.48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152.48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152.48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38.74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38.74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481.39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226.23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281.39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226.23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88.39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71.29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71.29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71.29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71.29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71.29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3.88 </w:t>
            </w:r>
          </w:p>
        </w:tc>
      </w:tr>
    </w:tbl>
    <w:p>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6"/>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垫江县裴兴镇人民政府</w:t>
            </w: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778.67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257.48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132.23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13.86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72.40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117.89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213.65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2.73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59.48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21.92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40.27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6.62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40.13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71.29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4.92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3.42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7.81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253.64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250.64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64.14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22.99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1,032.31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257.48 </w:t>
            </w:r>
          </w:p>
        </w:tc>
      </w:tr>
    </w:tbl>
    <w:p>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垫江县裴兴镇人民政府</w:t>
            </w: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5.07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垫江县裴兴镇人民政府</w:t>
            </w: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垫江县裴兴镇人民政府</w:t>
            </w: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227.99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5.76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5.76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227.99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2.71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2.71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2.71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5.11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0.46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0"/>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C0425"/>
    <w:multiLevelType w:val="multilevel"/>
    <w:tmpl w:val="9CFC0425"/>
    <w:lvl w:ilvl="0" w:tentative="0">
      <w:start w:val="1"/>
      <w:numFmt w:val="decimal"/>
      <w:lvlText w:val="%1、"/>
      <w:lvlJc w:val="left"/>
      <w:pPr>
        <w:ind w:left="1069"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42607D4"/>
    <w:multiLevelType w:val="singleLevel"/>
    <w:tmpl w:val="D42607D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E5443"/>
    <w:rsid w:val="00550ABE"/>
    <w:rsid w:val="006838D9"/>
    <w:rsid w:val="007B419D"/>
    <w:rsid w:val="00916710"/>
    <w:rsid w:val="009A02BF"/>
    <w:rsid w:val="009B67B8"/>
    <w:rsid w:val="00B03CCD"/>
    <w:rsid w:val="00BA5412"/>
    <w:rsid w:val="00D43C5F"/>
    <w:rsid w:val="00E76362"/>
    <w:rsid w:val="00F73F90"/>
    <w:rsid w:val="01474EBF"/>
    <w:rsid w:val="01DC1F93"/>
    <w:rsid w:val="01F3521E"/>
    <w:rsid w:val="029404C2"/>
    <w:rsid w:val="03B87EA0"/>
    <w:rsid w:val="03E3214F"/>
    <w:rsid w:val="0404043D"/>
    <w:rsid w:val="044C50BA"/>
    <w:rsid w:val="04C86784"/>
    <w:rsid w:val="04EE7F1F"/>
    <w:rsid w:val="05BC6D49"/>
    <w:rsid w:val="06194FF1"/>
    <w:rsid w:val="06A2550B"/>
    <w:rsid w:val="06F80EE2"/>
    <w:rsid w:val="07001CCA"/>
    <w:rsid w:val="075678DB"/>
    <w:rsid w:val="079D7CC7"/>
    <w:rsid w:val="08051BCA"/>
    <w:rsid w:val="080C7D98"/>
    <w:rsid w:val="086C12F4"/>
    <w:rsid w:val="08BA052C"/>
    <w:rsid w:val="08DB07BA"/>
    <w:rsid w:val="0969353F"/>
    <w:rsid w:val="098305D0"/>
    <w:rsid w:val="0A5C4B69"/>
    <w:rsid w:val="0A86124A"/>
    <w:rsid w:val="0AAA6ED5"/>
    <w:rsid w:val="0AB54CC0"/>
    <w:rsid w:val="0ACD4D12"/>
    <w:rsid w:val="0B9335CE"/>
    <w:rsid w:val="0C0F69F6"/>
    <w:rsid w:val="0C7927C4"/>
    <w:rsid w:val="0C9B098C"/>
    <w:rsid w:val="0CA912FB"/>
    <w:rsid w:val="0CC94601"/>
    <w:rsid w:val="0D060DB3"/>
    <w:rsid w:val="0D191E44"/>
    <w:rsid w:val="0D673E11"/>
    <w:rsid w:val="0DD57ECE"/>
    <w:rsid w:val="0DDA54E4"/>
    <w:rsid w:val="0E3A5F83"/>
    <w:rsid w:val="0F836721"/>
    <w:rsid w:val="0FA25D96"/>
    <w:rsid w:val="101F3682"/>
    <w:rsid w:val="106C1C45"/>
    <w:rsid w:val="107B59E5"/>
    <w:rsid w:val="10EC0126"/>
    <w:rsid w:val="10F70B9A"/>
    <w:rsid w:val="111445C7"/>
    <w:rsid w:val="114278C6"/>
    <w:rsid w:val="1158083A"/>
    <w:rsid w:val="11643A4B"/>
    <w:rsid w:val="11ED0F98"/>
    <w:rsid w:val="11F03528"/>
    <w:rsid w:val="121C60CC"/>
    <w:rsid w:val="1222745A"/>
    <w:rsid w:val="12C921C4"/>
    <w:rsid w:val="131F376E"/>
    <w:rsid w:val="136E0BA9"/>
    <w:rsid w:val="13826402"/>
    <w:rsid w:val="13871C70"/>
    <w:rsid w:val="13A71CB4"/>
    <w:rsid w:val="13AF1D43"/>
    <w:rsid w:val="13C06F2A"/>
    <w:rsid w:val="13CE1647"/>
    <w:rsid w:val="13FD55AB"/>
    <w:rsid w:val="14200702"/>
    <w:rsid w:val="14F941DB"/>
    <w:rsid w:val="154535B7"/>
    <w:rsid w:val="163A6CEE"/>
    <w:rsid w:val="16B07922"/>
    <w:rsid w:val="173708E3"/>
    <w:rsid w:val="17C374FC"/>
    <w:rsid w:val="17CA65CA"/>
    <w:rsid w:val="183D0B4A"/>
    <w:rsid w:val="189079DC"/>
    <w:rsid w:val="189B0D0B"/>
    <w:rsid w:val="18B43F7C"/>
    <w:rsid w:val="194A1770"/>
    <w:rsid w:val="19B906A4"/>
    <w:rsid w:val="1AC56532"/>
    <w:rsid w:val="1B6F15B6"/>
    <w:rsid w:val="1BAA2EDC"/>
    <w:rsid w:val="1C5C0973"/>
    <w:rsid w:val="1CA55E64"/>
    <w:rsid w:val="1D014A01"/>
    <w:rsid w:val="1D022362"/>
    <w:rsid w:val="1D1B04B0"/>
    <w:rsid w:val="1D557E55"/>
    <w:rsid w:val="1DAC3DB6"/>
    <w:rsid w:val="1DBD6767"/>
    <w:rsid w:val="1DC52125"/>
    <w:rsid w:val="1DD26311"/>
    <w:rsid w:val="1DFB572F"/>
    <w:rsid w:val="1DFE36DE"/>
    <w:rsid w:val="1E374ACB"/>
    <w:rsid w:val="1E4C5F8A"/>
    <w:rsid w:val="1ECF0A66"/>
    <w:rsid w:val="1EF67CA4"/>
    <w:rsid w:val="1F020D3A"/>
    <w:rsid w:val="1F2C5189"/>
    <w:rsid w:val="1F341417"/>
    <w:rsid w:val="1F4B0B02"/>
    <w:rsid w:val="1FBB35CD"/>
    <w:rsid w:val="1FC102B2"/>
    <w:rsid w:val="1FCD26AF"/>
    <w:rsid w:val="20042B04"/>
    <w:rsid w:val="20642787"/>
    <w:rsid w:val="20E06E5E"/>
    <w:rsid w:val="21556F04"/>
    <w:rsid w:val="22403BD3"/>
    <w:rsid w:val="22CC58EC"/>
    <w:rsid w:val="22EC1F86"/>
    <w:rsid w:val="24227490"/>
    <w:rsid w:val="244067E4"/>
    <w:rsid w:val="24B92327"/>
    <w:rsid w:val="24C14514"/>
    <w:rsid w:val="2533755C"/>
    <w:rsid w:val="25791755"/>
    <w:rsid w:val="26396DF4"/>
    <w:rsid w:val="26715786"/>
    <w:rsid w:val="27167136"/>
    <w:rsid w:val="27B23302"/>
    <w:rsid w:val="282659F9"/>
    <w:rsid w:val="28667F3B"/>
    <w:rsid w:val="29310A5F"/>
    <w:rsid w:val="29C37A35"/>
    <w:rsid w:val="2A076083"/>
    <w:rsid w:val="2A214194"/>
    <w:rsid w:val="2A73162E"/>
    <w:rsid w:val="2B167953"/>
    <w:rsid w:val="2B200583"/>
    <w:rsid w:val="2B6E5792"/>
    <w:rsid w:val="2B8209DE"/>
    <w:rsid w:val="2C6762A3"/>
    <w:rsid w:val="2CF1130B"/>
    <w:rsid w:val="2D48064A"/>
    <w:rsid w:val="2E6E1537"/>
    <w:rsid w:val="2EBF7B3E"/>
    <w:rsid w:val="2F4F170A"/>
    <w:rsid w:val="2FCA4B37"/>
    <w:rsid w:val="2FE029D7"/>
    <w:rsid w:val="2FEE7BA9"/>
    <w:rsid w:val="2FF06E00"/>
    <w:rsid w:val="30234D2B"/>
    <w:rsid w:val="30562E26"/>
    <w:rsid w:val="30586FEC"/>
    <w:rsid w:val="30E61B49"/>
    <w:rsid w:val="315F0B22"/>
    <w:rsid w:val="319D022C"/>
    <w:rsid w:val="31C90022"/>
    <w:rsid w:val="31D84415"/>
    <w:rsid w:val="32285F6F"/>
    <w:rsid w:val="32770556"/>
    <w:rsid w:val="329C0913"/>
    <w:rsid w:val="32AA0460"/>
    <w:rsid w:val="331D7A9E"/>
    <w:rsid w:val="3337290D"/>
    <w:rsid w:val="33423060"/>
    <w:rsid w:val="33C65A3F"/>
    <w:rsid w:val="33E31118"/>
    <w:rsid w:val="33EF7674"/>
    <w:rsid w:val="342D7BC6"/>
    <w:rsid w:val="34D5719F"/>
    <w:rsid w:val="352930DB"/>
    <w:rsid w:val="35573069"/>
    <w:rsid w:val="355F6038"/>
    <w:rsid w:val="358C217E"/>
    <w:rsid w:val="35B52116"/>
    <w:rsid w:val="36C9128A"/>
    <w:rsid w:val="36E9368B"/>
    <w:rsid w:val="376156CD"/>
    <w:rsid w:val="37841E99"/>
    <w:rsid w:val="37BF1123"/>
    <w:rsid w:val="37D36232"/>
    <w:rsid w:val="383A69FC"/>
    <w:rsid w:val="383C3F15"/>
    <w:rsid w:val="38BE4696"/>
    <w:rsid w:val="3939115E"/>
    <w:rsid w:val="39B82A39"/>
    <w:rsid w:val="39C42CA8"/>
    <w:rsid w:val="39DC4FD6"/>
    <w:rsid w:val="39E349CD"/>
    <w:rsid w:val="39F03D7A"/>
    <w:rsid w:val="39F33306"/>
    <w:rsid w:val="3A2C1C67"/>
    <w:rsid w:val="3AC50311"/>
    <w:rsid w:val="3B1705E5"/>
    <w:rsid w:val="3B18334B"/>
    <w:rsid w:val="3B36794F"/>
    <w:rsid w:val="3BA43DE5"/>
    <w:rsid w:val="3C566AD6"/>
    <w:rsid w:val="3C6A5B02"/>
    <w:rsid w:val="3CAA3ADD"/>
    <w:rsid w:val="3CB21257"/>
    <w:rsid w:val="3D2757A1"/>
    <w:rsid w:val="3D3D4FC4"/>
    <w:rsid w:val="3DCE6FC5"/>
    <w:rsid w:val="3DDF3AB1"/>
    <w:rsid w:val="3E1D0952"/>
    <w:rsid w:val="3E42660A"/>
    <w:rsid w:val="3E7555B1"/>
    <w:rsid w:val="3E787ED9"/>
    <w:rsid w:val="3EEC37F3"/>
    <w:rsid w:val="3F032E93"/>
    <w:rsid w:val="3F0527E5"/>
    <w:rsid w:val="3F694D83"/>
    <w:rsid w:val="3F885DCC"/>
    <w:rsid w:val="3FB17EE2"/>
    <w:rsid w:val="3FCD675E"/>
    <w:rsid w:val="4004000C"/>
    <w:rsid w:val="40BC26A4"/>
    <w:rsid w:val="40E13EB9"/>
    <w:rsid w:val="411B6CE5"/>
    <w:rsid w:val="412070D7"/>
    <w:rsid w:val="41285739"/>
    <w:rsid w:val="41314E40"/>
    <w:rsid w:val="41E0734B"/>
    <w:rsid w:val="4253528A"/>
    <w:rsid w:val="426554D0"/>
    <w:rsid w:val="426C1EA8"/>
    <w:rsid w:val="42736402"/>
    <w:rsid w:val="42E86A87"/>
    <w:rsid w:val="43307B09"/>
    <w:rsid w:val="43BB152F"/>
    <w:rsid w:val="44C37687"/>
    <w:rsid w:val="4503168F"/>
    <w:rsid w:val="45102469"/>
    <w:rsid w:val="45CB699A"/>
    <w:rsid w:val="465B470D"/>
    <w:rsid w:val="469D6AD4"/>
    <w:rsid w:val="46E93B32"/>
    <w:rsid w:val="46F457D9"/>
    <w:rsid w:val="471E6C84"/>
    <w:rsid w:val="4748792B"/>
    <w:rsid w:val="475D719D"/>
    <w:rsid w:val="47674801"/>
    <w:rsid w:val="47AA47C4"/>
    <w:rsid w:val="48225EF7"/>
    <w:rsid w:val="485C1984"/>
    <w:rsid w:val="487E6FBD"/>
    <w:rsid w:val="488F422B"/>
    <w:rsid w:val="48E36915"/>
    <w:rsid w:val="48E55F25"/>
    <w:rsid w:val="495C4A24"/>
    <w:rsid w:val="497135DF"/>
    <w:rsid w:val="498E0956"/>
    <w:rsid w:val="4A263DF2"/>
    <w:rsid w:val="4A6F6675"/>
    <w:rsid w:val="4B135857"/>
    <w:rsid w:val="4B410375"/>
    <w:rsid w:val="4B4450EF"/>
    <w:rsid w:val="4B7951CB"/>
    <w:rsid w:val="4B7C315C"/>
    <w:rsid w:val="4DAC4ACA"/>
    <w:rsid w:val="4DBE01D2"/>
    <w:rsid w:val="4E847FA1"/>
    <w:rsid w:val="4E86609F"/>
    <w:rsid w:val="4F0C6BA3"/>
    <w:rsid w:val="4F186D58"/>
    <w:rsid w:val="4FA620D8"/>
    <w:rsid w:val="4FEA65B7"/>
    <w:rsid w:val="50281B04"/>
    <w:rsid w:val="505B3C87"/>
    <w:rsid w:val="50F06B6E"/>
    <w:rsid w:val="514835CE"/>
    <w:rsid w:val="51A341C4"/>
    <w:rsid w:val="52234D33"/>
    <w:rsid w:val="522F6E0C"/>
    <w:rsid w:val="52463BA1"/>
    <w:rsid w:val="5256349A"/>
    <w:rsid w:val="52F163D4"/>
    <w:rsid w:val="531860E0"/>
    <w:rsid w:val="531A2DB4"/>
    <w:rsid w:val="53402FC3"/>
    <w:rsid w:val="5375044E"/>
    <w:rsid w:val="53C0244D"/>
    <w:rsid w:val="53DD4D4E"/>
    <w:rsid w:val="53E578CE"/>
    <w:rsid w:val="541330F0"/>
    <w:rsid w:val="54272666"/>
    <w:rsid w:val="543B029D"/>
    <w:rsid w:val="5450136F"/>
    <w:rsid w:val="54861779"/>
    <w:rsid w:val="551F7FA5"/>
    <w:rsid w:val="552256E1"/>
    <w:rsid w:val="554E5773"/>
    <w:rsid w:val="555A3CBC"/>
    <w:rsid w:val="55790348"/>
    <w:rsid w:val="5582012B"/>
    <w:rsid w:val="558E4E05"/>
    <w:rsid w:val="55BE2E85"/>
    <w:rsid w:val="56530F5D"/>
    <w:rsid w:val="567700D3"/>
    <w:rsid w:val="56FF7E9E"/>
    <w:rsid w:val="57503688"/>
    <w:rsid w:val="578867FC"/>
    <w:rsid w:val="5798756F"/>
    <w:rsid w:val="581D5CC6"/>
    <w:rsid w:val="5842572D"/>
    <w:rsid w:val="58DC7D89"/>
    <w:rsid w:val="5A3B59D6"/>
    <w:rsid w:val="5AD134D8"/>
    <w:rsid w:val="5C263CE4"/>
    <w:rsid w:val="5C5D2777"/>
    <w:rsid w:val="5CF66BF3"/>
    <w:rsid w:val="5D290C69"/>
    <w:rsid w:val="5D7B4BA8"/>
    <w:rsid w:val="5EC40C4A"/>
    <w:rsid w:val="5F2D4A41"/>
    <w:rsid w:val="60341DFF"/>
    <w:rsid w:val="60C74F6C"/>
    <w:rsid w:val="60D4713E"/>
    <w:rsid w:val="60F1626E"/>
    <w:rsid w:val="61025A59"/>
    <w:rsid w:val="613D5BBC"/>
    <w:rsid w:val="61536C39"/>
    <w:rsid w:val="618B2732"/>
    <w:rsid w:val="62944DD7"/>
    <w:rsid w:val="62A760C7"/>
    <w:rsid w:val="6319381F"/>
    <w:rsid w:val="63C25DC5"/>
    <w:rsid w:val="63C62057"/>
    <w:rsid w:val="64571EF5"/>
    <w:rsid w:val="645849E3"/>
    <w:rsid w:val="647B6F42"/>
    <w:rsid w:val="64FB113D"/>
    <w:rsid w:val="656152C6"/>
    <w:rsid w:val="6587477F"/>
    <w:rsid w:val="658C3A08"/>
    <w:rsid w:val="658F49B4"/>
    <w:rsid w:val="65C031CA"/>
    <w:rsid w:val="65CE6852"/>
    <w:rsid w:val="66267C04"/>
    <w:rsid w:val="663F505A"/>
    <w:rsid w:val="66967186"/>
    <w:rsid w:val="66E12C28"/>
    <w:rsid w:val="66EE5541"/>
    <w:rsid w:val="67924660"/>
    <w:rsid w:val="68407834"/>
    <w:rsid w:val="6883293E"/>
    <w:rsid w:val="688412AD"/>
    <w:rsid w:val="68EB1B71"/>
    <w:rsid w:val="69304458"/>
    <w:rsid w:val="69475C96"/>
    <w:rsid w:val="6A290B46"/>
    <w:rsid w:val="6AAD2300"/>
    <w:rsid w:val="6B474EF5"/>
    <w:rsid w:val="6BBF53FD"/>
    <w:rsid w:val="6BD7639D"/>
    <w:rsid w:val="6C557ED8"/>
    <w:rsid w:val="6C560CAE"/>
    <w:rsid w:val="6C576495"/>
    <w:rsid w:val="6D903FF5"/>
    <w:rsid w:val="6DA955B8"/>
    <w:rsid w:val="6DE346AB"/>
    <w:rsid w:val="6DE5391A"/>
    <w:rsid w:val="6EFD1324"/>
    <w:rsid w:val="6F364BD6"/>
    <w:rsid w:val="6F5339F7"/>
    <w:rsid w:val="6F5A53AC"/>
    <w:rsid w:val="6FAC003D"/>
    <w:rsid w:val="6FE55E12"/>
    <w:rsid w:val="6FF670D1"/>
    <w:rsid w:val="6FFB2E76"/>
    <w:rsid w:val="708F6F7F"/>
    <w:rsid w:val="70D94BD3"/>
    <w:rsid w:val="71577D1C"/>
    <w:rsid w:val="71A9039C"/>
    <w:rsid w:val="71C34D91"/>
    <w:rsid w:val="72394C9A"/>
    <w:rsid w:val="72DB435C"/>
    <w:rsid w:val="72E2613A"/>
    <w:rsid w:val="72F771F4"/>
    <w:rsid w:val="73400F73"/>
    <w:rsid w:val="736650B0"/>
    <w:rsid w:val="73934AD2"/>
    <w:rsid w:val="750837F0"/>
    <w:rsid w:val="754758CF"/>
    <w:rsid w:val="764F62AB"/>
    <w:rsid w:val="765C45EC"/>
    <w:rsid w:val="768A7619"/>
    <w:rsid w:val="772E1EBA"/>
    <w:rsid w:val="77EB79F7"/>
    <w:rsid w:val="796D60A4"/>
    <w:rsid w:val="79A031D5"/>
    <w:rsid w:val="7A1525F7"/>
    <w:rsid w:val="7A7C01D3"/>
    <w:rsid w:val="7AD92D2F"/>
    <w:rsid w:val="7B420052"/>
    <w:rsid w:val="7B861484"/>
    <w:rsid w:val="7B8A51D4"/>
    <w:rsid w:val="7BD06A28"/>
    <w:rsid w:val="7BDD1CD9"/>
    <w:rsid w:val="7BF8B13D"/>
    <w:rsid w:val="7C3A7C0B"/>
    <w:rsid w:val="7C5248E4"/>
    <w:rsid w:val="7C566698"/>
    <w:rsid w:val="7C5866A3"/>
    <w:rsid w:val="7D7406BB"/>
    <w:rsid w:val="7DE94331"/>
    <w:rsid w:val="7F446A19"/>
    <w:rsid w:val="7F7452B9"/>
    <w:rsid w:val="FFDD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50</Pages>
  <Words>15586</Words>
  <Characters>21739</Characters>
  <Lines>206</Lines>
  <Paragraphs>58</Paragraphs>
  <TotalTime>3</TotalTime>
  <ScaleCrop>false</ScaleCrop>
  <LinksUpToDate>false</LinksUpToDate>
  <CharactersWithSpaces>24382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冯乔羽</cp:lastModifiedBy>
  <dcterms:modified xsi:type="dcterms:W3CDTF">2025-10-22T11:32:41Z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