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highlight w:val="none"/>
        </w:rPr>
      </w:pPr>
      <w:bookmarkStart w:id="0" w:name="_GoBack"/>
      <w:bookmarkEnd w:id="0"/>
      <w:r>
        <w:rPr>
          <w:rFonts w:ascii="方正小标宋_GBK" w:hAnsi="方正小标宋_GBK" w:eastAsia="方正小标宋_GBK" w:cs="方正小标宋_GBK"/>
          <w:sz w:val="44"/>
          <w:szCs w:val="44"/>
          <w:highlight w:val="none"/>
        </w:rPr>
        <w:t>垫江县裴兴镇农业服务中心</w:t>
      </w:r>
    </w:p>
    <w:p>
      <w:pPr>
        <w:pStyle w:val="6"/>
        <w:spacing w:before="0" w:beforeAutospacing="0"/>
        <w:jc w:val="center"/>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Fonts w:hint="default" w:ascii="Times New Roman" w:hAnsi="Times New Roman" w:eastAsia="黑体" w:cs="Times New Roman"/>
          <w:sz w:val="32"/>
          <w:szCs w:val="32"/>
          <w:highlight w:val="none"/>
        </w:rPr>
      </w:pPr>
      <w:r>
        <w:rPr>
          <w:rStyle w:val="10"/>
          <w:rFonts w:hint="default" w:ascii="Times New Roman" w:hAnsi="Times New Roman" w:eastAsia="黑体" w:cs="Times New Roman"/>
          <w:sz w:val="32"/>
          <w:szCs w:val="32"/>
          <w:highlight w:val="none"/>
          <w:shd w:val="clear" w:color="auto" w:fill="FFFFFF"/>
        </w:rPr>
        <w:t>一、单位基本情况</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420"/>
        <w:textAlignment w:val="auto"/>
        <w:rPr>
          <w:rFonts w:hint="default" w:ascii="Times New Roman" w:hAnsi="Times New Roman" w:eastAsia="楷体"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本单位为裴兴镇人民政府下属站所室，无内设机构。</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黑体"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二、单位决算收支情况说明</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rPr>
        <w:t>2024年度收入总计181.21万元，支出总计</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万元。收、支与2023年度相比，减少8.09万元，下降4.27%，</w:t>
      </w:r>
      <w:r>
        <w:rPr>
          <w:rFonts w:hint="default" w:ascii="Times New Roman" w:hAnsi="Times New Roman" w:eastAsia="方正仿宋_GBK" w:cs="Times New Roman"/>
          <w:sz w:val="32"/>
          <w:szCs w:val="32"/>
          <w:highlight w:val="none"/>
          <w:shd w:val="clear" w:color="auto" w:fill="FFFFFF"/>
          <w:lang w:eastAsia="zh-CN"/>
        </w:rPr>
        <w:t>主要原因是</w:t>
      </w:r>
      <w:r>
        <w:rPr>
          <w:rFonts w:hint="default" w:ascii="Times New Roman" w:hAnsi="Times New Roman" w:eastAsia="方正仿宋_GBK" w:cs="Times New Roman"/>
          <w:sz w:val="32"/>
          <w:szCs w:val="32"/>
          <w:highlight w:val="none"/>
          <w:shd w:val="clear" w:color="auto" w:fill="FFFFFF"/>
          <w:lang w:val="en-US" w:eastAsia="zh-CN"/>
        </w:rPr>
        <w:t>2024年7月机构改革后，人员变动，导致人员经费各项支出变动。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0"/>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rPr>
        <w:t>2024年度收入合计181.21万元，与2023年度相比，减少8.09万元，下降4.27%，主要原因是</w:t>
      </w:r>
      <w:r>
        <w:rPr>
          <w:rFonts w:hint="default" w:ascii="Times New Roman" w:hAnsi="Times New Roman" w:eastAsia="方正仿宋_GBK" w:cs="Times New Roman"/>
          <w:sz w:val="32"/>
          <w:szCs w:val="32"/>
          <w:highlight w:val="none"/>
          <w:shd w:val="clear" w:color="auto" w:fill="FFFFFF"/>
          <w:lang w:eastAsia="zh-CN"/>
        </w:rPr>
        <w:t>严格落实过紧日子政策，减少各项开支</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0"/>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rPr>
        <w:t>2024年度支出合计</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万元，与2023年度相比，减少8.09万元，下降4.27%，主要原因是</w:t>
      </w:r>
      <w:r>
        <w:rPr>
          <w:rFonts w:hint="default" w:ascii="Times New Roman" w:hAnsi="Times New Roman" w:eastAsia="方正仿宋_GBK" w:cs="Times New Roman"/>
          <w:sz w:val="32"/>
          <w:szCs w:val="32"/>
          <w:highlight w:val="none"/>
          <w:shd w:val="clear" w:color="auto" w:fill="FFFFFF"/>
          <w:lang w:eastAsia="zh-CN"/>
        </w:rPr>
        <w:t>严格落实过紧日子政策，减少各项开支</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rPr>
        <w:t>2024年度年末结转和结余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万元，与2023年度相比，无增减，主要原因是2023年度与2024年度均无结转结余。</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2024年度财政拨款收、支总计181.21万元。与2023年相比，财政拨款收、支总计各减少8.09万元，下降4.27%。主要</w:t>
      </w:r>
      <w:r>
        <w:rPr>
          <w:rFonts w:hint="eastAsia" w:ascii="Times New Roman" w:hAnsi="Times New Roman" w:eastAsia="方正仿宋_GBK" w:cs="Times New Roman"/>
          <w:sz w:val="32"/>
          <w:szCs w:val="32"/>
          <w:highlight w:val="none"/>
          <w:shd w:val="clear" w:color="auto" w:fill="FFFFFF"/>
          <w:lang w:eastAsia="zh-CN"/>
        </w:rPr>
        <w:t>原因是</w:t>
      </w:r>
      <w:r>
        <w:rPr>
          <w:rFonts w:hint="default" w:ascii="Times New Roman" w:hAnsi="Times New Roman" w:eastAsia="方正仿宋_GBK" w:cs="Times New Roman"/>
          <w:sz w:val="32"/>
          <w:szCs w:val="32"/>
          <w:highlight w:val="none"/>
          <w:shd w:val="clear" w:color="auto" w:fill="FFFFFF"/>
        </w:rPr>
        <w:t>2022年度与2023年度均无结转结余。</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rPr>
        <w:t>2024年度一般公共预算财政拨款收入</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万元，与2023年度相比，减少8.09万元，下降4.27%。主要原因是</w:t>
      </w:r>
      <w:r>
        <w:rPr>
          <w:rFonts w:hint="default" w:ascii="Times New Roman" w:hAnsi="Times New Roman" w:eastAsia="方正仿宋_GBK" w:cs="Times New Roman"/>
          <w:sz w:val="32"/>
          <w:szCs w:val="32"/>
          <w:highlight w:val="none"/>
          <w:shd w:val="clear" w:color="auto" w:fill="FFFFFF"/>
          <w:lang w:eastAsia="zh-CN"/>
        </w:rPr>
        <w:t>严格落实过紧日子政策，减少各项开支</w:t>
      </w:r>
      <w:r>
        <w:rPr>
          <w:rFonts w:hint="default" w:ascii="Times New Roman" w:hAnsi="Times New Roman" w:eastAsia="方正仿宋_GBK" w:cs="Times New Roman"/>
          <w:sz w:val="32"/>
          <w:szCs w:val="32"/>
          <w:highlight w:val="none"/>
          <w:shd w:val="clear" w:color="auto" w:fill="FFFFFF"/>
        </w:rPr>
        <w:t>。较年初预算数增加21.08万元，增长13.16%。主要原因是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部分项目未纳入年初预算。</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Style w:val="10"/>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rPr>
        <w:t>2024年度一般公共预算财政拨款支出</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万元，与2023年度相比，减少8.09万元，下降4.27%。主要原因是</w:t>
      </w:r>
      <w:r>
        <w:rPr>
          <w:rFonts w:hint="default" w:ascii="Times New Roman" w:hAnsi="Times New Roman" w:eastAsia="方正仿宋_GBK" w:cs="Times New Roman"/>
          <w:sz w:val="32"/>
          <w:szCs w:val="32"/>
          <w:highlight w:val="none"/>
          <w:shd w:val="clear" w:color="auto" w:fill="FFFFFF"/>
          <w:lang w:eastAsia="zh-CN"/>
        </w:rPr>
        <w:t>严格落实过紧日子政策，减少各项开支</w:t>
      </w:r>
      <w:r>
        <w:rPr>
          <w:rFonts w:hint="default" w:ascii="Times New Roman" w:hAnsi="Times New Roman" w:eastAsia="方正仿宋_GBK" w:cs="Times New Roman"/>
          <w:sz w:val="32"/>
          <w:szCs w:val="32"/>
          <w:highlight w:val="none"/>
          <w:shd w:val="clear" w:color="auto" w:fill="FFFFFF"/>
        </w:rPr>
        <w:t>。较年初预算数增加21.08万元，增长13.16%。主要原因是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部分项目未纳入年初预算。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rPr>
        <w:t>2024年度年末一般公共预算财政拨款结转和结余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万元，与2023年度相比，无增减，主要原因是2023年度与2024年度均无结转结余。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0"/>
          <w:rFonts w:hint="default" w:ascii="Times New Roman" w:hAnsi="Times New Roman" w:eastAsia="方正仿宋_GBK" w:cs="Times New Roman"/>
          <w:sz w:val="32"/>
          <w:szCs w:val="32"/>
          <w:highlight w:val="none"/>
          <w:shd w:val="clear" w:color="auto" w:fill="FFFFFF"/>
        </w:rPr>
        <w:t>4.比较情况。</w:t>
      </w:r>
      <w:r>
        <w:rPr>
          <w:rFonts w:hint="default" w:ascii="Times New Roman" w:hAnsi="Times New Roman" w:eastAsia="方正仿宋_GBK" w:cs="Times New Roman"/>
          <w:sz w:val="32"/>
          <w:szCs w:val="32"/>
          <w:highlight w:val="none"/>
          <w:shd w:val="clear" w:color="auto" w:fill="FFFFFF"/>
        </w:rPr>
        <w:t>本单位2024年度一般公共预算财政拨款支出主要用于以下几个方面：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（1）社会保障与就业支出</w:t>
      </w:r>
      <w:r>
        <w:rPr>
          <w:rFonts w:hint="default" w:ascii="Times New Roman" w:hAnsi="Times New Roman" w:eastAsia="方正仿宋_GBK" w:cs="Times New Roman"/>
          <w:sz w:val="32"/>
          <w:szCs w:val="32"/>
          <w:highlight w:val="none"/>
        </w:rPr>
        <w:t>37.99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20.97</w:t>
      </w:r>
      <w:r>
        <w:rPr>
          <w:rFonts w:hint="default" w:ascii="Times New Roman" w:hAnsi="Times New Roman" w:eastAsia="方正仿宋_GBK" w:cs="Times New Roman"/>
          <w:sz w:val="32"/>
          <w:szCs w:val="32"/>
          <w:highlight w:val="none"/>
          <w:shd w:val="clear" w:color="auto" w:fill="FFFFFF"/>
        </w:rPr>
        <w:t>%，较年初预算数增加9.76万元，增长34.57%，主要原因是单位养老支出增加。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（2）卫生健康支出</w:t>
      </w:r>
      <w:r>
        <w:rPr>
          <w:rFonts w:hint="default" w:ascii="Times New Roman" w:hAnsi="Times New Roman" w:eastAsia="方正仿宋_GBK" w:cs="Times New Roman"/>
          <w:sz w:val="32"/>
          <w:szCs w:val="32"/>
          <w:highlight w:val="none"/>
        </w:rPr>
        <w:t>8.90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4.91</w:t>
      </w:r>
      <w:r>
        <w:rPr>
          <w:rFonts w:hint="default" w:ascii="Times New Roman" w:hAnsi="Times New Roman" w:eastAsia="方正仿宋_GBK" w:cs="Times New Roman"/>
          <w:sz w:val="32"/>
          <w:szCs w:val="32"/>
          <w:highlight w:val="none"/>
          <w:shd w:val="clear" w:color="auto" w:fill="FFFFFF"/>
        </w:rPr>
        <w:t>%，较年初预算数增加3.09万元，增长53.18%，主要原因是部分项目未纳入年初预算。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（3）农林水支出</w:t>
      </w:r>
      <w:r>
        <w:rPr>
          <w:rFonts w:hint="default" w:ascii="Times New Roman" w:hAnsi="Times New Roman" w:eastAsia="方正仿宋_GBK" w:cs="Times New Roman"/>
          <w:sz w:val="32"/>
          <w:szCs w:val="32"/>
          <w:highlight w:val="none"/>
        </w:rPr>
        <w:t>129.32</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71.37</w:t>
      </w:r>
      <w:r>
        <w:rPr>
          <w:rFonts w:hint="default" w:ascii="Times New Roman" w:hAnsi="Times New Roman" w:eastAsia="方正仿宋_GBK" w:cs="Times New Roman"/>
          <w:sz w:val="32"/>
          <w:szCs w:val="32"/>
          <w:highlight w:val="none"/>
          <w:shd w:val="clear" w:color="auto" w:fill="FFFFFF"/>
        </w:rPr>
        <w:t>%，较年初预算数增加10.19万元，增长8.55%，主要原因是项目支出增加。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（4）</w:t>
      </w:r>
      <w:r>
        <w:rPr>
          <w:rFonts w:hint="default" w:ascii="Times New Roman" w:hAnsi="Times New Roman" w:eastAsia="方正仿宋_GBK" w:cs="Times New Roman"/>
          <w:sz w:val="32"/>
          <w:szCs w:val="32"/>
          <w:highlight w:val="none"/>
        </w:rPr>
        <w:t>住房保障支出5.00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2.76</w:t>
      </w:r>
      <w:r>
        <w:rPr>
          <w:rFonts w:hint="default" w:ascii="Times New Roman" w:hAnsi="Times New Roman" w:eastAsia="方正仿宋_GBK" w:cs="Times New Roman"/>
          <w:sz w:val="32"/>
          <w:szCs w:val="32"/>
          <w:highlight w:val="none"/>
          <w:shd w:val="clear" w:color="auto" w:fill="FFFFFF"/>
        </w:rPr>
        <w:t>%，较年初预算数减少1.97万元，下降28.26%，主要原因是本单位本年度人员减少。</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11"/>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2024年度一般公共财政拨款基本支出</w:t>
      </w:r>
      <w:r>
        <w:rPr>
          <w:rFonts w:hint="default" w:ascii="Times New Roman" w:hAnsi="Times New Roman" w:eastAsia="方正仿宋_GBK" w:cs="Times New Roman"/>
          <w:sz w:val="32"/>
          <w:szCs w:val="32"/>
          <w:highlight w:val="none"/>
        </w:rPr>
        <w:t>181.21</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178.95</w:t>
      </w:r>
      <w:r>
        <w:rPr>
          <w:rFonts w:hint="default" w:ascii="Times New Roman" w:hAnsi="Times New Roman" w:eastAsia="方正仿宋_GBK" w:cs="Times New Roman"/>
          <w:sz w:val="32"/>
          <w:szCs w:val="32"/>
          <w:highlight w:val="none"/>
          <w:shd w:val="clear" w:color="auto" w:fill="FFFFFF"/>
        </w:rPr>
        <w:t>万元，与2023年度相比，增加5.18万元，增长2.98%，主要原因是保险基数调整。人员经费用途主要包括基本工资、津贴补贴、绩效工资、奖金、社会保障缴费、其他工资福利支出、退休费、医疗费等。公用经费</w:t>
      </w:r>
      <w:r>
        <w:rPr>
          <w:rFonts w:hint="default" w:ascii="Times New Roman" w:hAnsi="Times New Roman" w:eastAsia="方正仿宋_GBK" w:cs="Times New Roman"/>
          <w:sz w:val="32"/>
          <w:szCs w:val="32"/>
          <w:highlight w:val="none"/>
        </w:rPr>
        <w:t>2.26</w:t>
      </w:r>
      <w:r>
        <w:rPr>
          <w:rFonts w:hint="default" w:ascii="Times New Roman" w:hAnsi="Times New Roman" w:eastAsia="方正仿宋_GBK" w:cs="Times New Roman"/>
          <w:sz w:val="32"/>
          <w:szCs w:val="32"/>
          <w:highlight w:val="none"/>
          <w:shd w:val="clear" w:color="auto" w:fill="FFFFFF"/>
        </w:rPr>
        <w:t>万元，与2023年度相比，减少13.28万元，下降85.46%，主要原因是本单位本年度机构改革，人员流动。公用经费用途主要包括办公费、水费、电费、邮电费、委托业务费、公务用车运行维护费、其他商品和服务支出等。</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11"/>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黑体"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三、财政拨款“三公”经费情况说明</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2024年度“三公”经费支出共计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万元，较年初预算数无增减，主要原因是本单位2024年度无“三公”经费支出。较上年支出数无增减，主要原因是本单位2023年度与2024年度均无“三公”经费支出。</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2024年度本单位因公出国（境）费用</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万元，主要是用于安排人员出国访问。费用支出较年初预算数无增减，主要原因是本年度无因公出国（境）费用支出。较上年支出数无增减，主要原因是本单位2023年度与2024年度均无因公出国（境）费用支出。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公务车购置费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万元，主要用于购置公务车。费用支出较年初预算数无增减，主要原因是本年度无公务车购置费用支出。较上年支出数无增减，主要原因是本单位2023年度与2024年度均无公务车购置费用支出。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用于本单位机要文件交换、县内因公出行、各站所室业务检查等工作所需车辆的燃料费、维修费、过桥过路费、保险费等。费用支出较年初预算数无增减，主要原因是本年度无公务车运行维护费支出。较上年支出数无增减，主要原因是本单位2023年度与2024年度均无公务车运行维护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主要用于接待接待招商引资工作，接受相关部门检查指导工作发生的接待支出。费用支出较年初预算数无增减，主要原因是本年度无公务车接待费支出。较上年支出数无增减，主要原因是本单位2023年度与2024年度均无公务车接待费支出。</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人。2024年本单位人均接待费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黑体"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（一）财政拨款会议费和培训费情况说明</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w:t>
      </w:r>
      <w:r>
        <w:rPr>
          <w:rFonts w:hint="default" w:ascii="Times New Roman" w:hAnsi="Times New Roman" w:eastAsia="方正仿宋_GBK" w:cs="Times New Roman"/>
          <w:sz w:val="32"/>
          <w:szCs w:val="32"/>
          <w:highlight w:val="none"/>
          <w:shd w:val="clear" w:color="auto" w:fill="FFFFFF"/>
          <w:lang w:eastAsia="zh-CN"/>
        </w:rPr>
        <w:t>上年和本年均未发生会议费支出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万元，与2023年度相比，无变化，主要原因</w:t>
      </w:r>
      <w:r>
        <w:rPr>
          <w:rFonts w:hint="default" w:ascii="Times New Roman" w:hAnsi="Times New Roman" w:eastAsia="方正仿宋_GBK" w:cs="Times New Roman"/>
          <w:sz w:val="32"/>
          <w:szCs w:val="32"/>
          <w:highlight w:val="none"/>
          <w:shd w:val="clear" w:color="auto" w:fill="FFFFFF"/>
          <w:lang w:eastAsia="zh-CN"/>
        </w:rPr>
        <w:t>上年和本年均未发生培训费支出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z w:val="32"/>
          <w:szCs w:val="32"/>
          <w:highlight w:val="none"/>
          <w:shd w:val="clear" w:color="auto" w:fill="FFFFFF"/>
        </w:rPr>
        <w:t>2024年度本单位机关运行经费支出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万元，机关运行经费较上年支出数无增减，主要原因是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截至2024年12月31日，本单位共有车辆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2024年度我单位未发生政府采购事项，无相关经费支出。</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黑体"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五、2024年度预算绩效管理情况说明</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（一）单位自评情况</w:t>
      </w:r>
    </w:p>
    <w:p>
      <w:pPr>
        <w:pStyle w:val="16"/>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楷体" w:cs="Times New Roman"/>
          <w:b/>
          <w:bCs/>
          <w:sz w:val="32"/>
          <w:szCs w:val="32"/>
          <w:highlight w:val="none"/>
          <w:shd w:val="clear" w:color="auto" w:fill="FFFFFF"/>
          <w:lang w:bidi="ar"/>
        </w:rPr>
      </w:pPr>
      <w:r>
        <w:rPr>
          <w:rFonts w:hint="default" w:ascii="Times New Roman" w:hAnsi="Times New Roman" w:eastAsia="方正仿宋_GBK" w:cs="Times New Roman"/>
          <w:sz w:val="32"/>
          <w:szCs w:val="32"/>
          <w:highlight w:val="none"/>
          <w:shd w:val="clear" w:color="auto" w:fill="FFFFFF"/>
          <w:lang w:bidi="ar"/>
        </w:rPr>
        <w:t>我单位无项目绩效自评。</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（二）单位绩效评价情况</w:t>
      </w:r>
    </w:p>
    <w:p>
      <w:pPr>
        <w:pStyle w:val="16"/>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highlight w:val="none"/>
          <w:shd w:val="clear" w:color="auto" w:fill="FFFFFF"/>
          <w:lang w:bidi="ar"/>
        </w:rPr>
      </w:pPr>
      <w:r>
        <w:rPr>
          <w:rFonts w:hint="default" w:ascii="Times New Roman" w:hAnsi="Times New Roman" w:eastAsia="方正仿宋_GBK" w:cs="Times New Roman"/>
          <w:sz w:val="32"/>
          <w:szCs w:val="32"/>
          <w:highlight w:val="none"/>
          <w:shd w:val="clear" w:color="auto" w:fill="FFFFFF"/>
          <w:lang w:bidi="ar"/>
        </w:rPr>
        <w:t>我单位未组织开展绩效评价。</w:t>
      </w:r>
    </w:p>
    <w:p>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（三）财政绩效评价情况</w:t>
      </w:r>
    </w:p>
    <w:p>
      <w:pPr>
        <w:pStyle w:val="11"/>
        <w:keepNext w:val="0"/>
        <w:keepLines w:val="0"/>
        <w:pageBreakBefore w:val="0"/>
        <w:widowControl/>
        <w:kinsoku/>
        <w:wordWrap/>
        <w:overflowPunct/>
        <w:topLinePunct w:val="0"/>
        <w:autoSpaceDE w:val="0"/>
        <w:autoSpaceDN/>
        <w:bidi w:val="0"/>
        <w:adjustRightInd/>
        <w:spacing w:line="600" w:lineRule="exact"/>
        <w:ind w:firstLine="64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黑体"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楷体" w:cs="Times New Roman"/>
          <w:b/>
          <w:bCs/>
          <w:sz w:val="32"/>
          <w:szCs w:val="32"/>
          <w:highlight w:val="none"/>
          <w:shd w:val="clear" w:color="auto" w:fill="FFFFFF"/>
        </w:rPr>
        <w:t>（一）财政拨款收入：</w:t>
      </w:r>
      <w:r>
        <w:rPr>
          <w:rFonts w:hint="default" w:ascii="Times New Roman" w:hAnsi="Times New Roman" w:eastAsia="方正仿宋_GBK" w:cs="Times New Roman"/>
          <w:sz w:val="32"/>
          <w:szCs w:val="32"/>
          <w:highlight w:val="none"/>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（二）事业收入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（三）经营收入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（四）其他收入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（五）使用非财政拨款结余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（六）年初结转和结余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（七）结余分配</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（八）年末结转和结余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（九）基本支出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（十）项目支出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（十一）经营支出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（十二）“三公”经费</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（十三）机关运行经费</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（十四）工资福利支出（支出经济分类科目类级）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（十五）商品和服务支出（支出经济分类科目类级）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（十六）对个人和家庭的补助（支出经济分类科目类级）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楷体" w:cs="Times New Roman"/>
          <w:sz w:val="32"/>
          <w:szCs w:val="32"/>
          <w:highlight w:val="none"/>
          <w:shd w:val="clear" w:color="auto" w:fill="FFFFFF"/>
        </w:rPr>
        <w:t>（十七）其他资本性支出（支出经济分类科目类级）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方正仿宋_GBK" w:cs="Times New Roman"/>
          <w:sz w:val="32"/>
          <w:szCs w:val="32"/>
          <w:highlight w:val="none"/>
          <w:shd w:val="clear" w:color="auto" w:fill="FFFFFF"/>
        </w:rPr>
      </w:pPr>
      <w:r>
        <w:rPr>
          <w:rStyle w:val="10"/>
          <w:rFonts w:hint="default" w:ascii="Times New Roman" w:hAnsi="Times New Roman" w:eastAsia="黑体" w:cs="Times New Roman"/>
          <w:sz w:val="32"/>
          <w:szCs w:val="32"/>
          <w:highlight w:val="none"/>
          <w:shd w:val="clear" w:color="auto" w:fill="FFFFFF"/>
        </w:rPr>
        <w:t>七、决算公开联系方式及信息反馈渠道</w:t>
      </w:r>
    </w:p>
    <w:p>
      <w:pPr>
        <w:pStyle w:val="6"/>
        <w:keepNext w:val="0"/>
        <w:keepLines w:val="0"/>
        <w:pageBreakBefore w:val="0"/>
        <w:widowControl/>
        <w:kinsoku/>
        <w:wordWrap/>
        <w:overflowPunct/>
        <w:topLinePunct w:val="0"/>
        <w:autoSpaceDN/>
        <w:bidi w:val="0"/>
        <w:adjustRightInd/>
        <w:spacing w:before="0" w:beforeAutospacing="0" w:line="60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本单位决算公开信息反馈和联系方式：联系电话023-74599700。</w:t>
      </w:r>
    </w:p>
    <w:p>
      <w:pPr>
        <w:pStyle w:val="11"/>
        <w:keepNext w:val="0"/>
        <w:keepLines w:val="0"/>
        <w:pageBreakBefore w:val="0"/>
        <w:widowControl/>
        <w:kinsoku/>
        <w:wordWrap/>
        <w:overflowPunct/>
        <w:topLinePunct w:val="0"/>
        <w:autoSpaceDE w:val="0"/>
        <w:autoSpaceDN/>
        <w:bidi w:val="0"/>
        <w:adjustRightInd/>
        <w:spacing w:line="600" w:lineRule="exact"/>
        <w:ind w:firstLine="0" w:firstLineChars="0"/>
        <w:textAlignment w:val="auto"/>
        <w:rPr>
          <w:rStyle w:val="10"/>
          <w:rFonts w:hint="default" w:ascii="Times New Roman" w:hAnsi="Times New Roman" w:eastAsia="方正仿宋_GBK" w:cs="Times New Roman"/>
          <w:sz w:val="32"/>
          <w:szCs w:val="32"/>
          <w:highlight w:val="none"/>
          <w:shd w:val="clear" w:color="auto" w:fill="FFFF00"/>
        </w:rPr>
      </w:pPr>
    </w:p>
    <w:p>
      <w:pPr>
        <w:keepNext w:val="0"/>
        <w:keepLines w:val="0"/>
        <w:pageBreakBefore w:val="0"/>
        <w:widowControl/>
        <w:shd w:val="clear" w:color="auto" w:fill="FFFFFF"/>
        <w:kinsoku/>
        <w:wordWrap/>
        <w:overflowPunct/>
        <w:topLinePunct w:val="0"/>
        <w:autoSpaceDN/>
        <w:bidi w:val="0"/>
        <w:adjustRightInd/>
        <w:spacing w:line="600" w:lineRule="exact"/>
        <w:ind w:firstLine="642" w:firstLineChars="200"/>
        <w:textAlignment w:val="auto"/>
        <w:rPr>
          <w:rStyle w:val="10"/>
          <w:rFonts w:hint="default" w:ascii="Times New Roman" w:hAnsi="Times New Roman" w:eastAsia="方正仿宋_GBK" w:cs="Times New Roman"/>
          <w:sz w:val="32"/>
          <w:szCs w:val="32"/>
          <w:highlight w:val="none"/>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r>
              <w:rPr>
                <w:rFonts w:cs="宋体"/>
                <w:sz w:val="20"/>
                <w:szCs w:val="20"/>
                <w:highlight w:val="none"/>
              </w:rPr>
              <w:t>单位：</w:t>
            </w:r>
            <w:r>
              <w:rPr>
                <w:sz w:val="20"/>
                <w:highlight w:val="none"/>
              </w:rPr>
              <w:t>垫江县裴兴镇农业服务中心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181.21</w:t>
            </w: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37.99</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181.21</w:t>
            </w: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181.21</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181.21</w:t>
            </w:r>
            <w:r>
              <w:rPr>
                <w:rFonts w:ascii="Times New Roman" w:hAnsi="Times New Roman"/>
                <w:color w:val="000000"/>
                <w:sz w:val="20"/>
                <w:highlight w:val="none"/>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181.21</w:t>
            </w:r>
            <w:r>
              <w:rPr>
                <w:rFonts w:ascii="Times New Roman" w:hAnsi="Times New Roman"/>
                <w:color w:val="000000"/>
                <w:sz w:val="20"/>
                <w:highlight w:val="none"/>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sz w:val="20"/>
                <w:highlight w:val="none"/>
              </w:rPr>
              <w:t>垫江县裴兴镇农业服务中心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 xml:space="preserve">垫江县裴兴镇农业服务中心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垫江县裴兴镇农业服务中心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37.99</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37.99</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8.90</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8.90</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129.32</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129.32</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181.21</w:t>
            </w:r>
            <w:r>
              <w:rPr>
                <w:rFonts w:ascii="Times New Roman" w:hAnsi="Times New Roman"/>
                <w:color w:val="000000"/>
                <w:sz w:val="18"/>
                <w:highlight w:val="none"/>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垫江县裴兴镇农业服务中心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181.21</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37.99</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16.26</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7.72</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14.02</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8.90</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8.90</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129.32</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129.32</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5.00</w:t>
            </w:r>
            <w:r>
              <w:rPr>
                <w:rFonts w:ascii="Times New Roman" w:hAnsi="Times New Roman"/>
                <w:b/>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5.00</w:t>
            </w:r>
            <w:r>
              <w:rPr>
                <w:rFonts w:ascii="Times New Roman" w:hAnsi="Times New Roman"/>
                <w:color w:val="000000"/>
                <w:sz w:val="20"/>
                <w:highlight w:val="none"/>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垫江县裴兴镇农业服务中心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164.93</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2.26</w:t>
            </w: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27.71</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5.81</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92.25</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0.92</w:t>
            </w: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16.26</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1.15</w:t>
            </w: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7.72</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8.90</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0.17</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1.12</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14.02</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13.02</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w:t>
            </w: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0.19</w:t>
            </w: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178.95</w:t>
            </w:r>
            <w:r>
              <w:rPr>
                <w:rFonts w:ascii="Times New Roman" w:hAnsi="Times New Roman"/>
                <w:color w:val="000000"/>
                <w:sz w:val="18"/>
                <w:highlight w:val="none"/>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2.26</w:t>
            </w:r>
            <w:r>
              <w:rPr>
                <w:rFonts w:ascii="Times New Roman" w:hAnsi="Times New Roman"/>
                <w:color w:val="000000"/>
                <w:sz w:val="18"/>
                <w:highlight w:val="none"/>
              </w:rPr>
              <w:t xml:space="preserve"> </w:t>
            </w:r>
          </w:p>
        </w:tc>
      </w:tr>
    </w:tbl>
    <w:p>
      <w:pPr>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垫江县裴兴镇农业服务中心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rPr>
              <w:t>垫江县裴兴镇农业服务中心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r>
              <w:rPr>
                <w:rFonts w:cs="宋体"/>
                <w:kern w:val="2"/>
                <w:sz w:val="20"/>
                <w:szCs w:val="20"/>
                <w:highlight w:val="none"/>
              </w:rPr>
              <w:t>单位</w:t>
            </w:r>
            <w:r>
              <w:rPr>
                <w:rFonts w:cs="宋体"/>
                <w:color w:val="000000"/>
                <w:kern w:val="2"/>
                <w:sz w:val="20"/>
                <w:szCs w:val="20"/>
                <w:highlight w:val="none"/>
              </w:rPr>
              <w:t>：</w:t>
            </w:r>
            <w:r>
              <w:rPr>
                <w:color w:val="000000"/>
                <w:sz w:val="20"/>
                <w:highlight w:val="none"/>
              </w:rPr>
              <w:t>垫江县裴兴镇农业服务中心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highlight w:val="none"/>
              </w:rPr>
            </w:pPr>
          </w:p>
        </w:tc>
      </w:tr>
    </w:tbl>
    <w:p>
      <w:pPr>
        <w:rPr>
          <w:rFonts w:hint="default" w:cs="宋体"/>
          <w:sz w:val="21"/>
          <w:szCs w:val="21"/>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1214F"/>
    <w:rsid w:val="00435A5F"/>
    <w:rsid w:val="00466C9B"/>
    <w:rsid w:val="00550ABE"/>
    <w:rsid w:val="00770383"/>
    <w:rsid w:val="007819D4"/>
    <w:rsid w:val="007B419D"/>
    <w:rsid w:val="007B7C4B"/>
    <w:rsid w:val="007D3D39"/>
    <w:rsid w:val="00994AF7"/>
    <w:rsid w:val="009B67B8"/>
    <w:rsid w:val="009D2B67"/>
    <w:rsid w:val="009F78DB"/>
    <w:rsid w:val="00A566F9"/>
    <w:rsid w:val="00AF2751"/>
    <w:rsid w:val="00B03CCD"/>
    <w:rsid w:val="00BE2B89"/>
    <w:rsid w:val="00C10E9E"/>
    <w:rsid w:val="00C20C3E"/>
    <w:rsid w:val="00C35FAE"/>
    <w:rsid w:val="00CF2ACF"/>
    <w:rsid w:val="00F54832"/>
    <w:rsid w:val="00F73F90"/>
    <w:rsid w:val="00FB4B3B"/>
    <w:rsid w:val="01474EBF"/>
    <w:rsid w:val="01F3521E"/>
    <w:rsid w:val="025C1016"/>
    <w:rsid w:val="0302195E"/>
    <w:rsid w:val="03B87EA0"/>
    <w:rsid w:val="03E3214F"/>
    <w:rsid w:val="044C50BA"/>
    <w:rsid w:val="047540C0"/>
    <w:rsid w:val="04911FB9"/>
    <w:rsid w:val="051A6F66"/>
    <w:rsid w:val="05BC6D49"/>
    <w:rsid w:val="05E97064"/>
    <w:rsid w:val="05FD48BE"/>
    <w:rsid w:val="06194FF1"/>
    <w:rsid w:val="06776060"/>
    <w:rsid w:val="06A2550B"/>
    <w:rsid w:val="06F80EE2"/>
    <w:rsid w:val="07001CCA"/>
    <w:rsid w:val="075678DB"/>
    <w:rsid w:val="079D7CC7"/>
    <w:rsid w:val="08051BCA"/>
    <w:rsid w:val="086C12F4"/>
    <w:rsid w:val="08705944"/>
    <w:rsid w:val="08BA052C"/>
    <w:rsid w:val="08DB07BA"/>
    <w:rsid w:val="0969353F"/>
    <w:rsid w:val="098305D0"/>
    <w:rsid w:val="099472E7"/>
    <w:rsid w:val="0A3317EA"/>
    <w:rsid w:val="0A5C4B69"/>
    <w:rsid w:val="0A86124A"/>
    <w:rsid w:val="0AB54CC0"/>
    <w:rsid w:val="0ACC485F"/>
    <w:rsid w:val="0ACE6829"/>
    <w:rsid w:val="0B156E0E"/>
    <w:rsid w:val="0B9335CE"/>
    <w:rsid w:val="0B9A495D"/>
    <w:rsid w:val="0BB21CA6"/>
    <w:rsid w:val="0BF2311A"/>
    <w:rsid w:val="0C2A5909"/>
    <w:rsid w:val="0C7927C4"/>
    <w:rsid w:val="0C9B098C"/>
    <w:rsid w:val="0D673E11"/>
    <w:rsid w:val="0DDA54E4"/>
    <w:rsid w:val="0E3A5F83"/>
    <w:rsid w:val="0F836721"/>
    <w:rsid w:val="0FA25D96"/>
    <w:rsid w:val="0FEB47B3"/>
    <w:rsid w:val="107B59E5"/>
    <w:rsid w:val="10EC0126"/>
    <w:rsid w:val="10F70B9A"/>
    <w:rsid w:val="111445C7"/>
    <w:rsid w:val="114278C6"/>
    <w:rsid w:val="1158083A"/>
    <w:rsid w:val="11643A4B"/>
    <w:rsid w:val="11ED0F98"/>
    <w:rsid w:val="11F03528"/>
    <w:rsid w:val="12C921C4"/>
    <w:rsid w:val="13871C70"/>
    <w:rsid w:val="13A71CB4"/>
    <w:rsid w:val="13AF1D43"/>
    <w:rsid w:val="13BBA353"/>
    <w:rsid w:val="13CE1647"/>
    <w:rsid w:val="13CF7CE5"/>
    <w:rsid w:val="13FD55AB"/>
    <w:rsid w:val="140432BB"/>
    <w:rsid w:val="14200702"/>
    <w:rsid w:val="152F381D"/>
    <w:rsid w:val="16135A37"/>
    <w:rsid w:val="163A6CEE"/>
    <w:rsid w:val="167069E6"/>
    <w:rsid w:val="16976668"/>
    <w:rsid w:val="173708E3"/>
    <w:rsid w:val="1740460A"/>
    <w:rsid w:val="17C374FC"/>
    <w:rsid w:val="182E4AB6"/>
    <w:rsid w:val="189079DC"/>
    <w:rsid w:val="189B0D0B"/>
    <w:rsid w:val="18B43F7C"/>
    <w:rsid w:val="18FA4C8D"/>
    <w:rsid w:val="194A1770"/>
    <w:rsid w:val="19B906A4"/>
    <w:rsid w:val="19F142E2"/>
    <w:rsid w:val="1A0A53A3"/>
    <w:rsid w:val="1AE122B8"/>
    <w:rsid w:val="1B0004E7"/>
    <w:rsid w:val="1B3426D8"/>
    <w:rsid w:val="1B6F15B6"/>
    <w:rsid w:val="1BAA2EDC"/>
    <w:rsid w:val="1BC852CB"/>
    <w:rsid w:val="1C5B5A42"/>
    <w:rsid w:val="1CA55E64"/>
    <w:rsid w:val="1CD70096"/>
    <w:rsid w:val="1D014A01"/>
    <w:rsid w:val="1D022362"/>
    <w:rsid w:val="1D1B04B0"/>
    <w:rsid w:val="1D556936"/>
    <w:rsid w:val="1DA52501"/>
    <w:rsid w:val="1DBD6767"/>
    <w:rsid w:val="1DC52125"/>
    <w:rsid w:val="1DD26311"/>
    <w:rsid w:val="1E374ACB"/>
    <w:rsid w:val="1EA24D25"/>
    <w:rsid w:val="1ECF0A66"/>
    <w:rsid w:val="1EF67CA4"/>
    <w:rsid w:val="1F020D3A"/>
    <w:rsid w:val="1F2C5189"/>
    <w:rsid w:val="1F4B0B02"/>
    <w:rsid w:val="1F7C289F"/>
    <w:rsid w:val="1FBB35CD"/>
    <w:rsid w:val="1FCD26AF"/>
    <w:rsid w:val="20374989"/>
    <w:rsid w:val="20642787"/>
    <w:rsid w:val="20EE157B"/>
    <w:rsid w:val="21556F04"/>
    <w:rsid w:val="22403BD3"/>
    <w:rsid w:val="2272162A"/>
    <w:rsid w:val="231921B3"/>
    <w:rsid w:val="242E1C8E"/>
    <w:rsid w:val="24B92327"/>
    <w:rsid w:val="24C14514"/>
    <w:rsid w:val="2533755C"/>
    <w:rsid w:val="25791755"/>
    <w:rsid w:val="26396DF4"/>
    <w:rsid w:val="27167136"/>
    <w:rsid w:val="271B442C"/>
    <w:rsid w:val="27483067"/>
    <w:rsid w:val="27B23302"/>
    <w:rsid w:val="27CD4F03"/>
    <w:rsid w:val="29310A5F"/>
    <w:rsid w:val="29C37A35"/>
    <w:rsid w:val="29F17D0F"/>
    <w:rsid w:val="2A076083"/>
    <w:rsid w:val="2A73162E"/>
    <w:rsid w:val="2B167953"/>
    <w:rsid w:val="2B200583"/>
    <w:rsid w:val="2B8209DE"/>
    <w:rsid w:val="2C636760"/>
    <w:rsid w:val="2C6762A3"/>
    <w:rsid w:val="2CBC252D"/>
    <w:rsid w:val="2E9076FE"/>
    <w:rsid w:val="2FC17E5A"/>
    <w:rsid w:val="2FCA4B37"/>
    <w:rsid w:val="2FE029D7"/>
    <w:rsid w:val="2FF06E00"/>
    <w:rsid w:val="303E6DDB"/>
    <w:rsid w:val="3058256D"/>
    <w:rsid w:val="30586FEC"/>
    <w:rsid w:val="309C1391"/>
    <w:rsid w:val="315F0B22"/>
    <w:rsid w:val="31C003CA"/>
    <w:rsid w:val="31D84415"/>
    <w:rsid w:val="32285F6F"/>
    <w:rsid w:val="3260395B"/>
    <w:rsid w:val="32770556"/>
    <w:rsid w:val="329C0913"/>
    <w:rsid w:val="32AA0460"/>
    <w:rsid w:val="3337290D"/>
    <w:rsid w:val="33757815"/>
    <w:rsid w:val="33E31118"/>
    <w:rsid w:val="33EF7674"/>
    <w:rsid w:val="342D7BC6"/>
    <w:rsid w:val="34473024"/>
    <w:rsid w:val="34BD5094"/>
    <w:rsid w:val="34C93A39"/>
    <w:rsid w:val="34DF14AF"/>
    <w:rsid w:val="352930DB"/>
    <w:rsid w:val="354D6418"/>
    <w:rsid w:val="35573069"/>
    <w:rsid w:val="355F6038"/>
    <w:rsid w:val="358C217E"/>
    <w:rsid w:val="36C9128A"/>
    <w:rsid w:val="37841E99"/>
    <w:rsid w:val="37BF1123"/>
    <w:rsid w:val="37E82428"/>
    <w:rsid w:val="383C3F15"/>
    <w:rsid w:val="38BE4696"/>
    <w:rsid w:val="3939115E"/>
    <w:rsid w:val="396D4BED"/>
    <w:rsid w:val="39B82A39"/>
    <w:rsid w:val="39C42CA8"/>
    <w:rsid w:val="39DC4FD6"/>
    <w:rsid w:val="39F03D7A"/>
    <w:rsid w:val="39F33306"/>
    <w:rsid w:val="3A2C1C67"/>
    <w:rsid w:val="3ADD7F09"/>
    <w:rsid w:val="3B1705E5"/>
    <w:rsid w:val="3B18334B"/>
    <w:rsid w:val="3B36794F"/>
    <w:rsid w:val="3B6F6EE0"/>
    <w:rsid w:val="3B765F9D"/>
    <w:rsid w:val="3B936B4F"/>
    <w:rsid w:val="3BA37D1F"/>
    <w:rsid w:val="3C566AD6"/>
    <w:rsid w:val="3C594871"/>
    <w:rsid w:val="3C5C33E5"/>
    <w:rsid w:val="3C6A5B02"/>
    <w:rsid w:val="3D2757A1"/>
    <w:rsid w:val="3D37175C"/>
    <w:rsid w:val="3D3D4FC4"/>
    <w:rsid w:val="3D9D3CB5"/>
    <w:rsid w:val="3DDF3AB1"/>
    <w:rsid w:val="3DE25B6C"/>
    <w:rsid w:val="3E1D0952"/>
    <w:rsid w:val="3E42660A"/>
    <w:rsid w:val="3E7555B1"/>
    <w:rsid w:val="3E787ED9"/>
    <w:rsid w:val="3E975001"/>
    <w:rsid w:val="3EA64DEB"/>
    <w:rsid w:val="3F032E93"/>
    <w:rsid w:val="3F0527E5"/>
    <w:rsid w:val="3F3A70E7"/>
    <w:rsid w:val="3F694D83"/>
    <w:rsid w:val="3F885DCC"/>
    <w:rsid w:val="3FCD675E"/>
    <w:rsid w:val="4004000C"/>
    <w:rsid w:val="40317067"/>
    <w:rsid w:val="40BD5482"/>
    <w:rsid w:val="40C51606"/>
    <w:rsid w:val="411B6CE5"/>
    <w:rsid w:val="412070D7"/>
    <w:rsid w:val="41314E40"/>
    <w:rsid w:val="418238EE"/>
    <w:rsid w:val="41E0734B"/>
    <w:rsid w:val="426C1EA8"/>
    <w:rsid w:val="42736402"/>
    <w:rsid w:val="42E86A87"/>
    <w:rsid w:val="43307B09"/>
    <w:rsid w:val="439A3EB9"/>
    <w:rsid w:val="43BB152F"/>
    <w:rsid w:val="44C37687"/>
    <w:rsid w:val="456926CF"/>
    <w:rsid w:val="45CB699A"/>
    <w:rsid w:val="45E2495B"/>
    <w:rsid w:val="45F10E32"/>
    <w:rsid w:val="465B470D"/>
    <w:rsid w:val="469D6AD4"/>
    <w:rsid w:val="471E6C84"/>
    <w:rsid w:val="4748792B"/>
    <w:rsid w:val="475D719D"/>
    <w:rsid w:val="47674801"/>
    <w:rsid w:val="48225EF7"/>
    <w:rsid w:val="48763A80"/>
    <w:rsid w:val="488F422B"/>
    <w:rsid w:val="48DD58AD"/>
    <w:rsid w:val="48E36915"/>
    <w:rsid w:val="48EB6572"/>
    <w:rsid w:val="495C4A24"/>
    <w:rsid w:val="497135DF"/>
    <w:rsid w:val="49B50F38"/>
    <w:rsid w:val="4A1E1CDA"/>
    <w:rsid w:val="4A263DF2"/>
    <w:rsid w:val="4A6F6675"/>
    <w:rsid w:val="4B135857"/>
    <w:rsid w:val="4B5C0884"/>
    <w:rsid w:val="4B7951CB"/>
    <w:rsid w:val="4B7C315C"/>
    <w:rsid w:val="4BCB7C3F"/>
    <w:rsid w:val="4D20220D"/>
    <w:rsid w:val="4DAC4ACA"/>
    <w:rsid w:val="4DBE01D2"/>
    <w:rsid w:val="4EBE1CDD"/>
    <w:rsid w:val="4ED50AB7"/>
    <w:rsid w:val="4F0C6BA3"/>
    <w:rsid w:val="4F186D58"/>
    <w:rsid w:val="501E7B62"/>
    <w:rsid w:val="503C735D"/>
    <w:rsid w:val="50B60EBE"/>
    <w:rsid w:val="50F06B6E"/>
    <w:rsid w:val="51A27694"/>
    <w:rsid w:val="51D21804"/>
    <w:rsid w:val="52234D33"/>
    <w:rsid w:val="522F6E0C"/>
    <w:rsid w:val="52463BA1"/>
    <w:rsid w:val="52F163D4"/>
    <w:rsid w:val="530028C4"/>
    <w:rsid w:val="53193986"/>
    <w:rsid w:val="531A2DB4"/>
    <w:rsid w:val="537D3F15"/>
    <w:rsid w:val="53C0244D"/>
    <w:rsid w:val="53DD4D4E"/>
    <w:rsid w:val="53E578CE"/>
    <w:rsid w:val="53F80C41"/>
    <w:rsid w:val="541330F0"/>
    <w:rsid w:val="54272666"/>
    <w:rsid w:val="543B029D"/>
    <w:rsid w:val="54861779"/>
    <w:rsid w:val="552256E1"/>
    <w:rsid w:val="554E5773"/>
    <w:rsid w:val="555829E0"/>
    <w:rsid w:val="555A3CBC"/>
    <w:rsid w:val="5582012B"/>
    <w:rsid w:val="558E4E05"/>
    <w:rsid w:val="55AA0C69"/>
    <w:rsid w:val="55BE2E85"/>
    <w:rsid w:val="56530F5D"/>
    <w:rsid w:val="567700D3"/>
    <w:rsid w:val="56D95906"/>
    <w:rsid w:val="56FF7E9E"/>
    <w:rsid w:val="578867FC"/>
    <w:rsid w:val="57BE346B"/>
    <w:rsid w:val="5805272B"/>
    <w:rsid w:val="581110D0"/>
    <w:rsid w:val="5842572D"/>
    <w:rsid w:val="58ED7447"/>
    <w:rsid w:val="590D7AE9"/>
    <w:rsid w:val="592F7A5F"/>
    <w:rsid w:val="5A3B59D6"/>
    <w:rsid w:val="5AD134D8"/>
    <w:rsid w:val="5B500161"/>
    <w:rsid w:val="5B8E4BDC"/>
    <w:rsid w:val="5B9A01F8"/>
    <w:rsid w:val="5C0827EA"/>
    <w:rsid w:val="5C263CE4"/>
    <w:rsid w:val="5C5D2777"/>
    <w:rsid w:val="5CF66BF3"/>
    <w:rsid w:val="5D290C69"/>
    <w:rsid w:val="5EBF3633"/>
    <w:rsid w:val="5F0279C4"/>
    <w:rsid w:val="5F2D4A41"/>
    <w:rsid w:val="5F337B7D"/>
    <w:rsid w:val="5FBA3DFB"/>
    <w:rsid w:val="60C74F6C"/>
    <w:rsid w:val="61025A59"/>
    <w:rsid w:val="61067BB6"/>
    <w:rsid w:val="612754C0"/>
    <w:rsid w:val="613D5BBC"/>
    <w:rsid w:val="61536C39"/>
    <w:rsid w:val="62061579"/>
    <w:rsid w:val="622B7232"/>
    <w:rsid w:val="62944DD7"/>
    <w:rsid w:val="6319381F"/>
    <w:rsid w:val="639F3A33"/>
    <w:rsid w:val="63C25DC5"/>
    <w:rsid w:val="63C62057"/>
    <w:rsid w:val="64041AE8"/>
    <w:rsid w:val="643248A8"/>
    <w:rsid w:val="64571EF5"/>
    <w:rsid w:val="64970BAF"/>
    <w:rsid w:val="64FB113D"/>
    <w:rsid w:val="656152C6"/>
    <w:rsid w:val="657A6506"/>
    <w:rsid w:val="6587477F"/>
    <w:rsid w:val="658C3A08"/>
    <w:rsid w:val="65C031CA"/>
    <w:rsid w:val="65CE6852"/>
    <w:rsid w:val="66267C04"/>
    <w:rsid w:val="663F505A"/>
    <w:rsid w:val="66EE5541"/>
    <w:rsid w:val="67924660"/>
    <w:rsid w:val="68407834"/>
    <w:rsid w:val="687C07E7"/>
    <w:rsid w:val="6883293E"/>
    <w:rsid w:val="688412AD"/>
    <w:rsid w:val="68EB1B71"/>
    <w:rsid w:val="6A6C7940"/>
    <w:rsid w:val="6AAD2300"/>
    <w:rsid w:val="6B474EF5"/>
    <w:rsid w:val="6C0A5AC5"/>
    <w:rsid w:val="6C1825D5"/>
    <w:rsid w:val="6C560CAE"/>
    <w:rsid w:val="6C576495"/>
    <w:rsid w:val="6D88378A"/>
    <w:rsid w:val="6D903FF5"/>
    <w:rsid w:val="6DA955B8"/>
    <w:rsid w:val="6DC26528"/>
    <w:rsid w:val="6DE346AB"/>
    <w:rsid w:val="6DE5391A"/>
    <w:rsid w:val="6E14501E"/>
    <w:rsid w:val="6E2807D9"/>
    <w:rsid w:val="6E427DDD"/>
    <w:rsid w:val="6E8757F0"/>
    <w:rsid w:val="6EEB591A"/>
    <w:rsid w:val="6EFD1324"/>
    <w:rsid w:val="6F5A53AC"/>
    <w:rsid w:val="6FAC003D"/>
    <w:rsid w:val="6FE55E12"/>
    <w:rsid w:val="6FFB2E76"/>
    <w:rsid w:val="7056191E"/>
    <w:rsid w:val="708F6F7F"/>
    <w:rsid w:val="70D94BD3"/>
    <w:rsid w:val="70E92792"/>
    <w:rsid w:val="7130216F"/>
    <w:rsid w:val="71C34D91"/>
    <w:rsid w:val="724114F6"/>
    <w:rsid w:val="72DB435C"/>
    <w:rsid w:val="72E2613A"/>
    <w:rsid w:val="72F771F4"/>
    <w:rsid w:val="731A4E85"/>
    <w:rsid w:val="738B7B30"/>
    <w:rsid w:val="73934AD2"/>
    <w:rsid w:val="74DB6895"/>
    <w:rsid w:val="750837F0"/>
    <w:rsid w:val="753541F8"/>
    <w:rsid w:val="754758CF"/>
    <w:rsid w:val="763E0E8A"/>
    <w:rsid w:val="764F62AB"/>
    <w:rsid w:val="765C45EC"/>
    <w:rsid w:val="768A7619"/>
    <w:rsid w:val="772E1EBA"/>
    <w:rsid w:val="781926BC"/>
    <w:rsid w:val="796D60A4"/>
    <w:rsid w:val="79A031D5"/>
    <w:rsid w:val="7A1525F7"/>
    <w:rsid w:val="7B420052"/>
    <w:rsid w:val="7BBF2A6D"/>
    <w:rsid w:val="7BD06A28"/>
    <w:rsid w:val="7C32323F"/>
    <w:rsid w:val="7C3A7C0B"/>
    <w:rsid w:val="7C5248E4"/>
    <w:rsid w:val="7C566698"/>
    <w:rsid w:val="7C5866A3"/>
    <w:rsid w:val="7D545437"/>
    <w:rsid w:val="7D7406BB"/>
    <w:rsid w:val="7DE94331"/>
    <w:rsid w:val="7E4234E1"/>
    <w:rsid w:val="7E8D39C8"/>
    <w:rsid w:val="7EDC56E4"/>
    <w:rsid w:val="7F446A19"/>
    <w:rsid w:val="7F7452B9"/>
    <w:rsid w:val="7F943AB5"/>
    <w:rsid w:val="7FEA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8329</Words>
  <Characters>10455</Characters>
  <Lines>94</Lines>
  <Paragraphs>26</Paragraphs>
  <TotalTime>2</TotalTime>
  <ScaleCrop>false</ScaleCrop>
  <LinksUpToDate>false</LinksUpToDate>
  <CharactersWithSpaces>11439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冯乔羽</cp:lastModifiedBy>
  <dcterms:modified xsi:type="dcterms:W3CDTF">2025-12-17T17:44:27Z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3B54799F311C4D1BBF87184515A8CA0B_13</vt:lpwstr>
  </property>
  <property fmtid="{D5CDD505-2E9C-101B-9397-08002B2CF9AE}" pid="4" name="KSOTemplateDocerSaveRecord">
    <vt:lpwstr>eyJoZGlkIjoiNWZiNzgyYzc5M2U3OTBiNTZkYzNiNjU4NjZlNjg1MDUiLCJ1c2VySWQiOiIzNDY0MzQxNDkifQ==</vt:lpwstr>
  </property>
</Properties>
</file>