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垫江县沙河乡农业服务中心</w:t>
      </w:r>
      <w:r>
        <w:rPr>
          <w:rFonts w:hint="eastAsia" w:ascii="方正小标宋_GBK" w:hAnsi="方正小标宋_GBK" w:eastAsia="方正小标宋_GBK" w:cs="方正小标宋_GBK"/>
          <w:color w:val="auto"/>
          <w:sz w:val="44"/>
          <w:szCs w:val="44"/>
          <w:shd w:val="clear" w:color="auto" w:fill="FFFFFF"/>
          <w:lang w:eastAsia="zh-CN"/>
        </w:rPr>
        <w:t>2024年</w:t>
      </w:r>
      <w:r>
        <w:rPr>
          <w:rFonts w:ascii="方正小标宋_GBK" w:hAnsi="方正小标宋_GBK" w:eastAsia="方正小标宋_GBK" w:cs="方正小标宋_GBK"/>
          <w:color w:val="auto"/>
          <w:sz w:val="44"/>
          <w:szCs w:val="44"/>
          <w:shd w:val="clear" w:color="auto" w:fill="FFFFFF"/>
        </w:rPr>
        <w:t>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9"/>
          <w:rFonts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（一）职能职责</w:t>
      </w:r>
    </w:p>
    <w:p>
      <w:pPr>
        <w:pStyle w:val="7"/>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宗旨：推广先进农业技术，促进农业发展。</w:t>
      </w:r>
    </w:p>
    <w:p>
      <w:pPr>
        <w:pStyle w:val="7"/>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7"/>
        <w:shd w:val="clear" w:color="auto" w:fill="FFFFFF"/>
        <w:ind w:firstLine="420"/>
        <w:rPr>
          <w:rFonts w:hint="default" w:ascii="楷体" w:hAnsi="楷体" w:eastAsia="楷体" w:cs="楷体"/>
          <w:color w:val="auto"/>
          <w:sz w:val="32"/>
          <w:szCs w:val="32"/>
        </w:rPr>
      </w:pPr>
      <w:r>
        <w:rPr>
          <w:rStyle w:val="9"/>
          <w:rFonts w:ascii="楷体" w:hAnsi="楷体" w:eastAsia="楷体" w:cs="楷体"/>
          <w:color w:val="auto"/>
          <w:sz w:val="32"/>
          <w:szCs w:val="32"/>
          <w:shd w:val="clear" w:color="auto" w:fill="FFFFFF"/>
        </w:rPr>
        <w:t>（二）机构设置</w:t>
      </w:r>
    </w:p>
    <w:p>
      <w:pPr>
        <w:numPr>
          <w:ilvl w:val="0"/>
          <w:numId w:val="0"/>
        </w:numPr>
        <w:rPr>
          <w:rStyle w:val="9"/>
          <w:rFonts w:hint="default" w:ascii="楷体" w:hAnsi="楷体" w:eastAsia="楷体" w:cs="楷体"/>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rPr>
        <w:t xml:space="preserve"> 沙河乡农业服务中心是沙河乡人民政府所属事业单位，目前编制7人，其中副高职称1人，中级八级2人，助理十一级1人，助理十级1人，八级职员1人，管理九级1人。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二、</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决算情况说明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0" w:firstLineChars="200"/>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度收入总计176.74万元，支出总计</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万元。收、支与2023年度相比，增加1.84万元，增长1.05%，主要原因是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度收入合计176.74万元，与2023年度相比，增加1.84万元，增长1.05%，主要原因是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万元，与2023年度相比，增加1.84万元，增长1.05%，主要原因是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度财政拨款收、支总计176.74万元。与202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万元，与2023年度相比，增加1.84万元，增长1.05%。主要原因是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较年初预算数增加10.10万元，增长6.06%。主要原因是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万元，与2023年度相比，增加1.84万元，增长1.05%。主要原因是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较年初预算数增加10.10万元，增长6.06%。主要原因是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44.38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25.11</w:t>
      </w:r>
      <w:r>
        <w:rPr>
          <w:rFonts w:ascii="方正仿宋_GBK" w:hAnsi="方正仿宋_GBK" w:eastAsia="方正仿宋_GBK" w:cs="方正仿宋_GBK"/>
          <w:color w:val="auto"/>
          <w:sz w:val="32"/>
          <w:szCs w:val="32"/>
          <w:shd w:val="clear" w:color="auto" w:fill="FFFFFF"/>
        </w:rPr>
        <w:t>%，较年初预算数增加15.17万元，增长51.93%，主要原因</w:t>
      </w:r>
      <w:r>
        <w:rPr>
          <w:rFonts w:hint="eastAsia" w:ascii="方正仿宋_GBK" w:hAnsi="方正仿宋_GBK" w:eastAsia="方正仿宋_GBK" w:cs="方正仿宋_GBK"/>
          <w:color w:val="auto"/>
          <w:sz w:val="32"/>
          <w:szCs w:val="32"/>
          <w:shd w:val="clear" w:color="auto" w:fill="FFFFFF"/>
          <w:lang w:eastAsia="zh-CN"/>
        </w:rPr>
        <w:t>是保险调标。</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7.77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4.39</w:t>
      </w:r>
      <w:r>
        <w:rPr>
          <w:rFonts w:ascii="方正仿宋_GBK" w:hAnsi="方正仿宋_GBK" w:eastAsia="方正仿宋_GBK" w:cs="方正仿宋_GBK"/>
          <w:color w:val="auto"/>
          <w:sz w:val="32"/>
          <w:szCs w:val="32"/>
          <w:shd w:val="clear" w:color="auto" w:fill="FFFFFF"/>
        </w:rPr>
        <w:t>%，较年初预算数增加1.56万元，增长25.12%，主要原因是</w:t>
      </w:r>
      <w:r>
        <w:rPr>
          <w:rFonts w:hint="eastAsia" w:ascii="方正仿宋_GBK" w:hAnsi="方正仿宋_GBK" w:eastAsia="方正仿宋_GBK" w:cs="方正仿宋_GBK"/>
          <w:color w:val="auto"/>
          <w:sz w:val="32"/>
          <w:szCs w:val="32"/>
          <w:shd w:val="clear" w:color="auto" w:fill="FFFFFF"/>
          <w:lang w:eastAsia="zh-CN"/>
        </w:rPr>
        <w:t>保险调标。</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113.98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64.49</w:t>
      </w:r>
      <w:r>
        <w:rPr>
          <w:rFonts w:ascii="方正仿宋_GBK" w:hAnsi="方正仿宋_GBK" w:eastAsia="方正仿宋_GBK" w:cs="方正仿宋_GBK"/>
          <w:color w:val="auto"/>
          <w:sz w:val="32"/>
          <w:szCs w:val="32"/>
          <w:shd w:val="clear" w:color="auto" w:fill="FFFFFF"/>
        </w:rPr>
        <w:t>%，较年初预算数减少9.78万元，下降7.90%，主要原因是</w:t>
      </w:r>
      <w:r>
        <w:rPr>
          <w:rFonts w:hint="eastAsia" w:ascii="方正仿宋_GBK" w:hAnsi="方正仿宋_GBK" w:eastAsia="方正仿宋_GBK" w:cs="方正仿宋_GBK"/>
          <w:color w:val="auto"/>
          <w:sz w:val="32"/>
          <w:szCs w:val="32"/>
          <w:shd w:val="clear" w:color="auto" w:fill="FFFFFF"/>
          <w:lang w:eastAsia="zh-CN"/>
        </w:rPr>
        <w:t>本单位调离</w:t>
      </w:r>
      <w:r>
        <w:rPr>
          <w:rFonts w:hint="eastAsia" w:ascii="方正仿宋_GBK" w:hAnsi="方正仿宋_GBK" w:eastAsia="方正仿宋_GBK" w:cs="方正仿宋_GBK"/>
          <w:color w:val="auto"/>
          <w:sz w:val="32"/>
          <w:szCs w:val="32"/>
          <w:shd w:val="clear" w:color="auto" w:fill="FFFFFF"/>
          <w:lang w:val="en-US" w:eastAsia="zh-CN"/>
        </w:rPr>
        <w:t>1人。</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住房保障支出10.61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6.00</w:t>
      </w:r>
      <w:r>
        <w:rPr>
          <w:rFonts w:ascii="方正仿宋_GBK" w:hAnsi="方正仿宋_GBK" w:eastAsia="方正仿宋_GBK" w:cs="方正仿宋_GBK"/>
          <w:color w:val="auto"/>
          <w:sz w:val="32"/>
          <w:szCs w:val="32"/>
          <w:shd w:val="clear" w:color="auto" w:fill="FFFFFF"/>
        </w:rPr>
        <w:t>%，较年初预算数增加3.15万元，增长42.23%，主要原因是</w:t>
      </w:r>
      <w:r>
        <w:rPr>
          <w:rFonts w:hint="eastAsia" w:ascii="方正仿宋_GBK" w:hAnsi="方正仿宋_GBK" w:eastAsia="方正仿宋_GBK" w:cs="方正仿宋_GBK"/>
          <w:color w:val="auto"/>
          <w:sz w:val="32"/>
          <w:szCs w:val="32"/>
          <w:shd w:val="clear" w:color="auto" w:fill="FFFFFF"/>
          <w:lang w:eastAsia="zh-CN"/>
        </w:rPr>
        <w:t>人员增资后保险调标。</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176.74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167.99</w:t>
      </w:r>
      <w:r>
        <w:rPr>
          <w:rFonts w:ascii="方正仿宋_GBK" w:hAnsi="方正仿宋_GBK" w:eastAsia="方正仿宋_GBK" w:cs="方正仿宋_GBK"/>
          <w:color w:val="auto"/>
          <w:sz w:val="32"/>
          <w:szCs w:val="32"/>
          <w:shd w:val="clear" w:color="auto" w:fill="FFFFFF"/>
        </w:rPr>
        <w:t>万元，与2023年度相比，增加8.26万元，增长5.17%，主要原因是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ascii="方正仿宋_GBK" w:hAnsi="方正仿宋_GBK" w:eastAsia="方正仿宋_GBK" w:cs="方正仿宋_GBK"/>
          <w:color w:val="auto"/>
          <w:sz w:val="32"/>
          <w:szCs w:val="32"/>
          <w:shd w:val="clear" w:color="auto" w:fill="FFFFFF"/>
        </w:rPr>
        <w:t>人员经费用途主要包括基本工资、津贴补贴、</w:t>
      </w:r>
      <w:r>
        <w:rPr>
          <w:rFonts w:hint="eastAsia" w:ascii="方正仿宋_GBK" w:hAnsi="方正仿宋_GBK" w:eastAsia="方正仿宋_GBK" w:cs="方正仿宋_GBK"/>
          <w:color w:val="auto"/>
          <w:sz w:val="32"/>
          <w:szCs w:val="32"/>
          <w:shd w:val="clear" w:color="auto" w:fill="FFFFFF"/>
          <w:lang w:eastAsia="zh-CN"/>
        </w:rPr>
        <w:t>基础绩效</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超额绩效、</w:t>
      </w:r>
      <w:r>
        <w:rPr>
          <w:rFonts w:ascii="方正仿宋_GBK" w:hAnsi="方正仿宋_GBK" w:eastAsia="方正仿宋_GBK" w:cs="方正仿宋_GBK"/>
          <w:color w:val="auto"/>
          <w:sz w:val="32"/>
          <w:szCs w:val="32"/>
          <w:shd w:val="clear" w:color="auto" w:fill="FFFFFF"/>
        </w:rPr>
        <w:t>社会保障缴费、其他工资福利、公积金等支出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8.75</w:t>
      </w:r>
      <w:r>
        <w:rPr>
          <w:rFonts w:ascii="方正仿宋_GBK" w:hAnsi="方正仿宋_GBK" w:eastAsia="方正仿宋_GBK" w:cs="方正仿宋_GBK"/>
          <w:color w:val="auto"/>
          <w:sz w:val="32"/>
          <w:szCs w:val="32"/>
          <w:shd w:val="clear" w:color="auto" w:fill="FFFFFF"/>
        </w:rPr>
        <w:t>万元，与2023年度相比，减少6.42万元，下降42.32%，主要原因是</w:t>
      </w:r>
      <w:r>
        <w:rPr>
          <w:rFonts w:hint="eastAsia" w:ascii="方正仿宋_GBK" w:hAnsi="方正仿宋_GBK" w:eastAsia="方正仿宋_GBK" w:cs="方正仿宋_GBK"/>
          <w:color w:val="auto"/>
          <w:sz w:val="32"/>
          <w:szCs w:val="32"/>
          <w:shd w:val="clear" w:color="auto" w:fill="FFFFFF"/>
          <w:lang w:eastAsia="zh-CN"/>
        </w:rPr>
        <w:t>严格控制公用经费支出。</w:t>
      </w:r>
      <w:r>
        <w:rPr>
          <w:rFonts w:ascii="方正仿宋_GBK" w:hAnsi="方正仿宋_GBK" w:eastAsia="方正仿宋_GBK" w:cs="方正仿宋_GBK"/>
          <w:color w:val="auto"/>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本单位2024年度无政府性基金预算财政拨款收支。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三、“三公”经费情况说明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人员因公出国（境）费用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本单位公务车购置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公务车油费、保险及维护维修费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接待市、县级部门来乡检查各项工作</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万元，与2023年度相比，减少0.05万元，下降100.00%，主要原因是</w:t>
      </w:r>
      <w:r>
        <w:rPr>
          <w:rFonts w:hint="eastAsia" w:ascii="方正仿宋_GBK" w:hAnsi="方正仿宋_GBK" w:eastAsia="方正仿宋_GBK" w:cs="方正仿宋_GBK"/>
          <w:color w:val="auto"/>
          <w:sz w:val="32"/>
          <w:szCs w:val="32"/>
          <w:shd w:val="clear" w:color="auto" w:fill="FFFFFF"/>
          <w:lang w:eastAsia="zh-CN"/>
        </w:rPr>
        <w:t>本单位无会议费。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万元，与2023年度相比，减少0.04万元，下降100.00%，主要原因是</w:t>
      </w:r>
      <w:r>
        <w:rPr>
          <w:rFonts w:hint="eastAsia" w:ascii="方正仿宋_GBK" w:hAnsi="方正仿宋_GBK" w:eastAsia="方正仿宋_GBK" w:cs="方正仿宋_GBK"/>
          <w:color w:val="auto"/>
          <w:sz w:val="32"/>
          <w:szCs w:val="32"/>
          <w:shd w:val="clear" w:color="auto" w:fill="FFFFFF"/>
          <w:lang w:eastAsia="zh-CN"/>
        </w:rPr>
        <w:t>本单位无培训费。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bookmarkStart w:id="0" w:name="_GoBack"/>
      <w:bookmarkEnd w:id="0"/>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为沙河乡人民政府合并办公，故无国有资产</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lang w:val="en-US" w:eastAsia="zh-CN"/>
        </w:rPr>
        <w:t>五、</w:t>
      </w:r>
      <w:r>
        <w:rPr>
          <w:rStyle w:val="9"/>
          <w:rFonts w:ascii="黑体" w:hAnsi="黑体" w:eastAsia="黑体" w:cs="黑体"/>
          <w:color w:val="auto"/>
          <w:sz w:val="32"/>
          <w:szCs w:val="32"/>
          <w:shd w:val="clear" w:color="auto" w:fill="FFFFFF"/>
        </w:rPr>
        <w:t>预算绩效管理情况说明</w:t>
      </w:r>
    </w:p>
    <w:p>
      <w:pPr>
        <w:pStyle w:val="12"/>
        <w:numPr>
          <w:ilvl w:val="0"/>
          <w:numId w:val="1"/>
        </w:numPr>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单位自评情况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我单位未组织开展预算绩效管理绩效评价。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w:t>
      </w: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pStyle w:val="12"/>
        <w:autoSpaceDE w:val="0"/>
        <w:ind w:firstLine="0" w:firstLineChars="0"/>
        <w:rPr>
          <w:rFonts w:hint="eastAsia" w:ascii="方正仿宋_GBK" w:hAnsi="方正仿宋_GBK" w:eastAsia="方正仿宋_GBK" w:cs="方正仿宋_GBK"/>
          <w:color w:val="auto"/>
          <w:sz w:val="32"/>
          <w:szCs w:val="32"/>
          <w:highlight w:val="none"/>
          <w:shd w:val="clear" w:color="auto" w:fill="FFFFFF"/>
          <w:lang w:val="en-US" w:eastAsia="zh-CN"/>
        </w:rPr>
      </w:pPr>
    </w:p>
    <w:p>
      <w:pPr>
        <w:pStyle w:val="12"/>
        <w:autoSpaceDE w:val="0"/>
        <w:ind w:firstLine="0" w:firstLineChars="0"/>
        <w:rPr>
          <w:rFonts w:hint="eastAsia" w:ascii="方正仿宋_GBK" w:hAnsi="方正仿宋_GBK" w:eastAsia="方正仿宋_GBK" w:cs="方正仿宋_GBK"/>
          <w:color w:val="auto"/>
          <w:sz w:val="32"/>
          <w:szCs w:val="32"/>
          <w:highlight w:val="none"/>
          <w:shd w:val="clear" w:color="auto" w:fill="FFFFFF"/>
          <w:lang w:val="en-US" w:eastAsia="zh-CN"/>
        </w:rPr>
      </w:pPr>
    </w:p>
    <w:p>
      <w:pPr>
        <w:pStyle w:val="12"/>
        <w:autoSpaceDE w:val="0"/>
        <w:ind w:firstLine="0" w:firstLineChars="0"/>
        <w:rPr>
          <w:rFonts w:hint="eastAsia" w:ascii="方正仿宋_GBK" w:hAnsi="方正仿宋_GBK" w:eastAsia="方正仿宋_GBK" w:cs="方正仿宋_GBK"/>
          <w:color w:val="auto"/>
          <w:sz w:val="32"/>
          <w:szCs w:val="32"/>
          <w:highlight w:val="none"/>
          <w:shd w:val="clear" w:color="auto" w:fill="FFFFFF"/>
          <w:lang w:val="en-US" w:eastAsia="zh-CN"/>
        </w:rPr>
      </w:pPr>
    </w:p>
    <w:p>
      <w:pPr>
        <w:pStyle w:val="12"/>
        <w:autoSpaceDE w:val="0"/>
        <w:ind w:firstLine="0" w:firstLineChars="0"/>
        <w:rPr>
          <w:rFonts w:hint="eastAsia" w:ascii="方正仿宋_GBK" w:hAnsi="方正仿宋_GBK" w:eastAsia="方正仿宋_GBK" w:cs="方正仿宋_GBK"/>
          <w:color w:val="auto"/>
          <w:sz w:val="32"/>
          <w:szCs w:val="32"/>
          <w:highlight w:val="none"/>
          <w:shd w:val="clear" w:color="auto" w:fill="FFFFFF"/>
          <w:lang w:val="en-US" w:eastAsia="zh-CN"/>
        </w:rPr>
      </w:pPr>
    </w:p>
    <w:p>
      <w:p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附表：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财政拨款收入支出决算总表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一般公共预算财政拨款基本支出决算表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政府性基金预算财政拨款收入支出决算表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国有资本经营预算财政拨款支出决算表</w:t>
      </w:r>
    </w:p>
    <w:p>
      <w:pPr>
        <w:numPr>
          <w:ilvl w:val="0"/>
          <w:numId w:val="2"/>
        </w:numPr>
        <w:spacing w:after="100" w:afterAutospacing="1" w:line="594" w:lineRule="exact"/>
        <w:rPr>
          <w:rFonts w:hint="default" w:ascii="方正仿宋_GBK" w:hAnsi="方正仿宋_GBK" w:eastAsia="方正仿宋_GBK" w:cs="方正仿宋_GBK"/>
          <w:color w:val="auto"/>
          <w:kern w:val="2"/>
          <w:sz w:val="32"/>
          <w:szCs w:val="32"/>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2"/>
          <w:sz w:val="32"/>
          <w:szCs w:val="32"/>
          <w:lang w:val="en-US" w:eastAsia="zh-CN" w:bidi="ar"/>
        </w:rPr>
        <w:t>机构运行信息表</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176.74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44.38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176.74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176.74</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176.74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176.74</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垫江县沙河乡农业服务中心</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垫江县沙河乡农业服务中心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44.38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44.38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113.98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113.98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10.61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10.61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176.74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垫江县沙河乡农业服务中心</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176.74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19.41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15.26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7.77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7.77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10.61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10.61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垫江县沙河乡农业服务中心</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152.74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8.75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29.51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67.04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19.41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9.72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7.77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10.61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12.78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167.99</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8.75</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w:t>
      </w:r>
      <w:r>
        <w:rPr>
          <w:rFonts w:hint="eastAsia" w:cs="宋体"/>
          <w:color w:val="auto"/>
          <w:sz w:val="20"/>
          <w:szCs w:val="20"/>
          <w:lang w:eastAsia="zh-CN"/>
        </w:rPr>
        <w:t>本单位</w:t>
      </w:r>
      <w:r>
        <w:rPr>
          <w:rFonts w:cs="宋体"/>
          <w:color w:val="auto"/>
          <w:sz w:val="20"/>
          <w:szCs w:val="20"/>
        </w:rPr>
        <w:t>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w:t>
      </w:r>
      <w:r>
        <w:rPr>
          <w:rFonts w:hint="eastAsia" w:cs="宋体"/>
          <w:color w:val="auto"/>
          <w:sz w:val="20"/>
          <w:szCs w:val="20"/>
          <w:lang w:eastAsia="zh-CN"/>
        </w:rPr>
        <w:t>本单位</w:t>
      </w:r>
      <w:r>
        <w:rPr>
          <w:rFonts w:cs="宋体"/>
          <w:color w:val="auto"/>
          <w:sz w:val="20"/>
          <w:szCs w:val="20"/>
        </w:rPr>
        <w:t>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垫江县沙河乡农业服务中心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4.65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4B6977A6"/>
    <w:multiLevelType w:val="singleLevel"/>
    <w:tmpl w:val="4B6977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9E4AA1"/>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916FA4"/>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2DC1876"/>
    <w:rsid w:val="13871C70"/>
    <w:rsid w:val="13A71CB4"/>
    <w:rsid w:val="13AF1D43"/>
    <w:rsid w:val="13CE1647"/>
    <w:rsid w:val="13FD55AB"/>
    <w:rsid w:val="14200702"/>
    <w:rsid w:val="163A6CEE"/>
    <w:rsid w:val="16E54EE6"/>
    <w:rsid w:val="173708E3"/>
    <w:rsid w:val="17C374FC"/>
    <w:rsid w:val="189079DC"/>
    <w:rsid w:val="189B0D0B"/>
    <w:rsid w:val="18B43F7C"/>
    <w:rsid w:val="194A1770"/>
    <w:rsid w:val="19B906A4"/>
    <w:rsid w:val="1A4F187A"/>
    <w:rsid w:val="1B6F15B6"/>
    <w:rsid w:val="1BAA2EDC"/>
    <w:rsid w:val="1C5C0973"/>
    <w:rsid w:val="1CA55E64"/>
    <w:rsid w:val="1D014A01"/>
    <w:rsid w:val="1D022362"/>
    <w:rsid w:val="1D0F442C"/>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C31F63"/>
    <w:rsid w:val="27167136"/>
    <w:rsid w:val="27B23302"/>
    <w:rsid w:val="29310A5F"/>
    <w:rsid w:val="2937484C"/>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7633F4"/>
    <w:rsid w:val="33E31118"/>
    <w:rsid w:val="33EF7674"/>
    <w:rsid w:val="342D7BC6"/>
    <w:rsid w:val="352930DB"/>
    <w:rsid w:val="353D58FA"/>
    <w:rsid w:val="35573069"/>
    <w:rsid w:val="355F6038"/>
    <w:rsid w:val="358C217E"/>
    <w:rsid w:val="35937598"/>
    <w:rsid w:val="36C9128A"/>
    <w:rsid w:val="372E3953"/>
    <w:rsid w:val="37841E99"/>
    <w:rsid w:val="37BF1123"/>
    <w:rsid w:val="383C3F15"/>
    <w:rsid w:val="38BE4696"/>
    <w:rsid w:val="3939115E"/>
    <w:rsid w:val="39AD2677"/>
    <w:rsid w:val="39B82A39"/>
    <w:rsid w:val="39C42CA8"/>
    <w:rsid w:val="39DC4FD6"/>
    <w:rsid w:val="39F03D7A"/>
    <w:rsid w:val="39F33306"/>
    <w:rsid w:val="3A2C1C67"/>
    <w:rsid w:val="3B1705E5"/>
    <w:rsid w:val="3B18334B"/>
    <w:rsid w:val="3B36794F"/>
    <w:rsid w:val="3C566AD6"/>
    <w:rsid w:val="3C6A5B02"/>
    <w:rsid w:val="3D2757A1"/>
    <w:rsid w:val="3D3D4FC4"/>
    <w:rsid w:val="3D3F6AE6"/>
    <w:rsid w:val="3DDF3AB1"/>
    <w:rsid w:val="3DFF4717"/>
    <w:rsid w:val="3E1D0952"/>
    <w:rsid w:val="3E276A1A"/>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B177D1"/>
    <w:rsid w:val="471E6C84"/>
    <w:rsid w:val="4748792B"/>
    <w:rsid w:val="475D719D"/>
    <w:rsid w:val="47674801"/>
    <w:rsid w:val="47903EC5"/>
    <w:rsid w:val="48225EF7"/>
    <w:rsid w:val="488F422B"/>
    <w:rsid w:val="48E36915"/>
    <w:rsid w:val="495C4A24"/>
    <w:rsid w:val="497135DF"/>
    <w:rsid w:val="4A263DF2"/>
    <w:rsid w:val="4A6F6675"/>
    <w:rsid w:val="4ABA0A93"/>
    <w:rsid w:val="4B0502DF"/>
    <w:rsid w:val="4B135857"/>
    <w:rsid w:val="4B7951CB"/>
    <w:rsid w:val="4B7C315C"/>
    <w:rsid w:val="4DAC4ACA"/>
    <w:rsid w:val="4DBE01D2"/>
    <w:rsid w:val="4EFC6D10"/>
    <w:rsid w:val="4F0C6BA3"/>
    <w:rsid w:val="4F10477D"/>
    <w:rsid w:val="4F186D58"/>
    <w:rsid w:val="4FEA65B7"/>
    <w:rsid w:val="4FF4660A"/>
    <w:rsid w:val="506C1838"/>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A06A52"/>
    <w:rsid w:val="5842572D"/>
    <w:rsid w:val="5A3B59D6"/>
    <w:rsid w:val="5ACE4362"/>
    <w:rsid w:val="5AD134D8"/>
    <w:rsid w:val="5B6503B1"/>
    <w:rsid w:val="5C263CE4"/>
    <w:rsid w:val="5C5D2777"/>
    <w:rsid w:val="5CF66BF3"/>
    <w:rsid w:val="5D290C69"/>
    <w:rsid w:val="5F172CBE"/>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71350C"/>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6152</Words>
  <Characters>14629</Characters>
  <Lines>194</Lines>
  <Paragraphs>54</Paragraphs>
  <TotalTime>1</TotalTime>
  <ScaleCrop>false</ScaleCrop>
  <LinksUpToDate>false</LinksUpToDate>
  <CharactersWithSpaces>14716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2025-09-10T02:56:44Z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