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color w:val="auto"/>
          <w:sz w:val="44"/>
          <w:szCs w:val="44"/>
          <w:shd w:val="clear" w:color="auto" w:fill="FFFFFF"/>
        </w:rPr>
      </w:pPr>
      <w:r>
        <w:rPr>
          <w:rFonts w:ascii="方正小标宋_GBK" w:hAnsi="方正小标宋_GBK" w:eastAsia="方正小标宋_GBK" w:cs="方正小标宋_GBK"/>
          <w:color w:val="auto"/>
          <w:sz w:val="44"/>
          <w:szCs w:val="44"/>
        </w:rPr>
        <w:t>垫江县沙河乡退役军人服务站</w:t>
      </w:r>
      <w:r>
        <w:rPr>
          <w:rFonts w:hint="eastAsia" w:ascii="方正小标宋_GBK" w:hAnsi="方正小标宋_GBK" w:eastAsia="方正小标宋_GBK" w:cs="方正小标宋_GBK"/>
          <w:color w:val="auto"/>
          <w:sz w:val="44"/>
          <w:szCs w:val="44"/>
          <w:shd w:val="clear" w:color="auto" w:fill="FFFFFF"/>
          <w:lang w:eastAsia="zh-CN"/>
        </w:rPr>
        <w:t>2024年</w:t>
      </w:r>
      <w:r>
        <w:rPr>
          <w:rFonts w:ascii="方正小标宋_GBK" w:hAnsi="方正小标宋_GBK" w:eastAsia="方正小标宋_GBK" w:cs="方正小标宋_GBK"/>
          <w:color w:val="auto"/>
          <w:sz w:val="44"/>
          <w:szCs w:val="44"/>
          <w:shd w:val="clear" w:color="auto" w:fill="FFFFFF"/>
        </w:rPr>
        <w:t>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color w:val="auto"/>
          <w:sz w:val="32"/>
          <w:szCs w:val="32"/>
        </w:rPr>
      </w:pPr>
      <w:r>
        <w:rPr>
          <w:rStyle w:val="9"/>
          <w:rFonts w:ascii="黑体" w:hAnsi="黑体" w:eastAsia="黑体" w:cs="黑体"/>
          <w:color w:val="auto"/>
          <w:sz w:val="32"/>
          <w:szCs w:val="32"/>
          <w:shd w:val="clear" w:color="auto" w:fill="FFFFFF"/>
        </w:rPr>
        <w:t>一、</w:t>
      </w:r>
      <w:r>
        <w:rPr>
          <w:rStyle w:val="9"/>
          <w:rFonts w:hint="eastAsia" w:ascii="黑体" w:hAnsi="黑体" w:eastAsia="黑体" w:cs="黑体"/>
          <w:color w:val="auto"/>
          <w:sz w:val="32"/>
          <w:szCs w:val="32"/>
          <w:shd w:val="clear" w:color="auto" w:fill="FFFFFF"/>
          <w:lang w:eastAsia="zh-CN"/>
        </w:rPr>
        <w:t>单位</w:t>
      </w:r>
      <w:r>
        <w:rPr>
          <w:rStyle w:val="9"/>
          <w:rFonts w:ascii="黑体" w:hAnsi="黑体" w:eastAsia="黑体" w:cs="黑体"/>
          <w:color w:val="auto"/>
          <w:sz w:val="32"/>
          <w:szCs w:val="32"/>
          <w:shd w:val="clear" w:color="auto" w:fill="FFFFFF"/>
        </w:rPr>
        <w:t>基本情况</w:t>
      </w:r>
    </w:p>
    <w:p>
      <w:pPr>
        <w:pStyle w:val="7"/>
        <w:shd w:val="clear" w:color="auto" w:fill="FFFFFF"/>
        <w:ind w:firstLine="420"/>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（一）职能职责</w:t>
      </w:r>
    </w:p>
    <w:p>
      <w:pPr>
        <w:keepNext w:val="0"/>
        <w:keepLines w:val="0"/>
        <w:pageBreakBefore w:val="0"/>
        <w:widowControl w:val="0"/>
        <w:kinsoku/>
        <w:wordWrap/>
        <w:overflowPunct/>
        <w:topLinePunct w:val="0"/>
        <w:autoSpaceDE/>
        <w:autoSpaceDN/>
        <w:bidi w:val="0"/>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color w:val="auto"/>
          <w:sz w:val="32"/>
          <w:lang w:val="en-US" w:eastAsia="zh-CN"/>
        </w:rPr>
        <w:t>宗旨：为辖区退役军人提供服务。</w:t>
      </w:r>
    </w:p>
    <w:p>
      <w:pPr>
        <w:keepNext w:val="0"/>
        <w:keepLines w:val="0"/>
        <w:pageBreakBefore w:val="0"/>
        <w:widowControl w:val="0"/>
        <w:kinsoku/>
        <w:wordWrap/>
        <w:overflowPunct/>
        <w:topLinePunct w:val="0"/>
        <w:autoSpaceDE/>
        <w:autoSpaceDN/>
        <w:bidi w:val="0"/>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主要职责：</w:t>
      </w:r>
      <w:r>
        <w:rPr>
          <w:rFonts w:hint="eastAsia" w:ascii="方正仿宋_GBK" w:hAnsi="方正仿宋_GBK" w:eastAsia="方正仿宋_GBK" w:cs="方正仿宋_GBK"/>
          <w:color w:val="auto"/>
          <w:sz w:val="32"/>
          <w:szCs w:val="32"/>
          <w:highlight w:val="none"/>
        </w:rPr>
        <w:t>负责退役军人来访接待、政策咨询、就业指导、帮扶救助、权益保障、法制服务等工作。负责军队转业干部、复员干部、退役士兵</w:t>
      </w:r>
      <w:r>
        <w:rPr>
          <w:rFonts w:hint="eastAsia" w:ascii="方正仿宋_GBK" w:hAnsi="方正仿宋_GBK" w:eastAsia="方正仿宋_GBK" w:cs="方正仿宋_GBK"/>
          <w:color w:val="auto"/>
          <w:sz w:val="32"/>
          <w:szCs w:val="32"/>
          <w:highlight w:val="none"/>
          <w:lang w:eastAsia="zh-CN"/>
        </w:rPr>
        <w:t>（士官）</w:t>
      </w:r>
      <w:r>
        <w:rPr>
          <w:rFonts w:hint="eastAsia" w:ascii="方正仿宋_GBK" w:hAnsi="方正仿宋_GBK" w:eastAsia="方正仿宋_GBK" w:cs="方正仿宋_GBK"/>
          <w:color w:val="auto"/>
          <w:sz w:val="32"/>
          <w:szCs w:val="32"/>
          <w:highlight w:val="none"/>
        </w:rPr>
        <w:t>和自主择业退役军人服务管理、待遇保障</w:t>
      </w:r>
      <w:r>
        <w:rPr>
          <w:rFonts w:hint="eastAsia" w:ascii="方正仿宋_GBK" w:hAnsi="方正仿宋_GBK" w:eastAsia="方正仿宋_GBK" w:cs="方正仿宋_GBK"/>
          <w:color w:val="auto"/>
          <w:sz w:val="32"/>
          <w:szCs w:val="32"/>
          <w:highlight w:val="none"/>
          <w:lang w:eastAsia="zh-CN"/>
        </w:rPr>
        <w:t>等</w:t>
      </w:r>
      <w:r>
        <w:rPr>
          <w:rFonts w:hint="eastAsia" w:ascii="方正仿宋_GBK" w:hAnsi="方正仿宋_GBK" w:eastAsia="方正仿宋_GBK" w:cs="方正仿宋_GBK"/>
          <w:color w:val="auto"/>
          <w:sz w:val="32"/>
          <w:szCs w:val="32"/>
          <w:highlight w:val="none"/>
        </w:rPr>
        <w:t>工作。组织开展退役军人教育培训、优待抚恤等工作，负责拥军优属工作。负责烈士及退役军人荣誉奖励申报及开展纪念活动等工作。</w:t>
      </w:r>
    </w:p>
    <w:p>
      <w:pPr>
        <w:pStyle w:val="7"/>
        <w:shd w:val="clear" w:color="auto" w:fill="FFFFFF"/>
        <w:ind w:firstLine="420"/>
        <w:rPr>
          <w:rFonts w:hint="default" w:ascii="楷体" w:hAnsi="楷体" w:eastAsia="楷体" w:cs="楷体"/>
          <w:color w:val="auto"/>
          <w:sz w:val="32"/>
          <w:szCs w:val="32"/>
        </w:rPr>
      </w:pPr>
      <w:r>
        <w:rPr>
          <w:rStyle w:val="9"/>
          <w:rFonts w:ascii="楷体" w:hAnsi="楷体" w:eastAsia="楷体" w:cs="楷体"/>
          <w:color w:val="auto"/>
          <w:sz w:val="32"/>
          <w:szCs w:val="32"/>
          <w:shd w:val="clear" w:color="auto" w:fill="FFFFFF"/>
        </w:rPr>
        <w:t>（二）机构设置</w:t>
      </w:r>
    </w:p>
    <w:p>
      <w:pPr>
        <w:pStyle w:val="2"/>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沙河乡退役军人服务站编制2人，其中九级职员1人，技术工四级1人。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方正仿宋_GBK" w:hAnsi="方正仿宋_GBK" w:eastAsia="方正仿宋_GBK" w:cs="方正仿宋_GBK"/>
          <w:color w:val="auto"/>
          <w:sz w:val="32"/>
          <w:szCs w:val="32"/>
        </w:rPr>
      </w:pPr>
      <w:r>
        <w:rPr>
          <w:rStyle w:val="9"/>
          <w:rFonts w:ascii="黑体" w:hAnsi="黑体" w:eastAsia="黑体" w:cs="黑体"/>
          <w:color w:val="auto"/>
          <w:sz w:val="32"/>
          <w:szCs w:val="32"/>
          <w:shd w:val="clear" w:color="auto" w:fill="FFFFFF"/>
        </w:rPr>
        <w:t>二、</w:t>
      </w:r>
      <w:r>
        <w:rPr>
          <w:rStyle w:val="9"/>
          <w:rFonts w:hint="eastAsia" w:ascii="黑体" w:hAnsi="黑体" w:eastAsia="黑体" w:cs="黑体"/>
          <w:color w:val="auto"/>
          <w:sz w:val="32"/>
          <w:szCs w:val="32"/>
          <w:shd w:val="clear" w:color="auto" w:fill="FFFFFF"/>
          <w:lang w:eastAsia="zh-CN"/>
        </w:rPr>
        <w:t>单位</w:t>
      </w:r>
      <w:r>
        <w:rPr>
          <w:rStyle w:val="9"/>
          <w:rFonts w:ascii="黑体" w:hAnsi="黑体" w:eastAsia="黑体" w:cs="黑体"/>
          <w:color w:val="auto"/>
          <w:sz w:val="32"/>
          <w:szCs w:val="32"/>
          <w:shd w:val="clear" w:color="auto" w:fill="FFFFFF"/>
        </w:rPr>
        <w:t>决算情况说明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7"/>
        <w:shd w:val="clear" w:color="auto" w:fill="FFFFFF"/>
        <w:ind w:firstLine="640" w:firstLineChars="200"/>
        <w:rPr>
          <w:rFonts w:hint="default" w:ascii="方正仿宋_GBK" w:hAnsi="方正仿宋_GBK" w:eastAsia="方正仿宋_GBK" w:cs="方正仿宋_GBK"/>
          <w:color w:val="auto"/>
          <w:sz w:val="32"/>
          <w:szCs w:val="32"/>
          <w:lang w:val="en-US" w:eastAsia="zh-CN"/>
        </w:rPr>
      </w:pPr>
      <w:r>
        <w:rPr>
          <w:rStyle w:val="9"/>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度收入总计35.11万元，支出总计</w:t>
      </w:r>
      <w:r>
        <w:rPr>
          <w:rFonts w:ascii="方正仿宋_GBK" w:hAnsi="方正仿宋_GBK" w:eastAsia="方正仿宋_GBK" w:cs="方正仿宋_GBK"/>
          <w:color w:val="auto"/>
          <w:sz w:val="32"/>
          <w:szCs w:val="32"/>
        </w:rPr>
        <w:t>35.11</w:t>
      </w:r>
      <w:r>
        <w:rPr>
          <w:rFonts w:ascii="方正仿宋_GBK" w:hAnsi="方正仿宋_GBK" w:eastAsia="方正仿宋_GBK" w:cs="方正仿宋_GBK"/>
          <w:color w:val="auto"/>
          <w:sz w:val="32"/>
          <w:szCs w:val="32"/>
          <w:shd w:val="clear" w:color="auto" w:fill="FFFFFF"/>
        </w:rPr>
        <w:t>万元。收、支与2023年度相比，减少7.25万元，下降17.12%，主要原因是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度收入合计35.11万元，与2023年度相比，减少7.25万元，下降17.12%，主要原因是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35.11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35.11</w:t>
      </w:r>
      <w:r>
        <w:rPr>
          <w:rFonts w:ascii="方正仿宋_GBK" w:hAnsi="方正仿宋_GBK" w:eastAsia="方正仿宋_GBK" w:cs="方正仿宋_GBK"/>
          <w:color w:val="auto"/>
          <w:sz w:val="32"/>
          <w:szCs w:val="32"/>
          <w:shd w:val="clear" w:color="auto" w:fill="FFFFFF"/>
        </w:rPr>
        <w:t>万元，与2023年度相比，减少7.25万元，下降17.12%，主要原因是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35.11</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本单位上年无结余。</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度财政拨款收、支总计35.11万元。与202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年相比，财政拨款收、支总计各减少7.25万元，下降17.12%。主要原因是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35.11</w:t>
      </w:r>
      <w:r>
        <w:rPr>
          <w:rFonts w:ascii="方正仿宋_GBK" w:hAnsi="方正仿宋_GBK" w:eastAsia="方正仿宋_GBK" w:cs="方正仿宋_GBK"/>
          <w:color w:val="auto"/>
          <w:sz w:val="32"/>
          <w:szCs w:val="32"/>
          <w:shd w:val="clear" w:color="auto" w:fill="FFFFFF"/>
        </w:rPr>
        <w:t>万元，与2023年度相比，减少7.25万元，下降17.12%。主要原因是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较年初预算数减少2.43万元，下降6.47%。主要原因是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Style w:val="9"/>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35.11</w:t>
      </w:r>
      <w:r>
        <w:rPr>
          <w:rFonts w:ascii="方正仿宋_GBK" w:hAnsi="方正仿宋_GBK" w:eastAsia="方正仿宋_GBK" w:cs="方正仿宋_GBK"/>
          <w:color w:val="auto"/>
          <w:sz w:val="32"/>
          <w:szCs w:val="32"/>
          <w:shd w:val="clear" w:color="auto" w:fill="FFFFFF"/>
        </w:rPr>
        <w:t>万元，与2023年度相比减少7.25万元，下降17.12%。主要原因是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较年初预算数减少2.43万元，下降6.47%。主要原因是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本单位上年无结余。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xml:space="preserve"> 4.比较情况。</w:t>
      </w: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31.02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88.36</w:t>
      </w:r>
      <w:r>
        <w:rPr>
          <w:rFonts w:ascii="方正仿宋_GBK" w:hAnsi="方正仿宋_GBK" w:eastAsia="方正仿宋_GBK" w:cs="方正仿宋_GBK"/>
          <w:color w:val="auto"/>
          <w:sz w:val="32"/>
          <w:szCs w:val="32"/>
          <w:shd w:val="clear" w:color="auto" w:fill="FFFFFF"/>
        </w:rPr>
        <w:t>%，较年初预算数减少3.46万元，下降10.03%，主要原因是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1.18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3.37</w:t>
      </w:r>
      <w:r>
        <w:rPr>
          <w:rFonts w:ascii="方正仿宋_GBK" w:hAnsi="方正仿宋_GBK" w:eastAsia="方正仿宋_GBK" w:cs="方正仿宋_GBK"/>
          <w:color w:val="auto"/>
          <w:sz w:val="32"/>
          <w:szCs w:val="32"/>
          <w:shd w:val="clear" w:color="auto" w:fill="FFFFFF"/>
        </w:rPr>
        <w:t>%，较年初预算数减少0.21万元，下降15.11%，主要原因是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住房保障支出2.91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8.27</w:t>
      </w:r>
      <w:r>
        <w:rPr>
          <w:rFonts w:ascii="方正仿宋_GBK" w:hAnsi="方正仿宋_GBK" w:eastAsia="方正仿宋_GBK" w:cs="方正仿宋_GBK"/>
          <w:color w:val="auto"/>
          <w:sz w:val="32"/>
          <w:szCs w:val="32"/>
          <w:shd w:val="clear" w:color="auto" w:fill="FFFFFF"/>
        </w:rPr>
        <w:t>%，较年初预算数增加1.24万元，增长74.25%，主要原因是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35.11</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33.23</w:t>
      </w:r>
      <w:r>
        <w:rPr>
          <w:rFonts w:ascii="方正仿宋_GBK" w:hAnsi="方正仿宋_GBK" w:eastAsia="方正仿宋_GBK" w:cs="方正仿宋_GBK"/>
          <w:color w:val="auto"/>
          <w:sz w:val="32"/>
          <w:szCs w:val="32"/>
          <w:shd w:val="clear" w:color="auto" w:fill="FFFFFF"/>
        </w:rPr>
        <w:t>万元，与2023年度相比，减少6.06万元，下降15.42%，主要原因是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人员经费用途主要包括基本工资、津贴补贴、</w:t>
      </w:r>
      <w:r>
        <w:rPr>
          <w:rFonts w:hint="eastAsia" w:ascii="方正仿宋_GBK" w:hAnsi="方正仿宋_GBK" w:eastAsia="方正仿宋_GBK" w:cs="方正仿宋_GBK"/>
          <w:color w:val="auto"/>
          <w:sz w:val="32"/>
          <w:szCs w:val="32"/>
          <w:shd w:val="clear" w:color="auto" w:fill="FFFFFF"/>
          <w:lang w:eastAsia="zh-CN"/>
        </w:rPr>
        <w:t>基础绩效</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超额绩效、</w:t>
      </w:r>
      <w:r>
        <w:rPr>
          <w:rFonts w:ascii="方正仿宋_GBK" w:hAnsi="方正仿宋_GBK" w:eastAsia="方正仿宋_GBK" w:cs="方正仿宋_GBK"/>
          <w:color w:val="auto"/>
          <w:sz w:val="32"/>
          <w:szCs w:val="32"/>
          <w:shd w:val="clear" w:color="auto" w:fill="FFFFFF"/>
        </w:rPr>
        <w:t>社会保障缴费、其他工资福利、公积金等支出</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1.88</w:t>
      </w:r>
      <w:r>
        <w:rPr>
          <w:rFonts w:ascii="方正仿宋_GBK" w:hAnsi="方正仿宋_GBK" w:eastAsia="方正仿宋_GBK" w:cs="方正仿宋_GBK"/>
          <w:color w:val="auto"/>
          <w:sz w:val="32"/>
          <w:szCs w:val="32"/>
          <w:shd w:val="clear" w:color="auto" w:fill="FFFFFF"/>
        </w:rPr>
        <w:t>万元，与2023年度相比，减少1.19万元，下降38.76%，主要原因是</w:t>
      </w:r>
      <w:r>
        <w:rPr>
          <w:rFonts w:hint="eastAsia" w:ascii="方正仿宋_GBK" w:hAnsi="方正仿宋_GBK" w:eastAsia="方正仿宋_GBK" w:cs="方正仿宋_GBK"/>
          <w:color w:val="auto"/>
          <w:sz w:val="32"/>
          <w:szCs w:val="32"/>
          <w:shd w:val="clear" w:color="auto" w:fill="FFFFFF"/>
          <w:lang w:eastAsia="zh-CN"/>
        </w:rPr>
        <w:t>严格控制公用经费支出。</w:t>
      </w:r>
      <w:r>
        <w:rPr>
          <w:rFonts w:ascii="方正仿宋_GBK" w:hAnsi="方正仿宋_GBK" w:eastAsia="方正仿宋_GBK" w:cs="方正仿宋_GBK"/>
          <w:color w:val="auto"/>
          <w:sz w:val="32"/>
          <w:szCs w:val="32"/>
          <w:shd w:val="clear" w:color="auto" w:fill="FFFFFF"/>
        </w:rPr>
        <w:t>公用经费用途主要包括办公费、印刷费、水费、电费、差旅费、维修费、劳务费、委托业务费、工会经费、公务车运行维护费、公务接待费、会议费、培训费、其他商品服务支出等组成。</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bidi="ar-SA"/>
        </w:rPr>
        <w:t>本单位2024年度无政府性基金预算财政拨款收支。</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三、“三公”经费情况说明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本单位无三公经费。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无三公经费。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rPr>
        <w:t>人员因公出国（境）费用</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rPr>
        <w:t>人员因公出国（境）费用</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本单位无因公出国（境）费用。</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本单位公务车购置</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本单位无公务车购置</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本单位无公务车购置</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公务车油费、保险及维护维修费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无公务车运行维护费。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无公务车运行维护费。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rPr>
        <w:t>市、县级部门来乡检查各项工作</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单位无公务接待费。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单位无公务接待费。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2024年本单位</w:t>
      </w:r>
      <w:r>
        <w:rPr>
          <w:rFonts w:ascii="方正仿宋_GBK" w:hAnsi="方正仿宋_GBK" w:eastAsia="方正仿宋_GBK" w:cs="方正仿宋_GBK"/>
          <w:color w:val="auto"/>
          <w:sz w:val="32"/>
          <w:szCs w:val="32"/>
          <w:shd w:val="clear" w:color="auto" w:fill="FFFFFF"/>
        </w:rPr>
        <w:t>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四、其他需要说明的事项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本单位无会议费。</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万元，与2023年度相比，无变化，主要原因是</w:t>
      </w:r>
      <w:r>
        <w:rPr>
          <w:rFonts w:hint="eastAsia" w:ascii="方正仿宋_GBK" w:hAnsi="方正仿宋_GBK" w:eastAsia="方正仿宋_GBK" w:cs="方正仿宋_GBK"/>
          <w:color w:val="auto"/>
          <w:sz w:val="32"/>
          <w:szCs w:val="32"/>
          <w:shd w:val="clear" w:color="auto" w:fill="FFFFFF"/>
          <w:lang w:eastAsia="zh-CN"/>
        </w:rPr>
        <w:t>本单位无培训费。</w:t>
      </w:r>
      <w:bookmarkStart w:id="0" w:name="_GoBack"/>
      <w:bookmarkEnd w:id="0"/>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2"/>
        <w:autoSpaceDE w:val="0"/>
        <w:ind w:firstLine="643"/>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为沙河乡人民政府合并办公，故无国有资产</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0.00万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lang w:val="en-US" w:eastAsia="zh-CN"/>
        </w:rPr>
        <w:t>五、</w:t>
      </w:r>
      <w:r>
        <w:rPr>
          <w:rStyle w:val="9"/>
          <w:rFonts w:ascii="黑体" w:hAnsi="黑体" w:eastAsia="黑体" w:cs="黑体"/>
          <w:color w:val="auto"/>
          <w:sz w:val="32"/>
          <w:szCs w:val="32"/>
          <w:shd w:val="clear" w:color="auto" w:fill="FFFFFF"/>
        </w:rPr>
        <w:t>预算绩效管理情况说明</w:t>
      </w:r>
    </w:p>
    <w:p>
      <w:pPr>
        <w:pStyle w:val="12"/>
        <w:numPr>
          <w:ilvl w:val="0"/>
          <w:numId w:val="1"/>
        </w:numPr>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单位自评情况</w:t>
      </w:r>
    </w:p>
    <w:p>
      <w:pPr>
        <w:pStyle w:val="12"/>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我单位未组织开展预算绩效管理绩效评价。</w:t>
      </w:r>
    </w:p>
    <w:p>
      <w:pPr>
        <w:pStyle w:val="12"/>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w:t>
      </w:r>
      <w:r>
        <w:rPr>
          <w:rFonts w:hint="eastAsia" w:ascii="楷体" w:hAnsi="楷体" w:eastAsia="楷体" w:cs="楷体"/>
          <w:b/>
          <w:bCs/>
          <w:color w:val="auto"/>
          <w:sz w:val="32"/>
          <w:szCs w:val="32"/>
          <w:shd w:val="clear" w:color="auto" w:fill="FFFFFF"/>
          <w:lang w:eastAsia="zh-CN" w:bidi="ar"/>
        </w:rPr>
        <w:t>单位</w:t>
      </w:r>
      <w:r>
        <w:rPr>
          <w:rFonts w:hint="eastAsia" w:ascii="楷体" w:hAnsi="楷体" w:eastAsia="楷体" w:cs="楷体"/>
          <w:b/>
          <w:bCs/>
          <w:color w:val="auto"/>
          <w:sz w:val="32"/>
          <w:szCs w:val="32"/>
          <w:shd w:val="clear" w:color="auto" w:fill="FFFFFF"/>
          <w:lang w:bidi="ar"/>
        </w:rPr>
        <w:t>绩效评价情况</w:t>
      </w:r>
    </w:p>
    <w:p>
      <w:pPr>
        <w:pStyle w:val="12"/>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pPr>
        <w:pStyle w:val="12"/>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（三）财政绩效评价情况</w:t>
      </w:r>
    </w:p>
    <w:p>
      <w:pPr>
        <w:pStyle w:val="12"/>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9"/>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 xml:space="preserve">  </w:t>
      </w:r>
      <w:r>
        <w:rPr>
          <w:rStyle w:val="9"/>
          <w:rFonts w:ascii="黑体" w:hAnsi="黑体" w:eastAsia="黑体" w:cs="黑体"/>
          <w:color w:val="auto"/>
          <w:sz w:val="32"/>
          <w:szCs w:val="32"/>
          <w:shd w:val="clear" w:color="auto" w:fill="FFFFFF"/>
        </w:rPr>
        <w:t>六、专业名词解释</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9"/>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 xml:space="preserve">  </w:t>
      </w:r>
      <w:r>
        <w:rPr>
          <w:rStyle w:val="9"/>
          <w:rFonts w:ascii="黑体" w:hAnsi="黑体" w:eastAsia="黑体" w:cs="黑体"/>
          <w:color w:val="auto"/>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本单位决算公开信息反馈和联系方式：</w:t>
      </w:r>
      <w:r>
        <w:rPr>
          <w:rFonts w:ascii="方正仿宋_GBK" w:hAnsi="方正仿宋_GBK" w:eastAsia="方正仿宋_GBK" w:cs="方正仿宋_GBK"/>
          <w:color w:val="auto"/>
          <w:kern w:val="2"/>
          <w:sz w:val="32"/>
          <w:szCs w:val="32"/>
          <w:lang w:bidi="ar"/>
        </w:rPr>
        <w:t>垫江县</w:t>
      </w:r>
      <w:r>
        <w:rPr>
          <w:rFonts w:hint="eastAsia" w:ascii="方正仿宋_GBK" w:hAnsi="方正仿宋_GBK" w:eastAsia="方正仿宋_GBK" w:cs="方正仿宋_GBK"/>
          <w:color w:val="auto"/>
          <w:kern w:val="2"/>
          <w:sz w:val="32"/>
          <w:szCs w:val="32"/>
          <w:lang w:eastAsia="zh-CN" w:bidi="ar"/>
        </w:rPr>
        <w:t>沙河乡</w:t>
      </w:r>
      <w:r>
        <w:rPr>
          <w:rFonts w:ascii="方正仿宋_GBK" w:hAnsi="方正仿宋_GBK" w:eastAsia="方正仿宋_GBK" w:cs="方正仿宋_GBK"/>
          <w:color w:val="auto"/>
          <w:kern w:val="2"/>
          <w:sz w:val="32"/>
          <w:szCs w:val="32"/>
          <w:lang w:bidi="ar"/>
        </w:rPr>
        <w:t>人民政府办公室电话</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023-74559601。</w:t>
      </w:r>
    </w:p>
    <w:p>
      <w:pPr>
        <w:pStyle w:val="12"/>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pPr>
        <w:spacing w:after="100" w:afterAutospacing="1" w:line="594" w:lineRule="exact"/>
        <w:rPr>
          <w:rFonts w:ascii="方正仿宋_GBK" w:hAnsi="方正仿宋_GBK" w:eastAsia="方正仿宋_GBK" w:cs="方正仿宋_GBK"/>
          <w:color w:val="auto"/>
          <w:kern w:val="2"/>
          <w:sz w:val="32"/>
          <w:szCs w:val="32"/>
          <w:lang w:bidi="ar"/>
        </w:rPr>
      </w:pPr>
    </w:p>
    <w:p>
      <w:pPr>
        <w:spacing w:after="100" w:afterAutospacing="1" w:line="594" w:lineRule="exact"/>
        <w:rPr>
          <w:rFonts w:ascii="方正仿宋_GBK" w:hAnsi="方正仿宋_GBK" w:eastAsia="方正仿宋_GBK" w:cs="方正仿宋_GBK"/>
          <w:color w:val="auto"/>
          <w:kern w:val="2"/>
          <w:sz w:val="32"/>
          <w:szCs w:val="32"/>
          <w:lang w:bidi="ar"/>
        </w:rPr>
      </w:pPr>
    </w:p>
    <w:p>
      <w:pPr>
        <w:spacing w:after="100" w:afterAutospacing="1" w:line="594" w:lineRule="exact"/>
        <w:rPr>
          <w:rFonts w:ascii="方正仿宋_GBK" w:hAnsi="方正仿宋_GBK" w:eastAsia="方正仿宋_GBK" w:cs="方正仿宋_GBK"/>
          <w:color w:val="auto"/>
          <w:kern w:val="2"/>
          <w:sz w:val="32"/>
          <w:szCs w:val="32"/>
          <w:lang w:bidi="ar"/>
        </w:rPr>
      </w:pPr>
    </w:p>
    <w:p>
      <w:pPr>
        <w:spacing w:after="100" w:afterAutospacing="1" w:line="594" w:lineRule="exact"/>
        <w:rPr>
          <w:rFonts w:ascii="方正仿宋_GBK" w:hAnsi="方正仿宋_GBK" w:eastAsia="方正仿宋_GBK" w:cs="方正仿宋_GBK"/>
          <w:color w:val="auto"/>
          <w:kern w:val="2"/>
          <w:sz w:val="32"/>
          <w:szCs w:val="32"/>
          <w:lang w:bidi="ar"/>
        </w:rPr>
      </w:pPr>
    </w:p>
    <w:p>
      <w:p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附表：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收入支出决算总表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收入决算表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财政拨款收入支出决算总表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一般公共预算财政拨款支出决算表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一般公共预算财政拨款基本支出决算表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政府性基金预算财政拨款收入支出决算表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国有资本经营预算财政拨款支出决算表</w:t>
      </w:r>
    </w:p>
    <w:p>
      <w:pPr>
        <w:numPr>
          <w:ilvl w:val="0"/>
          <w:numId w:val="2"/>
        </w:numPr>
        <w:spacing w:after="100" w:afterAutospacing="1" w:line="594" w:lineRule="exact"/>
        <w:rPr>
          <w:rStyle w:val="9"/>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kern w:val="2"/>
          <w:sz w:val="32"/>
          <w:szCs w:val="32"/>
          <w:lang w:bidi="ar"/>
        </w:rPr>
        <w:t>机构运行信息</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部门：</w:t>
            </w:r>
            <w:r>
              <w:rPr>
                <w:color w:val="auto"/>
                <w:sz w:val="20"/>
                <w:u w:color="auto"/>
              </w:rPr>
              <w:t>垫江县沙河乡退役军人服务站</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35.11</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31.02</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1.18</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2.91</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35.11</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35.11</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35.11</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35.11</w:t>
            </w:r>
            <w:r>
              <w:rPr>
                <w:rFonts w:ascii="Times New Roman" w:hAnsi="Times New Roman"/>
                <w:color w:val="auto"/>
                <w:sz w:val="20"/>
                <w:u w:color="auto"/>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垫江县沙河乡退役军人服务站</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35.11</w:t>
            </w:r>
            <w:r>
              <w:rPr>
                <w:rFonts w:ascii="Times New Roman" w:hAnsi="Times New Roman"/>
                <w:b/>
                <w:color w:val="auto"/>
                <w:sz w:val="20"/>
                <w:u w:color="auto"/>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35.11</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31.02</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31.02</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28.17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28.17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1.18</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1.18</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2.91</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2.91</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10"/>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 xml:space="preserve">垫江县沙河乡退役军人服务站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35.11</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35.11</w:t>
            </w:r>
            <w:r>
              <w:rPr>
                <w:rFonts w:ascii="Times New Roman" w:hAnsi="Times New Roman"/>
                <w:b/>
                <w:color w:val="auto"/>
                <w:sz w:val="20"/>
                <w:u w:color="auto"/>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31.02</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31.02</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2.85</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0.95</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28.17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28.17</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1.18</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1.18</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2.91</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0"/>
          <w:szCs w:val="20"/>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垫江县沙河乡退役军人服务站</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35.11</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31.02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31.02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2.91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2.91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35.11</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35.11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35.11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35.11</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35.11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35.11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垫江县沙河乡退役军人服务站</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35.11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35.11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31.02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31.02</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0.95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0.95</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28.17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28.17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1.18</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2.91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2.91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2.91</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垫江县沙河乡退役军人服务站</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33.23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6.48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0.24</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17.89</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1.90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0.95</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0.11</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1.14</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2.91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0.32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0.24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0.37</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33.23</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1.88</w:t>
            </w:r>
            <w:r>
              <w:rPr>
                <w:rFonts w:ascii="Times New Roman" w:hAnsi="Times New Roman"/>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垫江县沙河乡退役军人服务站</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备注：本表反映部门本年度政府性基金预算财政拨款收入支出及结转和结余情况。</w:t>
      </w:r>
      <w:r>
        <w:rPr>
          <w:rFonts w:hint="eastAsia" w:cs="宋体"/>
          <w:color w:val="auto"/>
          <w:sz w:val="20"/>
          <w:szCs w:val="20"/>
          <w:lang w:eastAsia="zh-CN"/>
        </w:rPr>
        <w:t>本单位</w:t>
      </w:r>
      <w:r>
        <w:rPr>
          <w:rFonts w:cs="宋体"/>
          <w:color w:val="auto"/>
          <w:sz w:val="20"/>
          <w:szCs w:val="20"/>
        </w:rPr>
        <w:t>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垫江县沙河乡退役军人服务站</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备注：本表反映部门本年度国有资本经营预算财政拨款支出情况。</w:t>
      </w:r>
      <w:r>
        <w:rPr>
          <w:rFonts w:hint="eastAsia" w:cs="宋体"/>
          <w:color w:val="auto"/>
          <w:sz w:val="20"/>
          <w:szCs w:val="20"/>
          <w:lang w:eastAsia="zh-CN"/>
        </w:rPr>
        <w:t>本单位</w:t>
      </w:r>
      <w:r>
        <w:rPr>
          <w:rFonts w:cs="宋体"/>
          <w:color w:val="auto"/>
          <w:sz w:val="20"/>
          <w:szCs w:val="20"/>
        </w:rPr>
        <w:t>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r>
              <w:rPr>
                <w:rFonts w:cs="宋体"/>
                <w:color w:val="auto"/>
                <w:kern w:val="2"/>
                <w:sz w:val="20"/>
                <w:szCs w:val="20"/>
              </w:rPr>
              <w:t>部门：</w:t>
            </w:r>
            <w:r>
              <w:rPr>
                <w:color w:val="auto"/>
                <w:sz w:val="20"/>
                <w:u w:color="auto"/>
              </w:rPr>
              <w:t>垫江县沙河乡退役军人服务站</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1.14</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pPr>
        <w:rPr>
          <w:rFonts w:hint="default"/>
          <w:color w:val="auto"/>
        </w:rPr>
      </w:pPr>
      <w:r>
        <w:rPr>
          <w:rFonts w:cs="宋体"/>
          <w:color w:val="auto"/>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26B15"/>
    <w:multiLevelType w:val="singleLevel"/>
    <w:tmpl w:val="9EF26B15"/>
    <w:lvl w:ilvl="0" w:tentative="0">
      <w:start w:val="1"/>
      <w:numFmt w:val="decimal"/>
      <w:suff w:val="nothing"/>
      <w:lvlText w:val="%1、"/>
      <w:lvlJc w:val="left"/>
      <w:pPr>
        <w:ind w:left="320" w:firstLine="0"/>
      </w:pPr>
    </w:lvl>
  </w:abstractNum>
  <w:abstractNum w:abstractNumId="1">
    <w:nsid w:val="4B6977A6"/>
    <w:multiLevelType w:val="singleLevel"/>
    <w:tmpl w:val="4B6977A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367EB1"/>
    <w:rsid w:val="0B9335CE"/>
    <w:rsid w:val="0BB2533F"/>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B93B6D"/>
    <w:rsid w:val="12C921C4"/>
    <w:rsid w:val="13871C70"/>
    <w:rsid w:val="13A71CB4"/>
    <w:rsid w:val="13AF1D43"/>
    <w:rsid w:val="13CE1647"/>
    <w:rsid w:val="13FD55AB"/>
    <w:rsid w:val="14200702"/>
    <w:rsid w:val="14D30D01"/>
    <w:rsid w:val="163A6CEE"/>
    <w:rsid w:val="173708E3"/>
    <w:rsid w:val="17C374FC"/>
    <w:rsid w:val="18901F8B"/>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0277D"/>
    <w:rsid w:val="2533755C"/>
    <w:rsid w:val="25791755"/>
    <w:rsid w:val="26396DF4"/>
    <w:rsid w:val="27167136"/>
    <w:rsid w:val="27B23302"/>
    <w:rsid w:val="29310A5F"/>
    <w:rsid w:val="29C37A35"/>
    <w:rsid w:val="2A076083"/>
    <w:rsid w:val="2A73162E"/>
    <w:rsid w:val="2AF821D0"/>
    <w:rsid w:val="2B167953"/>
    <w:rsid w:val="2B200583"/>
    <w:rsid w:val="2B8209DE"/>
    <w:rsid w:val="2C6762A3"/>
    <w:rsid w:val="2EBE109B"/>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6C19C0"/>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A5654A"/>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B50033"/>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47099E"/>
    <w:rsid w:val="4B7951CB"/>
    <w:rsid w:val="4B7C315C"/>
    <w:rsid w:val="4DAC4ACA"/>
    <w:rsid w:val="4DBE01D2"/>
    <w:rsid w:val="4EFC6D10"/>
    <w:rsid w:val="4F0C6BA3"/>
    <w:rsid w:val="4F10477D"/>
    <w:rsid w:val="4F186D58"/>
    <w:rsid w:val="4FEA65B7"/>
    <w:rsid w:val="4FF4660A"/>
    <w:rsid w:val="5095375B"/>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4364"/>
    <w:rsid w:val="555A3CBC"/>
    <w:rsid w:val="5582012B"/>
    <w:rsid w:val="558E4E05"/>
    <w:rsid w:val="55BE2E85"/>
    <w:rsid w:val="56530F5D"/>
    <w:rsid w:val="567700D3"/>
    <w:rsid w:val="56FF7E9E"/>
    <w:rsid w:val="576F1CB3"/>
    <w:rsid w:val="578867FC"/>
    <w:rsid w:val="5842572D"/>
    <w:rsid w:val="5A3B59D6"/>
    <w:rsid w:val="5AD134D8"/>
    <w:rsid w:val="5B6503B1"/>
    <w:rsid w:val="5C263CE4"/>
    <w:rsid w:val="5C5D2777"/>
    <w:rsid w:val="5CF66BF3"/>
    <w:rsid w:val="5D1467FC"/>
    <w:rsid w:val="5D290C69"/>
    <w:rsid w:val="5F0E361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19202B"/>
    <w:rsid w:val="68407834"/>
    <w:rsid w:val="684E66AF"/>
    <w:rsid w:val="6883293E"/>
    <w:rsid w:val="688412AD"/>
    <w:rsid w:val="68EB1B71"/>
    <w:rsid w:val="69475C96"/>
    <w:rsid w:val="6AAD2300"/>
    <w:rsid w:val="6AC94453"/>
    <w:rsid w:val="6B474EF5"/>
    <w:rsid w:val="6BBF53FD"/>
    <w:rsid w:val="6C560CAE"/>
    <w:rsid w:val="6C576495"/>
    <w:rsid w:val="6CC0088D"/>
    <w:rsid w:val="6D903FF5"/>
    <w:rsid w:val="6DA955B8"/>
    <w:rsid w:val="6DE346AB"/>
    <w:rsid w:val="6DE5391A"/>
    <w:rsid w:val="6EFD1324"/>
    <w:rsid w:val="6F5A53AC"/>
    <w:rsid w:val="6FAC003D"/>
    <w:rsid w:val="6FE55E12"/>
    <w:rsid w:val="6FFB2E76"/>
    <w:rsid w:val="708F6F7F"/>
    <w:rsid w:val="70D94BD3"/>
    <w:rsid w:val="70F62B2D"/>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6152</Words>
  <Characters>14629</Characters>
  <Lines>194</Lines>
  <Paragraphs>54</Paragraphs>
  <TotalTime>1</TotalTime>
  <ScaleCrop>false</ScaleCrop>
  <LinksUpToDate>false</LinksUpToDate>
  <CharactersWithSpaces>14716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2025-09-10T02:44:18Z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