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_GBK"/>
          <w:sz w:val="44"/>
          <w:szCs w:val="44"/>
        </w:rPr>
      </w:pPr>
    </w:p>
    <w:p>
      <w:pPr>
        <w:pStyle w:val="3"/>
        <w:bidi w:val="0"/>
        <w:jc w:val="center"/>
        <w:rPr>
          <w:rFonts w:hint="eastAsia" w:ascii="方正小标宋_GBK" w:hAnsi="方正仿宋_GBK" w:eastAsia="方正小标宋_GBK" w:cs="方正仿宋_GBK"/>
          <w:b/>
          <w:color w:val="auto"/>
          <w:spacing w:val="20"/>
          <w:sz w:val="44"/>
          <w:szCs w:val="44"/>
          <w:lang w:eastAsia="zh-CN"/>
        </w:rPr>
      </w:pPr>
      <w:r>
        <w:rPr>
          <w:rFonts w:hint="eastAsia" w:ascii="方正小标宋_GBK" w:hAnsi="方正仿宋_GBK" w:eastAsia="方正小标宋_GBK" w:cs="方正仿宋_GBK"/>
          <w:b/>
          <w:color w:val="auto"/>
          <w:spacing w:val="20"/>
          <w:sz w:val="44"/>
          <w:szCs w:val="44"/>
          <w:lang w:eastAsia="zh-CN"/>
        </w:rPr>
        <w:t>垫江县沙坪镇人民政府</w:t>
      </w:r>
    </w:p>
    <w:p>
      <w:pPr>
        <w:spacing w:line="600" w:lineRule="exact"/>
        <w:ind w:firstLine="0" w:firstLineChars="0"/>
        <w:jc w:val="center"/>
        <w:rPr>
          <w:rFonts w:eastAsia="方正小标宋_GBK"/>
          <w:sz w:val="44"/>
          <w:szCs w:val="44"/>
        </w:rPr>
      </w:pPr>
      <w:r>
        <w:rPr>
          <w:rFonts w:hint="eastAsia" w:ascii="方正小标宋_GBK" w:hAnsi="方正仿宋_GBK" w:eastAsia="方正小标宋_GBK" w:cs="方正仿宋_GBK"/>
          <w:b/>
          <w:color w:val="auto"/>
          <w:spacing w:val="0"/>
          <w:w w:val="100"/>
          <w:sz w:val="44"/>
          <w:szCs w:val="44"/>
          <w:lang w:val="en-US" w:eastAsia="zh-CN"/>
        </w:rPr>
        <w:t>关于印发《</w:t>
      </w:r>
      <w:r>
        <w:rPr>
          <w:rFonts w:hint="eastAsia" w:eastAsia="方正小标宋_GBK"/>
          <w:sz w:val="44"/>
          <w:szCs w:val="44"/>
        </w:rPr>
        <w:t>垫江县沙坪镇红旗水库沙坪水厂</w:t>
      </w:r>
    </w:p>
    <w:p>
      <w:pPr>
        <w:spacing w:line="600" w:lineRule="exact"/>
        <w:ind w:firstLine="0" w:firstLineChars="0"/>
        <w:jc w:val="center"/>
        <w:rPr>
          <w:rFonts w:hint="eastAsia" w:ascii="方正仿宋_GBK" w:hAnsi="方正仿宋_GBK" w:eastAsia="方正仿宋_GBK" w:cs="方正仿宋_GBK"/>
          <w:color w:val="auto"/>
          <w:spacing w:val="0"/>
          <w:sz w:val="33"/>
          <w:szCs w:val="33"/>
          <w:lang w:eastAsia="zh-CN"/>
        </w:rPr>
      </w:pPr>
      <w:r>
        <w:rPr>
          <w:rFonts w:hint="eastAsia" w:eastAsia="方正小标宋_GBK"/>
          <w:sz w:val="44"/>
          <w:szCs w:val="44"/>
        </w:rPr>
        <w:t>水源地</w:t>
      </w:r>
      <w:r>
        <w:rPr>
          <w:rFonts w:eastAsia="方正小标宋_GBK"/>
          <w:sz w:val="44"/>
          <w:szCs w:val="44"/>
        </w:rPr>
        <w:t>突发环境事件应急预案</w:t>
      </w:r>
      <w:r>
        <w:rPr>
          <w:rFonts w:hint="eastAsia" w:ascii="方正小标宋_GBK" w:hAnsi="方正仿宋_GBK" w:eastAsia="方正小标宋_GBK" w:cs="方正仿宋_GBK"/>
          <w:b/>
          <w:color w:val="auto"/>
          <w:spacing w:val="20"/>
          <w:sz w:val="44"/>
          <w:szCs w:val="44"/>
          <w:lang w:eastAsia="zh-CN"/>
        </w:rPr>
        <w:t>》</w:t>
      </w:r>
      <w:r>
        <w:rPr>
          <w:rFonts w:hint="eastAsia" w:ascii="方正小标宋_GBK" w:hAnsi="方正仿宋_GBK" w:eastAsia="方正小标宋_GBK" w:cs="方正仿宋_GBK"/>
          <w:b/>
          <w:color w:val="auto"/>
          <w:spacing w:val="0"/>
          <w:w w:val="100"/>
          <w:sz w:val="44"/>
          <w:szCs w:val="44"/>
          <w:lang w:val="en-US" w:eastAsia="zh-CN"/>
        </w:rPr>
        <w:t>的通知</w:t>
      </w:r>
    </w:p>
    <w:p>
      <w:pPr>
        <w:pStyle w:val="11"/>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方正仿宋_GBK" w:hAnsi="方正仿宋_GBK" w:eastAsia="方正仿宋_GBK" w:cs="方正仿宋_GBK"/>
          <w:color w:val="auto"/>
          <w:sz w:val="33"/>
          <w:szCs w:val="33"/>
          <w:lang w:eastAsia="zh-CN"/>
        </w:rPr>
      </w:pPr>
    </w:p>
    <w:p>
      <w:pPr>
        <w:spacing w:line="60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各村（居）委、镇级各相关部门、镇辖各相关单位：</w:t>
      </w:r>
    </w:p>
    <w:p>
      <w:pPr>
        <w:spacing w:line="600" w:lineRule="exact"/>
        <w:ind w:firstLine="632" w:firstLineChars="200"/>
        <w:jc w:val="both"/>
        <w:rPr>
          <w:rFonts w:hint="eastAsia" w:ascii="方正仿宋_GBK" w:hAnsi="方正仿宋_GBK" w:eastAsia="方正仿宋_GBK" w:cs="方正仿宋_GBK"/>
          <w:b w:val="0"/>
          <w:bCs/>
          <w:color w:val="auto"/>
          <w:sz w:val="32"/>
          <w:szCs w:val="32"/>
          <w:lang w:eastAsia="zh-CN"/>
        </w:rPr>
      </w:pPr>
      <w:r>
        <w:rPr>
          <w:rFonts w:hint="eastAsia" w:ascii="方正仿宋_GBK" w:hAnsi="方正仿宋_GBK" w:eastAsia="方正仿宋_GBK" w:cs="方正仿宋_GBK"/>
          <w:b w:val="0"/>
          <w:bCs/>
          <w:color w:val="000000"/>
          <w:spacing w:val="0"/>
          <w:kern w:val="0"/>
          <w:sz w:val="32"/>
          <w:szCs w:val="32"/>
          <w:lang w:val="en-US" w:eastAsia="zh-CN"/>
        </w:rPr>
        <w:t>现将</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sz w:val="32"/>
          <w:szCs w:val="32"/>
        </w:rPr>
        <w:t>垫江县沙坪镇红旗水库沙坪水厂水源地突发环境事件应急预案</w:t>
      </w:r>
      <w:r>
        <w:rPr>
          <w:rFonts w:hint="eastAsia" w:ascii="方正仿宋_GBK" w:hAnsi="方正仿宋_GBK" w:eastAsia="方正仿宋_GBK" w:cs="方正仿宋_GBK"/>
          <w:b w:val="0"/>
          <w:bCs/>
          <w:color w:val="auto"/>
          <w:sz w:val="32"/>
          <w:szCs w:val="32"/>
          <w:lang w:eastAsia="zh-CN"/>
        </w:rPr>
        <w:t xml:space="preserve">》现印发给你们，请认真组织实施。 </w:t>
      </w:r>
    </w:p>
    <w:p>
      <w:pPr>
        <w:pStyle w:val="2"/>
        <w:keepNext w:val="0"/>
        <w:keepLines w:val="0"/>
        <w:pageBreakBefore w:val="0"/>
        <w:widowControl w:val="0"/>
        <w:kinsoku/>
        <w:wordWrap/>
        <w:overflowPunct/>
        <w:topLinePunct w:val="0"/>
        <w:autoSpaceDE/>
        <w:autoSpaceDN/>
        <w:bidi w:val="0"/>
        <w:adjustRightInd/>
        <w:snapToGrid/>
        <w:spacing w:line="594" w:lineRule="exact"/>
        <w:ind w:left="0" w:leftChars="0" w:firstLine="0" w:firstLineChars="0"/>
        <w:jc w:val="left"/>
        <w:textAlignment w:val="auto"/>
        <w:rPr>
          <w:rFonts w:hint="eastAsia" w:ascii="方正仿宋_GBK" w:hAnsi="方正仿宋_GBK" w:eastAsia="方正仿宋_GBK" w:cs="方正仿宋_GBK"/>
          <w:b w:val="0"/>
          <w:bCs/>
          <w:color w:val="auto"/>
          <w:sz w:val="32"/>
          <w:szCs w:val="32"/>
          <w:lang w:eastAsia="zh-CN"/>
        </w:rPr>
      </w:pP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r>
        <w:rPr>
          <w:rFonts w:hint="eastAsia" w:ascii="方正仿宋_GBK" w:hAnsi="方正仿宋_GBK" w:cs="方正仿宋_GBK"/>
          <w:color w:val="auto"/>
          <w:spacing w:val="11"/>
          <w:sz w:val="32"/>
          <w:szCs w:val="32"/>
          <w:lang w:val="en-US" w:eastAsia="zh-CN"/>
        </w:rPr>
        <w:t xml:space="preserve">                </w:t>
      </w: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r>
        <w:rPr>
          <w:rFonts w:hint="eastAsia" w:ascii="方正仿宋_GBK" w:hAnsi="方正仿宋_GBK" w:cs="方正仿宋_GBK"/>
          <w:color w:val="auto"/>
          <w:spacing w:val="11"/>
          <w:sz w:val="32"/>
          <w:szCs w:val="32"/>
          <w:lang w:val="en-US" w:eastAsia="zh-CN"/>
        </w:rPr>
        <w:t xml:space="preserve">                    </w:t>
      </w: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cs="方正仿宋_GBK"/>
          <w:color w:val="auto"/>
          <w:spacing w:val="11"/>
          <w:sz w:val="32"/>
          <w:szCs w:val="32"/>
          <w:lang w:val="en-US" w:eastAsia="zh-CN"/>
        </w:rPr>
      </w:pPr>
    </w:p>
    <w:p>
      <w:pPr>
        <w:pStyle w:val="11"/>
        <w:keepNext w:val="0"/>
        <w:keepLines w:val="0"/>
        <w:pageBreakBefore w:val="0"/>
        <w:widowControl w:val="0"/>
        <w:kinsoku/>
        <w:wordWrap/>
        <w:overflowPunct/>
        <w:topLinePunct w:val="0"/>
        <w:autoSpaceDE/>
        <w:autoSpaceDN/>
        <w:bidi w:val="0"/>
        <w:adjustRightInd/>
        <w:snapToGrid/>
        <w:spacing w:line="594" w:lineRule="exact"/>
        <w:ind w:left="0" w:leftChars="0"/>
        <w:jc w:val="center"/>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cs="方正仿宋_GBK"/>
          <w:color w:val="auto"/>
          <w:spacing w:val="11"/>
          <w:sz w:val="32"/>
          <w:szCs w:val="32"/>
          <w:lang w:val="en-US" w:eastAsia="zh-CN"/>
        </w:rPr>
        <w:t xml:space="preserve">         </w:t>
      </w:r>
      <w:r>
        <w:rPr>
          <w:rFonts w:hint="eastAsia" w:ascii="方正仿宋_GBK" w:hAnsi="方正仿宋_GBK" w:eastAsia="方正仿宋_GBK" w:cs="方正仿宋_GBK"/>
          <w:color w:val="auto"/>
          <w:spacing w:val="11"/>
          <w:sz w:val="32"/>
          <w:szCs w:val="32"/>
          <w:lang w:eastAsia="zh-CN"/>
        </w:rPr>
        <w:t>垫江县沙坪镇人民政府</w:t>
      </w:r>
    </w:p>
    <w:p>
      <w:pPr>
        <w:jc w:val="center"/>
        <w:rPr>
          <w:rFonts w:eastAsia="方正小标宋_GBK"/>
          <w:sz w:val="44"/>
          <w:szCs w:val="44"/>
        </w:rPr>
      </w:pPr>
      <w:r>
        <w:rPr>
          <w:rFonts w:hint="eastAsia" w:ascii="方正仿宋_GBK" w:hAnsi="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lang w:val="en-US" w:eastAsia="zh-CN"/>
        </w:rPr>
        <w:t>202</w:t>
      </w:r>
      <w:r>
        <w:rPr>
          <w:rFonts w:hint="eastAsia" w:ascii="方正仿宋_GBK" w:hAnsi="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 xml:space="preserve">日 </w:t>
      </w:r>
    </w:p>
    <w:p>
      <w:pPr>
        <w:spacing w:line="600" w:lineRule="exact"/>
        <w:ind w:firstLine="0" w:firstLineChars="0"/>
        <w:jc w:val="center"/>
        <w:rPr>
          <w:rFonts w:hint="eastAsia" w:eastAsia="方正小标宋_GBK"/>
          <w:sz w:val="44"/>
          <w:szCs w:val="44"/>
        </w:rPr>
      </w:pPr>
    </w:p>
    <w:p>
      <w:pPr>
        <w:spacing w:line="600" w:lineRule="exact"/>
        <w:ind w:firstLine="0" w:firstLineChars="0"/>
        <w:jc w:val="center"/>
        <w:rPr>
          <w:rFonts w:hint="eastAsia" w:eastAsia="方正小标宋_GBK"/>
          <w:sz w:val="44"/>
          <w:szCs w:val="44"/>
        </w:rPr>
      </w:pPr>
    </w:p>
    <w:p>
      <w:pPr>
        <w:spacing w:line="600" w:lineRule="exact"/>
        <w:ind w:firstLine="0" w:firstLineChars="0"/>
        <w:jc w:val="center"/>
        <w:rPr>
          <w:rFonts w:hint="eastAsia" w:eastAsia="方正小标宋_GBK"/>
          <w:sz w:val="44"/>
          <w:szCs w:val="44"/>
        </w:rPr>
      </w:pPr>
    </w:p>
    <w:p>
      <w:pPr>
        <w:spacing w:line="600" w:lineRule="exact"/>
        <w:ind w:firstLine="0" w:firstLineChars="0"/>
        <w:jc w:val="center"/>
        <w:rPr>
          <w:rFonts w:hint="eastAsia" w:eastAsia="方正小标宋_GBK"/>
          <w:sz w:val="44"/>
          <w:szCs w:val="44"/>
        </w:rPr>
      </w:pPr>
    </w:p>
    <w:p>
      <w:pPr>
        <w:spacing w:line="600" w:lineRule="exact"/>
        <w:ind w:firstLine="1308" w:firstLineChars="300"/>
        <w:jc w:val="both"/>
        <w:rPr>
          <w:rFonts w:eastAsia="方正小标宋_GBK"/>
          <w:sz w:val="44"/>
          <w:szCs w:val="44"/>
        </w:rPr>
      </w:pPr>
      <w:r>
        <w:rPr>
          <w:rFonts w:hint="eastAsia" w:eastAsia="方正小标宋_GBK"/>
          <w:sz w:val="44"/>
          <w:szCs w:val="44"/>
        </w:rPr>
        <w:t>垫江县沙坪镇红旗水库沙坪水厂</w:t>
      </w:r>
    </w:p>
    <w:p>
      <w:pPr>
        <w:spacing w:line="600" w:lineRule="exact"/>
        <w:ind w:firstLine="0" w:firstLineChars="0"/>
        <w:jc w:val="center"/>
        <w:rPr>
          <w:rFonts w:eastAsia="方正小标宋_GBK"/>
          <w:sz w:val="44"/>
          <w:szCs w:val="44"/>
        </w:rPr>
      </w:pPr>
      <w:r>
        <w:rPr>
          <w:rFonts w:hint="eastAsia" w:eastAsia="方正小标宋_GBK"/>
          <w:sz w:val="44"/>
          <w:szCs w:val="44"/>
        </w:rPr>
        <w:t>水源地</w:t>
      </w:r>
      <w:r>
        <w:rPr>
          <w:rFonts w:eastAsia="方正小标宋_GBK"/>
          <w:sz w:val="44"/>
          <w:szCs w:val="44"/>
        </w:rPr>
        <w:t>突发环境事件应急预案</w:t>
      </w:r>
    </w:p>
    <w:p>
      <w:pPr>
        <w:ind w:firstLine="0" w:firstLineChars="0"/>
        <w:jc w:val="center"/>
        <w:rPr>
          <w:rFonts w:eastAsia="方正小标宋_GBK"/>
          <w:sz w:val="36"/>
          <w:szCs w:val="36"/>
        </w:rPr>
      </w:pPr>
    </w:p>
    <w:p>
      <w:pPr>
        <w:ind w:firstLine="712"/>
        <w:jc w:val="center"/>
        <w:rPr>
          <w:rFonts w:eastAsia="方正小标宋_GBK"/>
          <w:sz w:val="36"/>
          <w:szCs w:val="36"/>
        </w:rPr>
      </w:pPr>
    </w:p>
    <w:p>
      <w:pPr>
        <w:ind w:firstLine="0" w:firstLineChars="0"/>
        <w:jc w:val="center"/>
        <w:rPr>
          <w:rFonts w:eastAsia="方正小标宋_GBK"/>
          <w:sz w:val="36"/>
          <w:szCs w:val="36"/>
        </w:rPr>
      </w:pPr>
    </w:p>
    <w:p>
      <w:pPr>
        <w:ind w:firstLine="712"/>
        <w:jc w:val="center"/>
        <w:rPr>
          <w:rFonts w:eastAsia="方正小标宋_GBK"/>
          <w:sz w:val="36"/>
          <w:szCs w:val="36"/>
        </w:rPr>
      </w:pPr>
      <w:bookmarkStart w:id="350" w:name="_GoBack"/>
    </w:p>
    <w:bookmarkEnd w:id="350"/>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ind w:firstLine="712"/>
        <w:jc w:val="center"/>
        <w:rPr>
          <w:rFonts w:eastAsia="方正小标宋_GBK"/>
          <w:sz w:val="36"/>
          <w:szCs w:val="36"/>
        </w:rPr>
      </w:pPr>
    </w:p>
    <w:p>
      <w:pPr>
        <w:pStyle w:val="17"/>
        <w:ind w:firstLine="352"/>
      </w:pPr>
    </w:p>
    <w:p>
      <w:pPr>
        <w:adjustRightInd w:val="0"/>
        <w:snapToGrid w:val="0"/>
        <w:ind w:firstLine="0" w:firstLineChars="0"/>
        <w:jc w:val="center"/>
        <w:rPr>
          <w:rFonts w:eastAsia="方正楷体_GBK"/>
          <w:kern w:val="0"/>
          <w:szCs w:val="32"/>
        </w:rPr>
      </w:pPr>
      <w:r>
        <w:rPr>
          <w:rFonts w:hint="eastAsia" w:eastAsia="方正楷体_GBK"/>
          <w:kern w:val="0"/>
          <w:szCs w:val="32"/>
        </w:rPr>
        <w:t>垫江县沙坪镇人民政府</w:t>
      </w:r>
    </w:p>
    <w:p>
      <w:pPr>
        <w:ind w:firstLine="0" w:firstLineChars="0"/>
        <w:jc w:val="center"/>
        <w:rPr>
          <w:rFonts w:eastAsia="方正楷体_GBK"/>
          <w:kern w:val="0"/>
          <w:szCs w:val="32"/>
        </w:rPr>
      </w:pPr>
      <w:r>
        <w:rPr>
          <w:rFonts w:eastAsia="方正楷体_GBK"/>
          <w:kern w:val="0"/>
          <w:szCs w:val="32"/>
        </w:rPr>
        <w:t>二〇二</w:t>
      </w:r>
      <w:r>
        <w:rPr>
          <w:rFonts w:hint="eastAsia" w:eastAsia="方正楷体_GBK"/>
          <w:kern w:val="0"/>
          <w:szCs w:val="32"/>
        </w:rPr>
        <w:t>二</w:t>
      </w:r>
      <w:r>
        <w:rPr>
          <w:rFonts w:eastAsia="方正楷体_GBK"/>
          <w:kern w:val="0"/>
          <w:szCs w:val="32"/>
        </w:rPr>
        <w:t>年</w:t>
      </w:r>
      <w:r>
        <w:rPr>
          <w:rFonts w:hint="eastAsia" w:eastAsia="方正楷体_GBK"/>
          <w:kern w:val="0"/>
          <w:szCs w:val="32"/>
        </w:rPr>
        <w:t>十二</w:t>
      </w:r>
      <w:r>
        <w:rPr>
          <w:rFonts w:eastAsia="方正楷体_GBK"/>
          <w:kern w:val="0"/>
          <w:szCs w:val="32"/>
        </w:rPr>
        <w:t>月</w:t>
      </w:r>
    </w:p>
    <w:p>
      <w:pPr>
        <w:pStyle w:val="17"/>
        <w:ind w:firstLine="352"/>
      </w:pPr>
    </w:p>
    <w:p>
      <w:pPr>
        <w:pStyle w:val="17"/>
        <w:ind w:firstLine="352"/>
        <w:sectPr>
          <w:headerReference r:id="rId7" w:type="first"/>
          <w:footerReference r:id="rId10" w:type="first"/>
          <w:headerReference r:id="rId5" w:type="default"/>
          <w:footerReference r:id="rId8" w:type="default"/>
          <w:headerReference r:id="rId6" w:type="even"/>
          <w:footerReference r:id="rId9" w:type="even"/>
          <w:pgSz w:w="11907" w:h="16840"/>
          <w:pgMar w:top="2098" w:right="1474" w:bottom="1984" w:left="1588" w:header="851" w:footer="1474" w:gutter="0"/>
          <w:cols w:space="720" w:num="1"/>
          <w:titlePg/>
          <w:docGrid w:type="linesAndChars" w:linePitch="579" w:charSpace="-842"/>
        </w:sectPr>
      </w:pPr>
    </w:p>
    <w:p>
      <w:pPr>
        <w:ind w:firstLine="0" w:firstLineChars="0"/>
        <w:jc w:val="center"/>
        <w:rPr>
          <w:rFonts w:eastAsia="方正小标宋_GBK"/>
          <w:szCs w:val="32"/>
        </w:rPr>
      </w:pPr>
      <w:bookmarkStart w:id="0" w:name="_Toc44411280"/>
      <w:r>
        <w:rPr>
          <w:rFonts w:eastAsia="方正小标宋_GBK"/>
          <w:szCs w:val="32"/>
        </w:rPr>
        <w:t>目录</w:t>
      </w:r>
    </w:p>
    <w:p>
      <w:pPr>
        <w:pStyle w:val="19"/>
        <w:tabs>
          <w:tab w:val="right" w:leader="dot" w:pos="8835"/>
        </w:tabs>
        <w:ind w:firstLine="0" w:firstLineChars="0"/>
        <w:rPr>
          <w:rFonts w:asciiTheme="minorHAnsi" w:hAnsiTheme="minorHAnsi" w:eastAsiaTheme="minorEastAsia" w:cstheme="minorBidi"/>
          <w:sz w:val="21"/>
          <w:szCs w:val="22"/>
        </w:rPr>
      </w:pPr>
      <w:r>
        <w:rPr>
          <w:rFonts w:eastAsia="宋体"/>
          <w:kern w:val="0"/>
          <w:szCs w:val="32"/>
        </w:rPr>
        <w:fldChar w:fldCharType="begin"/>
      </w:r>
      <w:r>
        <w:rPr>
          <w:rFonts w:eastAsia="宋体"/>
          <w:kern w:val="0"/>
          <w:szCs w:val="32"/>
        </w:rPr>
        <w:instrText xml:space="preserve"> TOC \o "1-2" \h \z \u </w:instrText>
      </w:r>
      <w:r>
        <w:rPr>
          <w:rFonts w:eastAsia="宋体"/>
          <w:kern w:val="0"/>
          <w:szCs w:val="32"/>
        </w:rPr>
        <w:fldChar w:fldCharType="separate"/>
      </w:r>
      <w:r>
        <w:fldChar w:fldCharType="begin"/>
      </w:r>
      <w:r>
        <w:instrText xml:space="preserve"> HYPERLINK \l "_Toc126335834" </w:instrText>
      </w:r>
      <w:r>
        <w:fldChar w:fldCharType="separate"/>
      </w:r>
      <w:r>
        <w:rPr>
          <w:rStyle w:val="34"/>
        </w:rPr>
        <w:t>1预案总则</w:t>
      </w:r>
      <w:r>
        <w:tab/>
      </w:r>
      <w:r>
        <w:fldChar w:fldCharType="begin"/>
      </w:r>
      <w:r>
        <w:instrText xml:space="preserve"> PAGEREF _Toc126335834 \h </w:instrText>
      </w:r>
      <w:r>
        <w:fldChar w:fldCharType="separate"/>
      </w:r>
      <w:r>
        <w:t>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"_Toc126335835" </w:instrText>
      </w:r>
      <w:r>
        <w:fldChar w:fldCharType="separate"/>
      </w:r>
      <w:r>
        <w:rPr>
          <w:rStyle w:val="34"/>
        </w:rPr>
        <w:t>1.1编制目的</w:t>
      </w:r>
      <w:r>
        <w:tab/>
      </w:r>
      <w:r>
        <w:fldChar w:fldCharType="begin"/>
      </w:r>
      <w:r>
        <w:instrText xml:space="preserve"> PAGEREF _Toc126335835 \h </w:instrText>
      </w:r>
      <w:r>
        <w:fldChar w:fldCharType="separate"/>
      </w:r>
      <w:r>
        <w:t>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"_Toc126335836" </w:instrText>
      </w:r>
      <w:r>
        <w:fldChar w:fldCharType="separate"/>
      </w:r>
      <w:r>
        <w:rPr>
          <w:rStyle w:val="34"/>
        </w:rPr>
        <w:t>1.2编制依据</w:t>
      </w:r>
      <w:r>
        <w:tab/>
      </w:r>
      <w:r>
        <w:fldChar w:fldCharType="begin"/>
      </w:r>
      <w:r>
        <w:instrText xml:space="preserve"> PAGEREF _Toc126335836 \h </w:instrText>
      </w:r>
      <w:r>
        <w:fldChar w:fldCharType="separate"/>
      </w:r>
      <w:r>
        <w:t>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"_Toc126335837" </w:instrText>
      </w:r>
      <w:r>
        <w:fldChar w:fldCharType="separate"/>
      </w:r>
      <w:r>
        <w:rPr>
          <w:rStyle w:val="34"/>
        </w:rPr>
        <w:t>1.3适用情况及范围</w:t>
      </w:r>
      <w:r>
        <w:tab/>
      </w:r>
      <w:r>
        <w:fldChar w:fldCharType="begin"/>
      </w:r>
      <w:r>
        <w:instrText xml:space="preserve"> PAGEREF _Toc126335837 \h </w:instrText>
      </w:r>
      <w:r>
        <w:fldChar w:fldCharType="separate"/>
      </w:r>
      <w:r>
        <w:t>4</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"_Toc126335838" </w:instrText>
      </w:r>
      <w:r>
        <w:fldChar w:fldCharType="separate"/>
      </w:r>
      <w:r>
        <w:rPr>
          <w:rStyle w:val="34"/>
        </w:rPr>
        <w:t>1.4预案衔接</w:t>
      </w:r>
      <w:r>
        <w:tab/>
      </w:r>
      <w:r>
        <w:fldChar w:fldCharType="begin"/>
      </w:r>
      <w:r>
        <w:instrText xml:space="preserve"> PAGEREF _Toc126335838 \h </w:instrText>
      </w:r>
      <w:r>
        <w:fldChar w:fldCharType="separate"/>
      </w:r>
      <w:r>
        <w:t>5</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"_Toc126335839" </w:instrText>
      </w:r>
      <w:r>
        <w:fldChar w:fldCharType="separate"/>
      </w:r>
      <w:r>
        <w:rPr>
          <w:rStyle w:val="34"/>
        </w:rPr>
        <w:t>1.5工作原则</w:t>
      </w:r>
      <w:r>
        <w:tab/>
      </w:r>
      <w:r>
        <w:fldChar w:fldCharType="begin"/>
      </w:r>
      <w:r>
        <w:instrText xml:space="preserve"> PAGEREF _Toc126335839 \h </w:instrText>
      </w:r>
      <w:r>
        <w:fldChar w:fldCharType="separate"/>
      </w:r>
      <w:r>
        <w:t>5</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"_Toc126335840" </w:instrText>
      </w:r>
      <w:r>
        <w:fldChar w:fldCharType="separate"/>
      </w:r>
      <w:r>
        <w:rPr>
          <w:rStyle w:val="34"/>
        </w:rPr>
        <w:t>1.6突发环境事件分级</w:t>
      </w:r>
      <w:r>
        <w:tab/>
      </w:r>
      <w:r>
        <w:fldChar w:fldCharType="begin"/>
      </w:r>
      <w:r>
        <w:instrText xml:space="preserve"> PAGEREF _Toc126335840 \h </w:instrText>
      </w:r>
      <w:r>
        <w:fldChar w:fldCharType="separate"/>
      </w:r>
      <w:r>
        <w:t>6</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"_Toc126335841" </w:instrText>
      </w:r>
      <w:r>
        <w:fldChar w:fldCharType="separate"/>
      </w:r>
      <w:r>
        <w:rPr>
          <w:rStyle w:val="34"/>
        </w:rPr>
        <w:t>2水源地基本信息</w:t>
      </w:r>
      <w:r>
        <w:tab/>
      </w:r>
      <w:r>
        <w:fldChar w:fldCharType="begin"/>
      </w:r>
      <w:r>
        <w:instrText xml:space="preserve"> PAGEREF _Toc126335841 \h </w:instrText>
      </w:r>
      <w:r>
        <w:fldChar w:fldCharType="separate"/>
      </w:r>
      <w:r>
        <w:t>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"_Toc126335842" </w:instrText>
      </w:r>
      <w:r>
        <w:fldChar w:fldCharType="separate"/>
      </w:r>
      <w:r>
        <w:rPr>
          <w:rStyle w:val="34"/>
        </w:rPr>
        <w:t>2.1水源地简介</w:t>
      </w:r>
      <w:r>
        <w:tab/>
      </w:r>
      <w:r>
        <w:fldChar w:fldCharType="begin"/>
      </w:r>
      <w:r>
        <w:instrText xml:space="preserve"> PAGEREF _Toc126335842 \h </w:instrText>
      </w:r>
      <w:r>
        <w:fldChar w:fldCharType="separate"/>
      </w:r>
      <w:r>
        <w:t>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"_Toc126335843" </w:instrText>
      </w:r>
      <w:r>
        <w:fldChar w:fldCharType="separate"/>
      </w:r>
      <w:r>
        <w:rPr>
          <w:rStyle w:val="34"/>
        </w:rPr>
        <w:t>2.2水源地取水情况</w:t>
      </w:r>
      <w:r>
        <w:tab/>
      </w:r>
      <w:r>
        <w:fldChar w:fldCharType="begin"/>
      </w:r>
      <w:r>
        <w:instrText xml:space="preserve"> PAGEREF _Toc126335843 \h </w:instrText>
      </w:r>
      <w:r>
        <w:fldChar w:fldCharType="separate"/>
      </w:r>
      <w:r>
        <w:t>8</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"_Toc126335844" </w:instrText>
      </w:r>
      <w:r>
        <w:fldChar w:fldCharType="separate"/>
      </w:r>
      <w:r>
        <w:rPr>
          <w:rStyle w:val="34"/>
        </w:rPr>
        <w:t>2.3水源水质情况</w:t>
      </w:r>
      <w:r>
        <w:tab/>
      </w:r>
      <w:r>
        <w:fldChar w:fldCharType="begin"/>
      </w:r>
      <w:r>
        <w:instrText xml:space="preserve"> PAGEREF _Toc126335844 \h </w:instrText>
      </w:r>
      <w:r>
        <w:fldChar w:fldCharType="separate"/>
      </w:r>
      <w:r>
        <w:t>9</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"_Toc126335845" </w:instrText>
      </w:r>
      <w:r>
        <w:fldChar w:fldCharType="separate"/>
      </w:r>
      <w:r>
        <w:rPr>
          <w:rStyle w:val="34"/>
        </w:rPr>
        <w:t>3水源地环境风险源识别</w:t>
      </w:r>
      <w:r>
        <w:tab/>
      </w:r>
      <w:r>
        <w:fldChar w:fldCharType="begin"/>
      </w:r>
      <w:r>
        <w:instrText xml:space="preserve"> PAGEREF _Toc126335845 \h </w:instrText>
      </w:r>
      <w:r>
        <w:fldChar w:fldCharType="separate"/>
      </w:r>
      <w:r>
        <w:t>10</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"_Toc126335846" </w:instrText>
      </w:r>
      <w:r>
        <w:fldChar w:fldCharType="separate"/>
      </w:r>
      <w:r>
        <w:rPr>
          <w:rStyle w:val="34"/>
        </w:rPr>
        <w:t>3.1固定风险源识别</w:t>
      </w:r>
      <w:r>
        <w:tab/>
      </w:r>
      <w:r>
        <w:fldChar w:fldCharType="begin"/>
      </w:r>
      <w:r>
        <w:instrText xml:space="preserve"> PAGEREF _Toc126335846 \h </w:instrText>
      </w:r>
      <w:r>
        <w:fldChar w:fldCharType="separate"/>
      </w:r>
      <w:r>
        <w:t>11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"_Toc126335847" </w:instrText>
      </w:r>
      <w:r>
        <w:fldChar w:fldCharType="separate"/>
      </w:r>
      <w:r>
        <w:rPr>
          <w:rStyle w:val="34"/>
        </w:rPr>
        <w:t>3.2流动风险源识别</w:t>
      </w:r>
      <w:r>
        <w:tab/>
      </w:r>
      <w:r>
        <w:fldChar w:fldCharType="begin"/>
      </w:r>
      <w:r>
        <w:instrText xml:space="preserve"> PAGEREF _Toc126335847 \h </w:instrText>
      </w:r>
      <w:r>
        <w:fldChar w:fldCharType="separate"/>
      </w:r>
      <w:r>
        <w:t>11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"_Toc126335848" </w:instrText>
      </w:r>
      <w:r>
        <w:fldChar w:fldCharType="separate"/>
      </w:r>
      <w:r>
        <w:rPr>
          <w:rStyle w:val="34"/>
        </w:rPr>
        <w:t>3.3非点源风险识别</w:t>
      </w:r>
      <w:r>
        <w:tab/>
      </w:r>
      <w:r>
        <w:fldChar w:fldCharType="begin"/>
      </w:r>
      <w:r>
        <w:instrText xml:space="preserve"> PAGEREF _Toc126335848 \h </w:instrText>
      </w:r>
      <w:r>
        <w:fldChar w:fldCharType="separate"/>
      </w:r>
      <w:r>
        <w:t>11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"_Toc126335849" </w:instrText>
      </w:r>
      <w:r>
        <w:fldChar w:fldCharType="separate"/>
      </w:r>
      <w:r>
        <w:rPr>
          <w:rStyle w:val="34"/>
        </w:rPr>
        <w:t>3.4水华风险识别</w:t>
      </w:r>
      <w:r>
        <w:tab/>
      </w:r>
      <w:r>
        <w:fldChar w:fldCharType="begin"/>
      </w:r>
      <w:r>
        <w:instrText xml:space="preserve"> PAGEREF _Toc126335849 \h </w:instrText>
      </w:r>
      <w:r>
        <w:fldChar w:fldCharType="separate"/>
      </w:r>
      <w:r>
        <w:t>12</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"_Toc126335850" </w:instrText>
      </w:r>
      <w:r>
        <w:fldChar w:fldCharType="separate"/>
      </w:r>
      <w:r>
        <w:rPr>
          <w:rStyle w:val="34"/>
        </w:rPr>
        <w:t>3.5主要环境风险物质特性</w:t>
      </w:r>
      <w:r>
        <w:tab/>
      </w:r>
      <w:r>
        <w:fldChar w:fldCharType="begin"/>
      </w:r>
      <w:r>
        <w:instrText xml:space="preserve"> PAGEREF _Toc126335850 \h </w:instrText>
      </w:r>
      <w:r>
        <w:fldChar w:fldCharType="separate"/>
      </w:r>
      <w:r>
        <w:t>12</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"_Toc126335851" </w:instrText>
      </w:r>
      <w:r>
        <w:fldChar w:fldCharType="separate"/>
      </w:r>
      <w:r>
        <w:rPr>
          <w:rStyle w:val="34"/>
        </w:rPr>
        <w:t>4水源地环境风险分析</w:t>
      </w:r>
      <w:r>
        <w:tab/>
      </w:r>
      <w:r>
        <w:fldChar w:fldCharType="begin"/>
      </w:r>
      <w:r>
        <w:instrText xml:space="preserve"> PAGEREF _Toc126335851 \h </w:instrText>
      </w:r>
      <w:r>
        <w:fldChar w:fldCharType="separate"/>
      </w:r>
      <w:r>
        <w:t>12</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"_Toc126335852" </w:instrText>
      </w:r>
      <w:r>
        <w:fldChar w:fldCharType="separate"/>
      </w:r>
      <w:r>
        <w:rPr>
          <w:rStyle w:val="34"/>
        </w:rPr>
        <w:t>4.1固定源项分析（R</w:t>
      </w:r>
      <w:r>
        <w:rPr>
          <w:rStyle w:val="34"/>
          <w:vertAlign w:val="subscript"/>
        </w:rPr>
        <w:t>p</w:t>
      </w:r>
      <w:r>
        <w:rPr>
          <w:rStyle w:val="34"/>
        </w:rPr>
        <w:t>）</w:t>
      </w:r>
      <w:r>
        <w:tab/>
      </w:r>
      <w:r>
        <w:fldChar w:fldCharType="begin"/>
      </w:r>
      <w:r>
        <w:instrText xml:space="preserve"> PAGEREF _Toc126335852 \h </w:instrText>
      </w:r>
      <w:r>
        <w:fldChar w:fldCharType="separate"/>
      </w:r>
      <w:r>
        <w:t>13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"_Toc126335853" </w:instrText>
      </w:r>
      <w:r>
        <w:fldChar w:fldCharType="separate"/>
      </w:r>
      <w:r>
        <w:rPr>
          <w:rStyle w:val="34"/>
          <w:rFonts w:eastAsia="宋体"/>
        </w:rPr>
        <w:t>4.2</w:t>
      </w:r>
      <w:r>
        <w:rPr>
          <w:rStyle w:val="34"/>
        </w:rPr>
        <w:t>流动源项分析（R</w:t>
      </w:r>
      <w:r>
        <w:rPr>
          <w:rStyle w:val="34"/>
          <w:vertAlign w:val="subscript"/>
        </w:rPr>
        <w:t>f</w:t>
      </w:r>
      <w:r>
        <w:rPr>
          <w:rStyle w:val="34"/>
        </w:rPr>
        <w:t>）</w:t>
      </w:r>
      <w:r>
        <w:tab/>
      </w:r>
      <w:r>
        <w:fldChar w:fldCharType="begin"/>
      </w:r>
      <w:r>
        <w:instrText xml:space="preserve"> PAGEREF _Toc126335853 \h </w:instrText>
      </w:r>
      <w:r>
        <w:fldChar w:fldCharType="separate"/>
      </w:r>
      <w:r>
        <w:t>14</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"_Toc126335854" </w:instrText>
      </w:r>
      <w:r>
        <w:fldChar w:fldCharType="separate"/>
      </w:r>
      <w:r>
        <w:rPr>
          <w:rStyle w:val="34"/>
        </w:rPr>
        <w:t>4.3非点源项分析（R</w:t>
      </w:r>
      <w:r>
        <w:rPr>
          <w:rStyle w:val="34"/>
          <w:vertAlign w:val="subscript"/>
        </w:rPr>
        <w:t>y</w:t>
      </w:r>
      <w:r>
        <w:rPr>
          <w:rStyle w:val="34"/>
        </w:rPr>
        <w:t>）</w:t>
      </w:r>
      <w:r>
        <w:tab/>
      </w:r>
      <w:r>
        <w:fldChar w:fldCharType="begin"/>
      </w:r>
      <w:r>
        <w:instrText xml:space="preserve"> PAGEREF _Toc126335854 \h </w:instrText>
      </w:r>
      <w:r>
        <w:fldChar w:fldCharType="separate"/>
      </w:r>
      <w:r>
        <w:t>16</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"_Toc126335855" </w:instrText>
      </w:r>
      <w:r>
        <w:fldChar w:fldCharType="separate"/>
      </w:r>
      <w:r>
        <w:rPr>
          <w:rStyle w:val="34"/>
        </w:rPr>
        <w:t>4.4环境风险评估结果</w:t>
      </w:r>
      <w:r>
        <w:tab/>
      </w:r>
      <w:r>
        <w:fldChar w:fldCharType="begin"/>
      </w:r>
      <w:r>
        <w:instrText xml:space="preserve"> PAGEREF _Toc126335855 \h </w:instrText>
      </w:r>
      <w:r>
        <w:fldChar w:fldCharType="separate"/>
      </w:r>
      <w:r>
        <w:t>16</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"_Toc126335856" </w:instrText>
      </w:r>
      <w:r>
        <w:fldChar w:fldCharType="separate"/>
      </w:r>
      <w:r>
        <w:rPr>
          <w:rStyle w:val="34"/>
        </w:rPr>
        <w:t>5应急组织指挥体系</w:t>
      </w:r>
      <w:r>
        <w:tab/>
      </w:r>
      <w:r>
        <w:fldChar w:fldCharType="begin"/>
      </w:r>
      <w:r>
        <w:instrText xml:space="preserve"> PAGEREF _Toc126335856 \h </w:instrText>
      </w:r>
      <w:r>
        <w:fldChar w:fldCharType="separate"/>
      </w:r>
      <w:r>
        <w:t>17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"_Toc126335857" </w:instrText>
      </w:r>
      <w:r>
        <w:fldChar w:fldCharType="separate"/>
      </w:r>
      <w:r>
        <w:rPr>
          <w:rStyle w:val="34"/>
        </w:rPr>
        <w:t>5.1应急组织指挥机构与职责</w:t>
      </w:r>
      <w:r>
        <w:tab/>
      </w:r>
      <w:r>
        <w:fldChar w:fldCharType="begin"/>
      </w:r>
      <w:r>
        <w:instrText xml:space="preserve"> PAGEREF _Toc126335857 \h </w:instrText>
      </w:r>
      <w:r>
        <w:fldChar w:fldCharType="separate"/>
      </w:r>
      <w:r>
        <w:t>17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"_Toc126335858" </w:instrText>
      </w:r>
      <w:r>
        <w:fldChar w:fldCharType="separate"/>
      </w:r>
      <w:r>
        <w:rPr>
          <w:rStyle w:val="34"/>
        </w:rPr>
        <w:t>5.2应急处置工作组与职责</w:t>
      </w:r>
      <w:r>
        <w:tab/>
      </w:r>
      <w:r>
        <w:fldChar w:fldCharType="begin"/>
      </w:r>
      <w:r>
        <w:instrText xml:space="preserve"> PAGEREF _Toc126335858 \h </w:instrText>
      </w:r>
      <w:r>
        <w:fldChar w:fldCharType="separate"/>
      </w:r>
      <w:r>
        <w:t>18</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"_Toc126335859" </w:instrText>
      </w:r>
      <w:r>
        <w:fldChar w:fldCharType="separate"/>
      </w:r>
      <w:r>
        <w:rPr>
          <w:rStyle w:val="34"/>
        </w:rPr>
        <w:t>6应急响应</w:t>
      </w:r>
      <w:r>
        <w:tab/>
      </w:r>
      <w:r>
        <w:fldChar w:fldCharType="begin"/>
      </w:r>
      <w:r>
        <w:instrText xml:space="preserve"> PAGEREF _Toc126335859 \h </w:instrText>
      </w:r>
      <w:r>
        <w:fldChar w:fldCharType="separate"/>
      </w:r>
      <w:r>
        <w:t>23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"_Toc126335860" </w:instrText>
      </w:r>
      <w:r>
        <w:fldChar w:fldCharType="separate"/>
      </w:r>
      <w:r>
        <w:rPr>
          <w:rStyle w:val="34"/>
        </w:rPr>
        <w:t>6.1信息收集和研判</w:t>
      </w:r>
      <w:r>
        <w:tab/>
      </w:r>
      <w:r>
        <w:fldChar w:fldCharType="begin"/>
      </w:r>
      <w:r>
        <w:instrText xml:space="preserve"> PAGEREF _Toc126335860 \h </w:instrText>
      </w:r>
      <w:r>
        <w:fldChar w:fldCharType="separate"/>
      </w:r>
      <w:r>
        <w:t>23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"_Toc126335861" </w:instrText>
      </w:r>
      <w:r>
        <w:fldChar w:fldCharType="separate"/>
      </w:r>
      <w:r>
        <w:rPr>
          <w:rStyle w:val="34"/>
        </w:rPr>
        <w:t>6.2事态研判</w:t>
      </w:r>
      <w:r>
        <w:tab/>
      </w:r>
      <w:r>
        <w:fldChar w:fldCharType="begin"/>
      </w:r>
      <w:r>
        <w:instrText xml:space="preserve"> PAGEREF _Toc126335861 \h </w:instrText>
      </w:r>
      <w:r>
        <w:fldChar w:fldCharType="separate"/>
      </w:r>
      <w:r>
        <w:t>26</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"_Toc126335862" </w:instrText>
      </w:r>
      <w:r>
        <w:fldChar w:fldCharType="separate"/>
      </w:r>
      <w:r>
        <w:rPr>
          <w:rStyle w:val="34"/>
        </w:rPr>
        <w:t>6.3预警</w:t>
      </w:r>
      <w:r>
        <w:tab/>
      </w:r>
      <w:r>
        <w:fldChar w:fldCharType="begin"/>
      </w:r>
      <w:r>
        <w:instrText xml:space="preserve"> PAGEREF _Toc126335862 \h </w:instrText>
      </w:r>
      <w:r>
        <w:fldChar w:fldCharType="separate"/>
      </w:r>
      <w:r>
        <w:t>26</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"_Toc126335863" </w:instrText>
      </w:r>
      <w:r>
        <w:fldChar w:fldCharType="separate"/>
      </w:r>
      <w:r>
        <w:rPr>
          <w:rStyle w:val="34"/>
        </w:rPr>
        <w:t>6.4分级响应</w:t>
      </w:r>
      <w:r>
        <w:tab/>
      </w:r>
      <w:r>
        <w:fldChar w:fldCharType="begin"/>
      </w:r>
      <w:r>
        <w:instrText xml:space="preserve"> PAGEREF _Toc126335863 \h </w:instrText>
      </w:r>
      <w:r>
        <w:fldChar w:fldCharType="separate"/>
      </w:r>
      <w:r>
        <w:t>30</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"_Toc126335864" </w:instrText>
      </w:r>
      <w:r>
        <w:fldChar w:fldCharType="separate"/>
      </w:r>
      <w:r>
        <w:rPr>
          <w:rStyle w:val="34"/>
        </w:rPr>
        <w:t>6.5应急监测</w:t>
      </w:r>
      <w:r>
        <w:tab/>
      </w:r>
      <w:r>
        <w:fldChar w:fldCharType="begin"/>
      </w:r>
      <w:r>
        <w:instrText xml:space="preserve"> PAGEREF _Toc126335864 \h </w:instrText>
      </w:r>
      <w:r>
        <w:fldChar w:fldCharType="separate"/>
      </w:r>
      <w:r>
        <w:t>31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"_Toc126335865" </w:instrText>
      </w:r>
      <w:r>
        <w:fldChar w:fldCharType="separate"/>
      </w:r>
      <w:r>
        <w:rPr>
          <w:rStyle w:val="34"/>
        </w:rPr>
        <w:t>6.6污染源排查与处置</w:t>
      </w:r>
      <w:r>
        <w:tab/>
      </w:r>
      <w:r>
        <w:fldChar w:fldCharType="begin"/>
      </w:r>
      <w:r>
        <w:instrText xml:space="preserve"> PAGEREF _Toc126335865 \h </w:instrText>
      </w:r>
      <w:r>
        <w:fldChar w:fldCharType="separate"/>
      </w:r>
      <w:r>
        <w:t>33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"_Toc126335866" </w:instrText>
      </w:r>
      <w:r>
        <w:fldChar w:fldCharType="separate"/>
      </w:r>
      <w:r>
        <w:rPr>
          <w:rStyle w:val="34"/>
        </w:rPr>
        <w:t>6.7应急处置</w:t>
      </w:r>
      <w:r>
        <w:tab/>
      </w:r>
      <w:r>
        <w:fldChar w:fldCharType="begin"/>
      </w:r>
      <w:r>
        <w:instrText xml:space="preserve"> PAGEREF _Toc126335866 \h </w:instrText>
      </w:r>
      <w:r>
        <w:fldChar w:fldCharType="separate"/>
      </w:r>
      <w:r>
        <w:t>34</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"_Toc126335867" </w:instrText>
      </w:r>
      <w:r>
        <w:fldChar w:fldCharType="separate"/>
      </w:r>
      <w:r>
        <w:rPr>
          <w:rStyle w:val="34"/>
        </w:rPr>
        <w:t>6.8响应终止</w:t>
      </w:r>
      <w:r>
        <w:tab/>
      </w:r>
      <w:r>
        <w:fldChar w:fldCharType="begin"/>
      </w:r>
      <w:r>
        <w:instrText xml:space="preserve"> PAGEREF _Toc126335867 \h </w:instrText>
      </w:r>
      <w:r>
        <w:fldChar w:fldCharType="separate"/>
      </w:r>
      <w:r>
        <w:t>39</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"_Toc126335868" </w:instrText>
      </w:r>
      <w:r>
        <w:fldChar w:fldCharType="separate"/>
      </w:r>
      <w:r>
        <w:rPr>
          <w:rStyle w:val="34"/>
        </w:rPr>
        <w:t>7后期处置</w:t>
      </w:r>
      <w:r>
        <w:tab/>
      </w:r>
      <w:r>
        <w:fldChar w:fldCharType="begin"/>
      </w:r>
      <w:r>
        <w:instrText xml:space="preserve"> PAGEREF _Toc126335868 \h </w:instrText>
      </w:r>
      <w:r>
        <w:fldChar w:fldCharType="separate"/>
      </w:r>
      <w:r>
        <w:t>39</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"_Toc126335869" </w:instrText>
      </w:r>
      <w:r>
        <w:fldChar w:fldCharType="separate"/>
      </w:r>
      <w:r>
        <w:rPr>
          <w:rStyle w:val="34"/>
        </w:rPr>
        <w:t>7.1后期防控</w:t>
      </w:r>
      <w:r>
        <w:tab/>
      </w:r>
      <w:r>
        <w:fldChar w:fldCharType="begin"/>
      </w:r>
      <w:r>
        <w:instrText xml:space="preserve"> PAGEREF _Toc126335869 \h </w:instrText>
      </w:r>
      <w:r>
        <w:fldChar w:fldCharType="separate"/>
      </w:r>
      <w:r>
        <w:t>39</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"_Toc126335870" </w:instrText>
      </w:r>
      <w:r>
        <w:fldChar w:fldCharType="separate"/>
      </w:r>
      <w:r>
        <w:rPr>
          <w:rStyle w:val="34"/>
        </w:rPr>
        <w:t>7.2事件调查</w:t>
      </w:r>
      <w:r>
        <w:tab/>
      </w:r>
      <w:r>
        <w:fldChar w:fldCharType="begin"/>
      </w:r>
      <w:r>
        <w:instrText xml:space="preserve"> PAGEREF _Toc126335870 \h </w:instrText>
      </w:r>
      <w:r>
        <w:fldChar w:fldCharType="separate"/>
      </w:r>
      <w:r>
        <w:t>39</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"_Toc126335871" </w:instrText>
      </w:r>
      <w:r>
        <w:fldChar w:fldCharType="separate"/>
      </w:r>
      <w:r>
        <w:rPr>
          <w:rStyle w:val="34"/>
        </w:rPr>
        <w:t>8应急保障</w:t>
      </w:r>
      <w:r>
        <w:tab/>
      </w:r>
      <w:r>
        <w:fldChar w:fldCharType="begin"/>
      </w:r>
      <w:r>
        <w:instrText xml:space="preserve"> PAGEREF _Toc126335871 \h </w:instrText>
      </w:r>
      <w:r>
        <w:fldChar w:fldCharType="separate"/>
      </w:r>
      <w:r>
        <w:t>41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"_Toc126335872" </w:instrText>
      </w:r>
      <w:r>
        <w:fldChar w:fldCharType="separate"/>
      </w:r>
      <w:r>
        <w:rPr>
          <w:rStyle w:val="34"/>
        </w:rPr>
        <w:t>8.1通讯与信息保障</w:t>
      </w:r>
      <w:r>
        <w:tab/>
      </w:r>
      <w:r>
        <w:fldChar w:fldCharType="begin"/>
      </w:r>
      <w:r>
        <w:instrText xml:space="preserve"> PAGEREF _Toc126335872 \h </w:instrText>
      </w:r>
      <w:r>
        <w:fldChar w:fldCharType="separate"/>
      </w:r>
      <w:r>
        <w:t>41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"_Toc126335873" </w:instrText>
      </w:r>
      <w:r>
        <w:fldChar w:fldCharType="separate"/>
      </w:r>
      <w:r>
        <w:rPr>
          <w:rStyle w:val="34"/>
        </w:rPr>
        <w:t>8.2应急队伍保障</w:t>
      </w:r>
      <w:r>
        <w:tab/>
      </w:r>
      <w:r>
        <w:fldChar w:fldCharType="begin"/>
      </w:r>
      <w:r>
        <w:instrText xml:space="preserve"> PAGEREF _Toc126335873 \h </w:instrText>
      </w:r>
      <w:r>
        <w:fldChar w:fldCharType="separate"/>
      </w:r>
      <w:r>
        <w:t>41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"_Toc126335874" </w:instrText>
      </w:r>
      <w:r>
        <w:fldChar w:fldCharType="separate"/>
      </w:r>
      <w:r>
        <w:rPr>
          <w:rStyle w:val="34"/>
        </w:rPr>
        <w:t>8.3应急资源保障</w:t>
      </w:r>
      <w:r>
        <w:tab/>
      </w:r>
      <w:r>
        <w:fldChar w:fldCharType="begin"/>
      </w:r>
      <w:r>
        <w:instrText xml:space="preserve"> PAGEREF _Toc126335874 \h </w:instrText>
      </w:r>
      <w:r>
        <w:fldChar w:fldCharType="separate"/>
      </w:r>
      <w:r>
        <w:t>41</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"_Toc126335875" </w:instrText>
      </w:r>
      <w:r>
        <w:fldChar w:fldCharType="separate"/>
      </w:r>
      <w:r>
        <w:rPr>
          <w:rStyle w:val="34"/>
        </w:rPr>
        <w:t>8.4经费保障</w:t>
      </w:r>
      <w:r>
        <w:tab/>
      </w:r>
      <w:r>
        <w:fldChar w:fldCharType="begin"/>
      </w:r>
      <w:r>
        <w:instrText xml:space="preserve"> PAGEREF _Toc126335875 \h </w:instrText>
      </w:r>
      <w:r>
        <w:fldChar w:fldCharType="separate"/>
      </w:r>
      <w:r>
        <w:t>42</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"_Toc126335876" </w:instrText>
      </w:r>
      <w:r>
        <w:fldChar w:fldCharType="separate"/>
      </w:r>
      <w:r>
        <w:rPr>
          <w:rStyle w:val="34"/>
        </w:rPr>
        <w:t>8.5交通保障</w:t>
      </w:r>
      <w:r>
        <w:tab/>
      </w:r>
      <w:r>
        <w:fldChar w:fldCharType="begin"/>
      </w:r>
      <w:r>
        <w:instrText xml:space="preserve"> PAGEREF _Toc126335876 \h </w:instrText>
      </w:r>
      <w:r>
        <w:fldChar w:fldCharType="separate"/>
      </w:r>
      <w:r>
        <w:t>42</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"_Toc126335877" </w:instrText>
      </w:r>
      <w:r>
        <w:fldChar w:fldCharType="separate"/>
      </w:r>
      <w:r>
        <w:rPr>
          <w:rStyle w:val="34"/>
        </w:rPr>
        <w:t>9附则</w:t>
      </w:r>
      <w:r>
        <w:tab/>
      </w:r>
      <w:r>
        <w:fldChar w:fldCharType="begin"/>
      </w:r>
      <w:r>
        <w:instrText xml:space="preserve"> PAGEREF _Toc126335877 \h </w:instrText>
      </w:r>
      <w:r>
        <w:fldChar w:fldCharType="separate"/>
      </w:r>
      <w:r>
        <w:t>42</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"_Toc126335878" </w:instrText>
      </w:r>
      <w:r>
        <w:fldChar w:fldCharType="separate"/>
      </w:r>
      <w:r>
        <w:rPr>
          <w:rStyle w:val="34"/>
        </w:rPr>
        <w:t>9.1名词术语</w:t>
      </w:r>
      <w:r>
        <w:tab/>
      </w:r>
      <w:r>
        <w:fldChar w:fldCharType="begin"/>
      </w:r>
      <w:r>
        <w:instrText xml:space="preserve"> PAGEREF _Toc126335878 \h </w:instrText>
      </w:r>
      <w:r>
        <w:fldChar w:fldCharType="separate"/>
      </w:r>
      <w:r>
        <w:t>42</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"_Toc126335879" </w:instrText>
      </w:r>
      <w:r>
        <w:fldChar w:fldCharType="separate"/>
      </w:r>
      <w:r>
        <w:rPr>
          <w:rStyle w:val="34"/>
        </w:rPr>
        <w:t>9.2预案解释权属</w:t>
      </w:r>
      <w:r>
        <w:tab/>
      </w:r>
      <w:r>
        <w:fldChar w:fldCharType="begin"/>
      </w:r>
      <w:r>
        <w:instrText xml:space="preserve"> PAGEREF _Toc126335879 \h </w:instrText>
      </w:r>
      <w:r>
        <w:fldChar w:fldCharType="separate"/>
      </w:r>
      <w:r>
        <w:t>43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"_Toc126335880" </w:instrText>
      </w:r>
      <w:r>
        <w:fldChar w:fldCharType="separate"/>
      </w:r>
      <w:r>
        <w:rPr>
          <w:rStyle w:val="34"/>
        </w:rPr>
        <w:t>9.3预案演练</w:t>
      </w:r>
      <w:r>
        <w:tab/>
      </w:r>
      <w:r>
        <w:fldChar w:fldCharType="begin"/>
      </w:r>
      <w:r>
        <w:instrText xml:space="preserve"> PAGEREF _Toc126335880 \h </w:instrText>
      </w:r>
      <w:r>
        <w:fldChar w:fldCharType="separate"/>
      </w:r>
      <w:r>
        <w:t>43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"_Toc126335881" </w:instrText>
      </w:r>
      <w:r>
        <w:fldChar w:fldCharType="separate"/>
      </w:r>
      <w:r>
        <w:rPr>
          <w:rStyle w:val="34"/>
        </w:rPr>
        <w:t>9.4预案修订</w:t>
      </w:r>
      <w:r>
        <w:tab/>
      </w:r>
      <w:r>
        <w:fldChar w:fldCharType="begin"/>
      </w:r>
      <w:r>
        <w:instrText xml:space="preserve"> PAGEREF _Toc126335881 \h </w:instrText>
      </w:r>
      <w:r>
        <w:fldChar w:fldCharType="separate"/>
      </w:r>
      <w:r>
        <w:t>46</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"_Toc126335882" </w:instrText>
      </w:r>
      <w:r>
        <w:fldChar w:fldCharType="separate"/>
      </w:r>
      <w:r>
        <w:rPr>
          <w:rStyle w:val="34"/>
        </w:rPr>
        <w:t>9.5预案实施日期</w:t>
      </w:r>
      <w:r>
        <w:tab/>
      </w:r>
      <w:r>
        <w:fldChar w:fldCharType="begin"/>
      </w:r>
      <w:r>
        <w:instrText xml:space="preserve"> PAGEREF _Toc126335882 \h </w:instrText>
      </w:r>
      <w:r>
        <w:fldChar w:fldCharType="separate"/>
      </w:r>
      <w:r>
        <w:t>46</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"_Toc126335883" </w:instrText>
      </w:r>
      <w:r>
        <w:fldChar w:fldCharType="separate"/>
      </w:r>
      <w:r>
        <w:rPr>
          <w:rStyle w:val="34"/>
        </w:rPr>
        <w:t>附表</w:t>
      </w:r>
      <w:r>
        <w:tab/>
      </w:r>
      <w:r>
        <w:fldChar w:fldCharType="begin"/>
      </w:r>
      <w:r>
        <w:instrText xml:space="preserve"> PAGEREF _Toc126335883 \h </w:instrText>
      </w:r>
      <w:r>
        <w:fldChar w:fldCharType="separate"/>
      </w:r>
      <w:r>
        <w:t>47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"_Toc126335884" </w:instrText>
      </w:r>
      <w:r>
        <w:fldChar w:fldCharType="separate"/>
      </w:r>
      <w:r>
        <w:rPr>
          <w:rStyle w:val="34"/>
        </w:rPr>
        <w:t>附表1  红旗水库水源地应急指挥部成员联系方式</w:t>
      </w:r>
      <w:r>
        <w:tab/>
      </w:r>
      <w:r>
        <w:fldChar w:fldCharType="begin"/>
      </w:r>
      <w:r>
        <w:instrText xml:space="preserve"> PAGEREF _Toc126335884 \h </w:instrText>
      </w:r>
      <w:r>
        <w:fldChar w:fldCharType="separate"/>
      </w:r>
      <w:r>
        <w:t>47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"_Toc126335885" </w:instrText>
      </w:r>
      <w:r>
        <w:fldChar w:fldCharType="separate"/>
      </w:r>
      <w:r>
        <w:rPr>
          <w:rStyle w:val="34"/>
        </w:rPr>
        <w:t>附表2  垫江县应急物资储备情况</w:t>
      </w:r>
      <w:r>
        <w:tab/>
      </w:r>
      <w:r>
        <w:fldChar w:fldCharType="begin"/>
      </w:r>
      <w:r>
        <w:instrText xml:space="preserve"> PAGEREF _Toc126335885 \h </w:instrText>
      </w:r>
      <w:r>
        <w:fldChar w:fldCharType="separate"/>
      </w:r>
      <w:r>
        <w:t>49</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"_Toc126335886" </w:instrText>
      </w:r>
      <w:r>
        <w:fldChar w:fldCharType="separate"/>
      </w:r>
      <w:r>
        <w:rPr>
          <w:rStyle w:val="34"/>
        </w:rPr>
        <w:t>附表3  红旗水库水源地管理站应急物资储备情况</w:t>
      </w:r>
      <w:r>
        <w:tab/>
      </w:r>
      <w:r>
        <w:fldChar w:fldCharType="begin"/>
      </w:r>
      <w:r>
        <w:instrText xml:space="preserve"> PAGEREF _Toc126335886 \h </w:instrText>
      </w:r>
      <w:r>
        <w:fldChar w:fldCharType="separate"/>
      </w:r>
      <w:r>
        <w:t>53</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"_Toc126335887" </w:instrText>
      </w:r>
      <w:r>
        <w:fldChar w:fldCharType="separate"/>
      </w:r>
      <w:r>
        <w:rPr>
          <w:rStyle w:val="34"/>
        </w:rPr>
        <w:t>附表4  重庆澜泉供水有限公司新民分公司现有应急物资与装备一览表</w:t>
      </w:r>
      <w:r>
        <w:tab/>
      </w:r>
      <w:r>
        <w:fldChar w:fldCharType="begin"/>
      </w:r>
      <w:r>
        <w:instrText xml:space="preserve"> PAGEREF _Toc126335887 \h </w:instrText>
      </w:r>
      <w:r>
        <w:fldChar w:fldCharType="separate"/>
      </w:r>
      <w:r>
        <w:t>54</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"_Toc126335888" </w:instrText>
      </w:r>
      <w:r>
        <w:fldChar w:fldCharType="separate"/>
      </w:r>
      <w:r>
        <w:rPr>
          <w:rStyle w:val="34"/>
        </w:rPr>
        <w:t>附表5  沙坪镇人民政府环境应急物资</w:t>
      </w:r>
      <w:r>
        <w:tab/>
      </w:r>
      <w:r>
        <w:fldChar w:fldCharType="begin"/>
      </w:r>
      <w:r>
        <w:instrText xml:space="preserve"> PAGEREF _Toc126335888 \h </w:instrText>
      </w:r>
      <w:r>
        <w:fldChar w:fldCharType="separate"/>
      </w:r>
      <w:r>
        <w:t>55</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"_Toc126335889" </w:instrText>
      </w:r>
      <w:r>
        <w:fldChar w:fldCharType="separate"/>
      </w:r>
      <w:r>
        <w:rPr>
          <w:rStyle w:val="34"/>
        </w:rPr>
        <w:t>附表6  红旗水库水源地监测断面水质超标环境事件应急卡</w:t>
      </w:r>
      <w:r>
        <w:tab/>
      </w:r>
      <w:r>
        <w:fldChar w:fldCharType="begin"/>
      </w:r>
      <w:r>
        <w:instrText xml:space="preserve"> PAGEREF _Toc126335889 \h </w:instrText>
      </w:r>
      <w:r>
        <w:fldChar w:fldCharType="separate"/>
      </w:r>
      <w:r>
        <w:t>56</w:t>
      </w:r>
      <w:r>
        <w:fldChar w:fldCharType="end"/>
      </w:r>
      <w:r>
        <w:fldChar w:fldCharType="end"/>
      </w:r>
    </w:p>
    <w:p>
      <w:pPr>
        <w:pStyle w:val="19"/>
        <w:tabs>
          <w:tab w:val="right" w:leader="dot" w:pos="8835"/>
        </w:tabs>
        <w:ind w:firstLine="0" w:firstLineChars="0"/>
        <w:rPr>
          <w:rFonts w:asciiTheme="minorHAnsi" w:hAnsiTheme="minorHAnsi" w:eastAsiaTheme="minorEastAsia" w:cstheme="minorBidi"/>
          <w:sz w:val="21"/>
          <w:szCs w:val="22"/>
        </w:rPr>
      </w:pPr>
      <w:r>
        <w:fldChar w:fldCharType="begin"/>
      </w:r>
      <w:r>
        <w:instrText xml:space="preserve"> HYPERLINK \l "_Toc126335890" </w:instrText>
      </w:r>
      <w:r>
        <w:fldChar w:fldCharType="separate"/>
      </w:r>
      <w:r>
        <w:rPr>
          <w:rStyle w:val="34"/>
        </w:rPr>
        <w:t>附图</w:t>
      </w:r>
      <w:r>
        <w:tab/>
      </w:r>
      <w:r>
        <w:fldChar w:fldCharType="begin"/>
      </w:r>
      <w:r>
        <w:instrText xml:space="preserve"> PAGEREF _Toc126335890 \h </w:instrText>
      </w:r>
      <w:r>
        <w:fldChar w:fldCharType="separate"/>
      </w:r>
      <w:r>
        <w:t>57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"_Toc126335891" </w:instrText>
      </w:r>
      <w:r>
        <w:fldChar w:fldCharType="separate"/>
      </w:r>
      <w:r>
        <w:rPr>
          <w:rStyle w:val="34"/>
        </w:rPr>
        <w:t>附图1  红旗水库水源地保护区范围及位置示意图</w:t>
      </w:r>
      <w:r>
        <w:tab/>
      </w:r>
      <w:r>
        <w:fldChar w:fldCharType="begin"/>
      </w:r>
      <w:r>
        <w:instrText xml:space="preserve"> PAGEREF _Toc126335891 \h </w:instrText>
      </w:r>
      <w:r>
        <w:fldChar w:fldCharType="separate"/>
      </w:r>
      <w:r>
        <w:t>57</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"_Toc126335892" </w:instrText>
      </w:r>
      <w:r>
        <w:fldChar w:fldCharType="separate"/>
      </w:r>
      <w:r>
        <w:rPr>
          <w:rStyle w:val="34"/>
        </w:rPr>
        <w:t>附图2  红旗水库水源地汇水区范围示意图</w:t>
      </w:r>
      <w:r>
        <w:tab/>
      </w:r>
      <w:r>
        <w:fldChar w:fldCharType="begin"/>
      </w:r>
      <w:r>
        <w:instrText xml:space="preserve"> PAGEREF _Toc126335892 \h </w:instrText>
      </w:r>
      <w:r>
        <w:fldChar w:fldCharType="separate"/>
      </w:r>
      <w:r>
        <w:t>58</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"_Toc126335893" </w:instrText>
      </w:r>
      <w:r>
        <w:fldChar w:fldCharType="separate"/>
      </w:r>
      <w:r>
        <w:rPr>
          <w:rStyle w:val="34"/>
        </w:rPr>
        <w:t>附图3  红旗水库水源地周边非点源示意图</w:t>
      </w:r>
      <w:r>
        <w:tab/>
      </w:r>
      <w:r>
        <w:fldChar w:fldCharType="begin"/>
      </w:r>
      <w:r>
        <w:instrText xml:space="preserve"> PAGEREF _Toc126335893 \h </w:instrText>
      </w:r>
      <w:r>
        <w:fldChar w:fldCharType="separate"/>
      </w:r>
      <w:r>
        <w:t>59</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"_Toc126335894" </w:instrText>
      </w:r>
      <w:r>
        <w:fldChar w:fldCharType="separate"/>
      </w:r>
      <w:r>
        <w:rPr>
          <w:rStyle w:val="34"/>
        </w:rPr>
        <w:t>附件4  红旗水库水源地周边流动源分布示意图</w:t>
      </w:r>
      <w:r>
        <w:tab/>
      </w:r>
      <w:r>
        <w:fldChar w:fldCharType="begin"/>
      </w:r>
      <w:r>
        <w:instrText xml:space="preserve"> PAGEREF _Toc126335894 \h </w:instrText>
      </w:r>
      <w:r>
        <w:fldChar w:fldCharType="separate"/>
      </w:r>
      <w:r>
        <w:t>60</w:t>
      </w:r>
      <w:r>
        <w:fldChar w:fldCharType="end"/>
      </w:r>
      <w:r>
        <w:fldChar w:fldCharType="end"/>
      </w:r>
    </w:p>
    <w:p>
      <w:pPr>
        <w:pStyle w:val="23"/>
        <w:tabs>
          <w:tab w:val="right" w:leader="dot" w:pos="8835"/>
        </w:tabs>
        <w:ind w:left="632" w:firstLine="0" w:firstLineChars="0"/>
        <w:rPr>
          <w:rFonts w:asciiTheme="minorHAnsi" w:hAnsiTheme="minorHAnsi" w:eastAsiaTheme="minorEastAsia" w:cstheme="minorBidi"/>
          <w:sz w:val="21"/>
          <w:szCs w:val="22"/>
        </w:rPr>
      </w:pPr>
      <w:r>
        <w:fldChar w:fldCharType="begin"/>
      </w:r>
      <w:r>
        <w:instrText xml:space="preserve"> HYPERLINK \l "_Toc126335895" </w:instrText>
      </w:r>
      <w:r>
        <w:fldChar w:fldCharType="separate"/>
      </w:r>
      <w:r>
        <w:rPr>
          <w:rStyle w:val="34"/>
        </w:rPr>
        <w:t>附图5  红旗水库水源地主要环境应急物资分布示意图</w:t>
      </w:r>
      <w:r>
        <w:tab/>
      </w:r>
      <w:r>
        <w:fldChar w:fldCharType="begin"/>
      </w:r>
      <w:r>
        <w:instrText xml:space="preserve"> PAGEREF _Toc126335895 \h </w:instrText>
      </w:r>
      <w:r>
        <w:fldChar w:fldCharType="separate"/>
      </w:r>
      <w:r>
        <w:t>61</w:t>
      </w:r>
      <w:r>
        <w:fldChar w:fldCharType="end"/>
      </w:r>
      <w:r>
        <w:fldChar w:fldCharType="end"/>
      </w:r>
    </w:p>
    <w:p>
      <w:pPr>
        <w:pStyle w:val="23"/>
        <w:tabs>
          <w:tab w:val="right" w:leader="dot" w:pos="8835"/>
        </w:tabs>
        <w:ind w:left="632" w:firstLine="632"/>
        <w:rPr>
          <w:rFonts w:asciiTheme="minorHAnsi" w:hAnsiTheme="minorHAnsi" w:eastAsiaTheme="minorEastAsia" w:cstheme="minorBidi"/>
          <w:sz w:val="21"/>
          <w:szCs w:val="22"/>
        </w:rPr>
      </w:pPr>
      <w:r>
        <w:fldChar w:fldCharType="begin"/>
      </w:r>
      <w:r>
        <w:instrText xml:space="preserve"> HYPERLINK \l "_Toc126335896" </w:instrText>
      </w:r>
      <w:r>
        <w:fldChar w:fldCharType="separate"/>
      </w:r>
      <w:r>
        <w:rPr>
          <w:rStyle w:val="34"/>
        </w:rPr>
        <w:t>附图6  红旗水库水源地突发环境事件应急流程图</w:t>
      </w:r>
      <w:r>
        <w:tab/>
      </w:r>
      <w:r>
        <w:fldChar w:fldCharType="begin"/>
      </w:r>
      <w:r>
        <w:instrText xml:space="preserve"> PAGEREF _Toc126335896 \h </w:instrText>
      </w:r>
      <w:r>
        <w:fldChar w:fldCharType="separate"/>
      </w:r>
      <w:r>
        <w:t>62</w:t>
      </w:r>
      <w:r>
        <w:fldChar w:fldCharType="end"/>
      </w:r>
      <w:r>
        <w:fldChar w:fldCharType="end"/>
      </w:r>
    </w:p>
    <w:p>
      <w:pPr>
        <w:ind w:firstLine="0" w:firstLineChars="0"/>
        <w:sectPr>
          <w:footerReference r:id="rId13" w:type="first"/>
          <w:footerReference r:id="rId11" w:type="default"/>
          <w:footerReference r:id="rId12" w:type="even"/>
          <w:pgSz w:w="11907" w:h="16840"/>
          <w:pgMar w:top="2098" w:right="1474" w:bottom="1984" w:left="1588" w:header="851" w:footer="1474" w:gutter="0"/>
          <w:pgNumType w:fmt="upperRoman" w:start="1"/>
          <w:cols w:space="720" w:num="1"/>
          <w:titlePg/>
          <w:docGrid w:type="linesAndChars" w:linePitch="579" w:charSpace="-842"/>
        </w:sectPr>
      </w:pPr>
      <w:r>
        <w:rPr>
          <w:rFonts w:eastAsia="宋体"/>
          <w:kern w:val="0"/>
          <w:szCs w:val="32"/>
        </w:rPr>
        <w:fldChar w:fldCharType="end"/>
      </w:r>
    </w:p>
    <w:p>
      <w:pPr>
        <w:pStyle w:val="3"/>
        <w:ind w:firstLine="632"/>
      </w:pPr>
      <w:bookmarkStart w:id="1" w:name="_Toc126335834"/>
      <w:bookmarkStart w:id="2" w:name="_Toc116914438"/>
      <w:r>
        <w:rPr>
          <w:rFonts w:hint="eastAsia"/>
        </w:rPr>
        <w:t>1</w:t>
      </w:r>
      <w:r>
        <w:t>预案总则</w:t>
      </w:r>
      <w:bookmarkEnd w:id="0"/>
      <w:bookmarkEnd w:id="1"/>
      <w:bookmarkEnd w:id="2"/>
    </w:p>
    <w:p>
      <w:pPr>
        <w:pStyle w:val="4"/>
        <w:ind w:firstLine="632"/>
      </w:pPr>
      <w:bookmarkStart w:id="3" w:name="_Toc126335835"/>
      <w:bookmarkStart w:id="4" w:name="_Toc44411281"/>
      <w:bookmarkStart w:id="5" w:name="_Toc116914439"/>
      <w:r>
        <w:rPr>
          <w:rFonts w:hint="eastAsia"/>
        </w:rPr>
        <w:t>1</w:t>
      </w:r>
      <w:r>
        <w:t>.1编制目的</w:t>
      </w:r>
      <w:bookmarkEnd w:id="3"/>
      <w:bookmarkEnd w:id="4"/>
      <w:bookmarkEnd w:id="5"/>
    </w:p>
    <w:p>
      <w:pPr>
        <w:ind w:firstLine="632"/>
      </w:pPr>
      <w:r>
        <w:t>为预防和及时有效地应对</w:t>
      </w:r>
      <w:r>
        <w:rPr>
          <w:rFonts w:hint="eastAsia"/>
        </w:rPr>
        <w:t>垫江县沙坪镇红旗水库沙坪水厂水源地（以下简称“红旗水库水源地”）</w:t>
      </w:r>
      <w:r>
        <w:t>突发环境事件，保障辖区人民群众饮水安全和公众健康，全面提高饮用水水源地突发环境事件的防范和处置能力，最大限度地保护水环境，特制订本预案。</w:t>
      </w:r>
    </w:p>
    <w:p>
      <w:pPr>
        <w:pStyle w:val="4"/>
        <w:ind w:firstLine="632"/>
      </w:pPr>
      <w:bookmarkStart w:id="6" w:name="_Toc126335836"/>
      <w:bookmarkStart w:id="7" w:name="_Toc44411282"/>
      <w:bookmarkStart w:id="8" w:name="_Toc116914440"/>
      <w:r>
        <w:rPr>
          <w:rFonts w:hint="eastAsia"/>
        </w:rPr>
        <w:t>1</w:t>
      </w:r>
      <w:r>
        <w:t>.2编制依据</w:t>
      </w:r>
      <w:bookmarkEnd w:id="6"/>
      <w:bookmarkEnd w:id="7"/>
      <w:bookmarkEnd w:id="8"/>
    </w:p>
    <w:p>
      <w:pPr>
        <w:pStyle w:val="5"/>
        <w:ind w:firstLine="632"/>
      </w:pPr>
      <w:bookmarkStart w:id="9" w:name="_Toc525226216"/>
      <w:bookmarkStart w:id="10" w:name="_Toc525386515"/>
      <w:bookmarkStart w:id="11" w:name="_Toc28468"/>
      <w:bookmarkStart w:id="12" w:name="_Toc44411283"/>
      <w:bookmarkStart w:id="13" w:name="_Toc44411286"/>
      <w:r>
        <w:t>1.2.1国家法律法规及标准</w:t>
      </w:r>
      <w:bookmarkEnd w:id="9"/>
      <w:bookmarkEnd w:id="10"/>
      <w:bookmarkEnd w:id="11"/>
      <w:bookmarkEnd w:id="12"/>
    </w:p>
    <w:p>
      <w:pPr>
        <w:ind w:firstLine="632"/>
      </w:pPr>
      <w:r>
        <w:t>（1）《中华人民共和国环境保护法》（2015年1月1日施行）；</w:t>
      </w:r>
    </w:p>
    <w:p>
      <w:pPr>
        <w:ind w:firstLine="632"/>
      </w:pPr>
      <w:r>
        <w:t>（2）《中华人民共和国突发事件应对法》（2007年11月1日起施行）；</w:t>
      </w:r>
    </w:p>
    <w:p>
      <w:pPr>
        <w:ind w:firstLine="632"/>
      </w:pPr>
      <w:r>
        <w:t>（3）《中华人民共和国水污染防治法》（2017年6月修订）；</w:t>
      </w:r>
    </w:p>
    <w:p>
      <w:pPr>
        <w:ind w:firstLine="632"/>
      </w:pPr>
      <w:r>
        <w:rPr>
          <w:rFonts w:hint="eastAsia"/>
        </w:rPr>
        <w:t>（</w:t>
      </w:r>
      <w:r>
        <w:t>4</w:t>
      </w:r>
      <w:r>
        <w:rPr>
          <w:rFonts w:hint="eastAsia"/>
        </w:rPr>
        <w:t>）《中华人民共和国安全生产法》</w:t>
      </w:r>
      <w:bookmarkStart w:id="14" w:name="_Hlk126597176"/>
      <w:r>
        <w:rPr>
          <w:rFonts w:hint="eastAsia"/>
        </w:rPr>
        <w:t>（</w:t>
      </w:r>
      <w:r>
        <w:t>2021</w:t>
      </w:r>
      <w:r>
        <w:rPr>
          <w:rFonts w:hint="eastAsia"/>
        </w:rPr>
        <w:t>年修订）</w:t>
      </w:r>
      <w:bookmarkEnd w:id="14"/>
      <w:r>
        <w:rPr>
          <w:rFonts w:hint="eastAsia"/>
        </w:rPr>
        <w:t>；</w:t>
      </w:r>
    </w:p>
    <w:p>
      <w:pPr>
        <w:ind w:firstLine="632"/>
      </w:pPr>
      <w:r>
        <w:t>（5）《危险化学品安全管理条例》（国务院令第591号）；</w:t>
      </w:r>
    </w:p>
    <w:p>
      <w:pPr>
        <w:ind w:firstLine="632"/>
      </w:pPr>
      <w:r>
        <w:t>（6）《国家突发环境事件应急预案》（国办函〔2014〕119号）；</w:t>
      </w:r>
    </w:p>
    <w:p>
      <w:pPr>
        <w:ind w:firstLine="632"/>
      </w:pPr>
      <w:r>
        <w:t>（7）《饮用水水源保护区污染防治管理规定》（环境保护部令第16号）；</w:t>
      </w:r>
    </w:p>
    <w:p>
      <w:pPr>
        <w:ind w:firstLine="632"/>
      </w:pPr>
      <w:r>
        <w:t>（8）《突发环境事件信息报告办法》（环境保护部令第17号）；</w:t>
      </w:r>
    </w:p>
    <w:p>
      <w:pPr>
        <w:ind w:firstLine="632"/>
      </w:pPr>
      <w:r>
        <w:t>（9）《突发环境事件调查处理办法》（环境保护部令第32号）；</w:t>
      </w:r>
    </w:p>
    <w:p>
      <w:pPr>
        <w:ind w:firstLine="632"/>
      </w:pPr>
      <w:r>
        <w:t>（10）《突发环境事件应急管理办法》（环境保护部令第34号）；</w:t>
      </w:r>
    </w:p>
    <w:p>
      <w:pPr>
        <w:ind w:firstLine="632"/>
      </w:pPr>
      <w:r>
        <w:t>（11）《集中式地表水饮用水水源地突发环境事件应急预案编制指南（试行）》（中华人民共和国生态环境部公告2018年第1号）；</w:t>
      </w:r>
    </w:p>
    <w:p>
      <w:pPr>
        <w:ind w:firstLine="632"/>
      </w:pPr>
      <w:r>
        <w:t>（12）《</w:t>
      </w:r>
      <w:r>
        <w:fldChar w:fldCharType="begin"/>
      </w:r>
      <w:r>
        <w:instrText xml:space="preserve"> HYPERLINK "http://baike.baidu.com/view/436500.htm" \l "2#2" </w:instrText>
      </w:r>
      <w:r>
        <w:fldChar w:fldCharType="separate"/>
      </w:r>
      <w:r>
        <w:t>城市供水水质管理规定</w:t>
      </w:r>
      <w:r>
        <w:fldChar w:fldCharType="end"/>
      </w:r>
      <w:r>
        <w:t>》（建设部令第156号）；</w:t>
      </w:r>
    </w:p>
    <w:p>
      <w:pPr>
        <w:ind w:firstLine="632"/>
      </w:pPr>
      <w:r>
        <w:t>（13）《生活饮用水卫生监督管理办法》（住房城乡建设部、国家卫生计生委令第31号）；</w:t>
      </w:r>
    </w:p>
    <w:p>
      <w:pPr>
        <w:ind w:firstLine="632"/>
      </w:pPr>
      <w:r>
        <w:rPr>
          <w:rFonts w:hint="eastAsia"/>
        </w:rPr>
        <w:t>（</w:t>
      </w:r>
      <w:r>
        <w:t>14</w:t>
      </w:r>
      <w:r>
        <w:rPr>
          <w:rFonts w:hint="eastAsia"/>
        </w:rPr>
        <w:t>）</w:t>
      </w:r>
      <w:bookmarkStart w:id="15" w:name="_Hlk126597195"/>
      <w:r>
        <w:rPr>
          <w:rFonts w:hint="eastAsia"/>
        </w:rPr>
        <w:t>《集中式地表饮用水水源地环境应急管理工作指南</w:t>
      </w:r>
      <w:bookmarkStart w:id="16" w:name="_Hlk126598153"/>
      <w:r>
        <w:rPr>
          <w:rFonts w:hint="eastAsia"/>
        </w:rPr>
        <w:t>（试行）</w:t>
      </w:r>
      <w:bookmarkEnd w:id="16"/>
      <w:r>
        <w:rPr>
          <w:rFonts w:hint="eastAsia"/>
        </w:rPr>
        <w:t>》（环办〔</w:t>
      </w:r>
      <w:r>
        <w:t>2011</w:t>
      </w:r>
      <w:r>
        <w:rPr>
          <w:rFonts w:hint="eastAsia"/>
        </w:rPr>
        <w:t>〕</w:t>
      </w:r>
      <w:r>
        <w:t>93</w:t>
      </w:r>
      <w:r>
        <w:rPr>
          <w:rFonts w:hint="eastAsia"/>
        </w:rPr>
        <w:t>号）</w:t>
      </w:r>
      <w:bookmarkEnd w:id="15"/>
      <w:r>
        <w:rPr>
          <w:rFonts w:hint="eastAsia"/>
        </w:rPr>
        <w:t>；</w:t>
      </w:r>
    </w:p>
    <w:p>
      <w:pPr>
        <w:ind w:firstLine="632"/>
      </w:pPr>
      <w:r>
        <w:t>（15）《突发环境事件应急预案管理暂行办法》（环发〔2010〕113号）；</w:t>
      </w:r>
    </w:p>
    <w:p>
      <w:pPr>
        <w:ind w:firstLine="632"/>
      </w:pPr>
      <w:r>
        <w:t>（16）《集中式饮用水水源环境保护指南（试行）》（环办〔2012〕50号）；</w:t>
      </w:r>
    </w:p>
    <w:p>
      <w:pPr>
        <w:ind w:firstLine="632"/>
      </w:pPr>
      <w:r>
        <w:t>（17）《地表水环境质量标准》（GB3838-2002）；</w:t>
      </w:r>
    </w:p>
    <w:p>
      <w:pPr>
        <w:ind w:firstLine="632"/>
      </w:pPr>
      <w:r>
        <w:t>（18）《突发环境事件应急监测技术规范》（HJ589-2021）；</w:t>
      </w:r>
    </w:p>
    <w:p>
      <w:pPr>
        <w:ind w:firstLine="632"/>
      </w:pPr>
      <w:r>
        <w:t>（19）《集中式饮用水水源地规范化建设环境保护技术要求》（HJ773-2015）；</w:t>
      </w:r>
    </w:p>
    <w:p>
      <w:pPr>
        <w:ind w:firstLine="632"/>
      </w:pPr>
      <w:r>
        <w:t>（20）《集中式饮用水水源地环境保护状况评估技术规范》（HJ774-2015）；</w:t>
      </w:r>
    </w:p>
    <w:p>
      <w:pPr>
        <w:ind w:firstLine="632"/>
      </w:pPr>
      <w:r>
        <w:t>（21）《企业突发环境事件风险分级方法》（HJ941-2018）。</w:t>
      </w:r>
    </w:p>
    <w:p>
      <w:pPr>
        <w:pStyle w:val="5"/>
        <w:ind w:firstLine="632"/>
      </w:pPr>
      <w:bookmarkStart w:id="17" w:name="_Toc26660"/>
      <w:bookmarkStart w:id="18" w:name="_Toc44411284"/>
      <w:r>
        <w:t>1.2.2市级法律法规</w:t>
      </w:r>
      <w:bookmarkEnd w:id="17"/>
      <w:bookmarkEnd w:id="18"/>
      <w:bookmarkStart w:id="19" w:name="_Hlk121217245"/>
      <w:r>
        <w:rPr>
          <w:rFonts w:hint="eastAsia"/>
        </w:rPr>
        <w:t>及相关规范文件</w:t>
      </w:r>
      <w:bookmarkEnd w:id="19"/>
    </w:p>
    <w:p>
      <w:pPr>
        <w:ind w:firstLine="632"/>
        <w:rPr>
          <w:szCs w:val="32"/>
          <w:shd w:val="clear" w:color="auto" w:fill="FFFFFF"/>
        </w:rPr>
      </w:pPr>
      <w:r>
        <w:rPr>
          <w:szCs w:val="32"/>
          <w:shd w:val="clear" w:color="auto" w:fill="FFFFFF"/>
        </w:rPr>
        <w:t>（1）</w:t>
      </w:r>
      <w:r>
        <w:rPr>
          <w:rFonts w:hint="eastAsia"/>
          <w:szCs w:val="32"/>
          <w:shd w:val="clear" w:color="auto" w:fill="FFFFFF"/>
        </w:rPr>
        <w:t>《重庆市环境保护条例》（2022年9月28日修正）</w:t>
      </w:r>
      <w:r>
        <w:rPr>
          <w:szCs w:val="32"/>
          <w:shd w:val="clear" w:color="auto" w:fill="FFFFFF"/>
        </w:rPr>
        <w:t>；</w:t>
      </w:r>
    </w:p>
    <w:p>
      <w:pPr>
        <w:ind w:firstLine="632"/>
        <w:rPr>
          <w:szCs w:val="32"/>
          <w:shd w:val="clear" w:color="auto" w:fill="FFFFFF"/>
        </w:rPr>
      </w:pPr>
      <w:r>
        <w:rPr>
          <w:rFonts w:hint="eastAsia"/>
          <w:szCs w:val="32"/>
          <w:shd w:val="clear" w:color="auto" w:fill="FFFFFF"/>
        </w:rPr>
        <w:t>（2）《重庆市突发事件应急预案管理实施办法》（渝府办发〔2022〕37号）</w:t>
      </w:r>
    </w:p>
    <w:p>
      <w:pPr>
        <w:ind w:firstLine="632"/>
        <w:rPr>
          <w:szCs w:val="32"/>
          <w:shd w:val="clear" w:color="auto" w:fill="FFFFFF"/>
        </w:rPr>
      </w:pPr>
      <w:r>
        <w:rPr>
          <w:szCs w:val="32"/>
          <w:shd w:val="clear" w:color="auto" w:fill="FFFFFF"/>
        </w:rPr>
        <w:t>（3）《重庆市突发事件应对条例》（2012年7月1日）；</w:t>
      </w:r>
    </w:p>
    <w:p>
      <w:pPr>
        <w:ind w:firstLine="632"/>
        <w:rPr>
          <w:szCs w:val="32"/>
          <w:shd w:val="clear" w:color="auto" w:fill="FFFFFF"/>
        </w:rPr>
      </w:pPr>
      <w:r>
        <w:rPr>
          <w:szCs w:val="32"/>
          <w:shd w:val="clear" w:color="auto" w:fill="FFFFFF"/>
        </w:rPr>
        <w:t>（4）《重庆市突发事件预警信息发布管理办法》（渝府发〔2011〕31号）；</w:t>
      </w:r>
    </w:p>
    <w:p>
      <w:pPr>
        <w:ind w:firstLine="632"/>
        <w:rPr>
          <w:szCs w:val="32"/>
          <w:shd w:val="clear" w:color="auto" w:fill="FFFFFF"/>
        </w:rPr>
      </w:pPr>
      <w:r>
        <w:rPr>
          <w:szCs w:val="32"/>
          <w:shd w:val="clear" w:color="auto" w:fill="FFFFFF"/>
        </w:rPr>
        <w:t>（5）《重庆市饮用水源保护区划分规定》（渝府发〔2002〕83号）；</w:t>
      </w:r>
    </w:p>
    <w:p>
      <w:pPr>
        <w:ind w:firstLine="632"/>
        <w:rPr>
          <w:szCs w:val="32"/>
          <w:shd w:val="clear" w:color="auto" w:fill="FFFFFF"/>
        </w:rPr>
      </w:pPr>
      <w:r>
        <w:rPr>
          <w:szCs w:val="32"/>
          <w:shd w:val="clear" w:color="auto" w:fill="FFFFFF"/>
        </w:rPr>
        <w:t>（6）《重庆市突发环境事件应急预案》（渝府办发〔2016〕22号）；</w:t>
      </w:r>
    </w:p>
    <w:p>
      <w:pPr>
        <w:ind w:firstLine="632"/>
        <w:rPr>
          <w:szCs w:val="32"/>
          <w:shd w:val="clear" w:color="auto" w:fill="FFFFFF"/>
        </w:rPr>
      </w:pPr>
      <w:bookmarkStart w:id="20" w:name="_Hlk121217264"/>
      <w:bookmarkStart w:id="21" w:name="_Hlk121230259"/>
      <w:r>
        <w:rPr>
          <w:rFonts w:hint="eastAsia"/>
        </w:rPr>
        <w:t>（</w:t>
      </w:r>
      <w:r>
        <w:t>7</w:t>
      </w:r>
      <w:r>
        <w:rPr>
          <w:rFonts w:hint="eastAsia"/>
        </w:rPr>
        <w:t>）</w:t>
      </w:r>
      <w:r>
        <w:t>《长江三峡库区重庆流域突发水环境污染事件应急预案》</w:t>
      </w:r>
      <w:r>
        <w:rPr>
          <w:rFonts w:hint="eastAsia"/>
        </w:rPr>
        <w:t>（渝府办发〔2017〕9号）；</w:t>
      </w:r>
      <w:bookmarkEnd w:id="20"/>
    </w:p>
    <w:p>
      <w:pPr>
        <w:pStyle w:val="28"/>
        <w:ind w:firstLine="632"/>
      </w:pPr>
      <w:r>
        <w:rPr>
          <w:rFonts w:hint="eastAsia" w:ascii="Times New Roman" w:eastAsia="方正仿宋_GBK"/>
          <w:szCs w:val="32"/>
          <w:shd w:val="clear" w:color="auto" w:fill="FFFFFF"/>
        </w:rPr>
        <w:t>（</w:t>
      </w:r>
      <w:r>
        <w:rPr>
          <w:rFonts w:ascii="Times New Roman" w:eastAsia="方正仿宋_GBK"/>
          <w:szCs w:val="32"/>
          <w:shd w:val="clear" w:color="auto" w:fill="FFFFFF"/>
        </w:rPr>
        <w:t>8</w:t>
      </w:r>
      <w:r>
        <w:rPr>
          <w:rFonts w:hint="eastAsia" w:ascii="Times New Roman" w:eastAsia="方正仿宋_GBK"/>
          <w:szCs w:val="32"/>
          <w:shd w:val="clear" w:color="auto" w:fill="FFFFFF"/>
        </w:rPr>
        <w:t>）</w:t>
      </w:r>
      <w:bookmarkStart w:id="22" w:name="_Hlk126597208"/>
      <w:r>
        <w:rPr>
          <w:rFonts w:hint="eastAsia" w:ascii="Times New Roman" w:eastAsia="方正仿宋_GBK"/>
          <w:szCs w:val="32"/>
          <w:shd w:val="clear" w:color="auto" w:fill="FFFFFF"/>
        </w:rPr>
        <w:t>《</w:t>
      </w:r>
      <w:bookmarkStart w:id="23" w:name="_Hlk126339194"/>
      <w:r>
        <w:rPr>
          <w:rFonts w:hint="eastAsia" w:ascii="Times New Roman" w:eastAsia="方正仿宋_GBK"/>
          <w:szCs w:val="32"/>
          <w:shd w:val="clear" w:color="auto" w:fill="FFFFFF"/>
        </w:rPr>
        <w:t>重庆市生态环境局突发环境事件应急响应工作手册（试行）</w:t>
      </w:r>
      <w:bookmarkEnd w:id="23"/>
      <w:r>
        <w:rPr>
          <w:rFonts w:hint="eastAsia" w:ascii="Times New Roman" w:eastAsia="方正仿宋_GBK"/>
          <w:szCs w:val="32"/>
          <w:shd w:val="clear" w:color="auto" w:fill="FFFFFF"/>
        </w:rPr>
        <w:t>》</w:t>
      </w:r>
      <w:bookmarkEnd w:id="22"/>
      <w:r>
        <w:rPr>
          <w:rFonts w:hint="eastAsia" w:ascii="Times New Roman" w:eastAsia="方正仿宋_GBK"/>
          <w:szCs w:val="32"/>
          <w:shd w:val="clear" w:color="auto" w:fill="FFFFFF"/>
        </w:rPr>
        <w:t>。</w:t>
      </w:r>
      <w:bookmarkEnd w:id="21"/>
    </w:p>
    <w:p>
      <w:pPr>
        <w:pStyle w:val="5"/>
        <w:ind w:firstLine="632"/>
      </w:pPr>
      <w:bookmarkStart w:id="24" w:name="_Toc6297"/>
      <w:bookmarkStart w:id="25" w:name="_Toc44411285"/>
      <w:r>
        <w:t>1.2.3</w:t>
      </w:r>
      <w:bookmarkEnd w:id="24"/>
      <w:bookmarkEnd w:id="25"/>
      <w:r>
        <w:rPr>
          <w:rFonts w:hint="eastAsia"/>
        </w:rPr>
        <w:t>其他参考资料</w:t>
      </w:r>
    </w:p>
    <w:p>
      <w:pPr>
        <w:ind w:firstLine="632"/>
      </w:pPr>
      <w:r>
        <w:rPr>
          <w:rFonts w:hint="eastAsia"/>
        </w:rPr>
        <w:t>（1）《垫江县行政区域突发环境事件风险评估报告》（202</w:t>
      </w:r>
      <w:r>
        <w:t>2</w:t>
      </w:r>
      <w:r>
        <w:rPr>
          <w:rFonts w:hint="eastAsia"/>
        </w:rPr>
        <w:t>年版）</w:t>
      </w:r>
      <w:r>
        <w:t>；</w:t>
      </w:r>
    </w:p>
    <w:p>
      <w:pPr>
        <w:ind w:firstLine="632"/>
      </w:pPr>
      <w:r>
        <w:rPr>
          <w:rFonts w:hint="eastAsia"/>
        </w:rPr>
        <w:t>（2）《垫江县突发环境事件应急预案》；</w:t>
      </w:r>
    </w:p>
    <w:p>
      <w:pPr>
        <w:ind w:firstLine="632"/>
      </w:pPr>
      <w:r>
        <w:rPr>
          <w:rFonts w:hint="eastAsia"/>
        </w:rPr>
        <w:t>（3）《重庆市垫江县集中式地表水饮用水水源地突发环境事件应急预案》（2</w:t>
      </w:r>
      <w:r>
        <w:t>019</w:t>
      </w:r>
      <w:r>
        <w:rPr>
          <w:rFonts w:hint="eastAsia"/>
        </w:rPr>
        <w:t>版）</w:t>
      </w:r>
    </w:p>
    <w:p>
      <w:pPr>
        <w:ind w:firstLine="632"/>
      </w:pPr>
      <w:r>
        <w:rPr>
          <w:rFonts w:hint="eastAsia"/>
        </w:rPr>
        <w:t>（4）《重庆市垫江县红旗水库工程初步设计报告》及图纸资料；</w:t>
      </w:r>
    </w:p>
    <w:p>
      <w:pPr>
        <w:ind w:firstLine="632"/>
      </w:pPr>
      <w:r>
        <w:rPr>
          <w:rFonts w:hint="eastAsia"/>
        </w:rPr>
        <w:t>（</w:t>
      </w:r>
      <w:r>
        <w:t>5</w:t>
      </w:r>
      <w:r>
        <w:rPr>
          <w:rFonts w:hint="eastAsia"/>
        </w:rPr>
        <w:t>）《垫江县红旗水库防汛应急预案》。</w:t>
      </w:r>
    </w:p>
    <w:p>
      <w:pPr>
        <w:pStyle w:val="4"/>
        <w:ind w:firstLine="632"/>
      </w:pPr>
      <w:bookmarkStart w:id="26" w:name="_Toc126335837"/>
      <w:bookmarkStart w:id="27" w:name="_Toc116914444"/>
      <w:r>
        <w:rPr>
          <w:rFonts w:hint="eastAsia"/>
        </w:rPr>
        <w:t>1</w:t>
      </w:r>
      <w:r>
        <w:t>.3适用情况及范围</w:t>
      </w:r>
      <w:bookmarkEnd w:id="13"/>
      <w:bookmarkEnd w:id="26"/>
      <w:bookmarkEnd w:id="27"/>
    </w:p>
    <w:p>
      <w:pPr>
        <w:pStyle w:val="5"/>
        <w:ind w:firstLine="632"/>
      </w:pPr>
      <w:r>
        <w:rPr>
          <w:rFonts w:hint="eastAsia"/>
        </w:rPr>
        <w:t>1</w:t>
      </w:r>
      <w:r>
        <w:t>.3.1本预案适用情况</w:t>
      </w:r>
    </w:p>
    <w:p>
      <w:pPr>
        <w:ind w:firstLine="640" w:firstLineChars="0"/>
        <w:rPr>
          <w:color w:val="2C2C2C"/>
        </w:rPr>
      </w:pPr>
      <w:r>
        <w:rPr>
          <w:color w:val="2C2C2C"/>
        </w:rPr>
        <w:t>（1</w:t>
      </w:r>
      <w:r>
        <w:t>）</w:t>
      </w:r>
      <w:r>
        <w:rPr>
          <w:rFonts w:hint="eastAsia"/>
        </w:rPr>
        <w:t>红旗水库水源地</w:t>
      </w:r>
      <w:r>
        <w:rPr>
          <w:color w:val="2C2C2C"/>
        </w:rPr>
        <w:t>发生</w:t>
      </w:r>
      <w:r>
        <w:t>一般突发环境事件时，</w:t>
      </w:r>
      <w:r>
        <w:rPr>
          <w:rFonts w:hint="eastAsia"/>
        </w:rPr>
        <w:t>垫江县人民政府</w:t>
      </w:r>
      <w:r>
        <w:t>授权</w:t>
      </w:r>
      <w:r>
        <w:rPr>
          <w:rFonts w:hint="eastAsia"/>
        </w:rPr>
        <w:t>沙坪镇人民政府</w:t>
      </w:r>
      <w:r>
        <w:t>负责的应急处置</w:t>
      </w:r>
      <w:r>
        <w:rPr>
          <w:color w:val="2C2C2C"/>
        </w:rPr>
        <w:t>工作；</w:t>
      </w:r>
    </w:p>
    <w:p>
      <w:pPr>
        <w:ind w:firstLine="640" w:firstLineChars="0"/>
      </w:pPr>
      <w:r>
        <w:t>（2）</w:t>
      </w:r>
      <w:r>
        <w:rPr>
          <w:rFonts w:hint="eastAsia"/>
        </w:rPr>
        <w:t>红旗水库</w:t>
      </w:r>
      <w:r>
        <w:t>水源地</w:t>
      </w:r>
      <w:r>
        <w:rPr>
          <w:color w:val="2C2C2C"/>
        </w:rPr>
        <w:t>发生</w:t>
      </w:r>
      <w:r>
        <w:t>一般突发环境事件时，</w:t>
      </w:r>
      <w:r>
        <w:rPr>
          <w:rFonts w:hint="eastAsia"/>
        </w:rPr>
        <w:t>沙坪镇人民政府</w:t>
      </w:r>
      <w:r>
        <w:t>协助</w:t>
      </w:r>
      <w:r>
        <w:rPr>
          <w:rFonts w:hint="eastAsia"/>
        </w:rPr>
        <w:t>垫江县人民政府</w:t>
      </w:r>
      <w:r>
        <w:t>授权的其他责任部门的先期应急处置工作；</w:t>
      </w:r>
    </w:p>
    <w:p>
      <w:pPr>
        <w:ind w:firstLine="640" w:firstLineChars="0"/>
      </w:pPr>
      <w:r>
        <w:t>（3）</w:t>
      </w:r>
      <w:r>
        <w:rPr>
          <w:rFonts w:hint="eastAsia"/>
        </w:rPr>
        <w:t>红旗水库水源地</w:t>
      </w:r>
      <w:r>
        <w:rPr>
          <w:color w:val="2C2C2C"/>
        </w:rPr>
        <w:t>发生</w:t>
      </w:r>
      <w:r>
        <w:t>较大饮用水水源地突发环境事件时，</w:t>
      </w:r>
      <w:r>
        <w:rPr>
          <w:rFonts w:hint="eastAsia"/>
        </w:rPr>
        <w:t>沙坪镇人民政府</w:t>
      </w:r>
      <w:r>
        <w:t>协助</w:t>
      </w:r>
      <w:r>
        <w:rPr>
          <w:rFonts w:hint="eastAsia"/>
        </w:rPr>
        <w:t>垫江县人民政府</w:t>
      </w:r>
      <w:r>
        <w:t>的先期应急处置工作；</w:t>
      </w:r>
    </w:p>
    <w:p>
      <w:pPr>
        <w:spacing w:line="560" w:lineRule="exact"/>
        <w:ind w:firstLine="632"/>
        <w:rPr>
          <w:color w:val="000000"/>
          <w:szCs w:val="32"/>
        </w:rPr>
      </w:pPr>
      <w:r>
        <w:rPr>
          <w:color w:val="000000"/>
          <w:szCs w:val="32"/>
        </w:rPr>
        <w:t>（4）</w:t>
      </w:r>
      <w:r>
        <w:rPr>
          <w:rFonts w:hint="eastAsia"/>
        </w:rPr>
        <w:t>红旗水库水源地</w:t>
      </w:r>
      <w:r>
        <w:rPr>
          <w:color w:val="2C2C2C"/>
        </w:rPr>
        <w:t>发生</w:t>
      </w:r>
      <w:r>
        <w:rPr>
          <w:color w:val="000000"/>
          <w:szCs w:val="32"/>
        </w:rPr>
        <w:t>较大及以上饮用水水源地突发环境事件，需请求由</w:t>
      </w:r>
      <w:r>
        <w:rPr>
          <w:rFonts w:hint="eastAsia"/>
          <w:color w:val="000000"/>
          <w:szCs w:val="32"/>
        </w:rPr>
        <w:t>垫江县人民政府</w:t>
      </w:r>
      <w:r>
        <w:rPr>
          <w:color w:val="000000"/>
          <w:szCs w:val="32"/>
        </w:rPr>
        <w:t>组织处置。</w:t>
      </w:r>
    </w:p>
    <w:p>
      <w:pPr>
        <w:pStyle w:val="5"/>
        <w:ind w:firstLine="632"/>
      </w:pPr>
      <w:r>
        <w:t>1.3.</w:t>
      </w:r>
      <w:r>
        <w:rPr>
          <w:rFonts w:hint="eastAsia"/>
        </w:rPr>
        <w:t>2</w:t>
      </w:r>
      <w:r>
        <w:t>本预案适用范围</w:t>
      </w:r>
    </w:p>
    <w:p>
      <w:pPr>
        <w:ind w:firstLine="632"/>
      </w:pPr>
      <w:bookmarkStart w:id="28" w:name="_Toc44411287"/>
      <w:r>
        <w:rPr>
          <w:rFonts w:hint="eastAsia"/>
        </w:rPr>
        <w:t>红旗水库水源地保护区</w:t>
      </w:r>
      <w:r>
        <w:t>（</w:t>
      </w:r>
      <w:r>
        <w:rPr>
          <w:rFonts w:hint="eastAsia"/>
        </w:rPr>
        <w:t>一级保护区水域：整个水库正常水位线以下的全部水域，一级保护区陆域：取水口侧正常水位线以上纵深100米范围内的陆域，但不超过分水岭。二级保护区陆域：正常水位线以上（一级保护区以外）库周纵深100米范围内的陆域，但不超过分水岭</w:t>
      </w:r>
      <w:r>
        <w:t>）以及</w:t>
      </w:r>
      <w:r>
        <w:rPr>
          <w:rFonts w:hint="eastAsia"/>
        </w:rPr>
        <w:t>周边汇水区域，最大不超过汇水区域的范围</w:t>
      </w:r>
      <w:r>
        <w:t>。</w:t>
      </w:r>
    </w:p>
    <w:p>
      <w:pPr>
        <w:pStyle w:val="4"/>
        <w:ind w:firstLine="632"/>
      </w:pPr>
      <w:bookmarkStart w:id="29" w:name="_Toc126335838"/>
      <w:bookmarkStart w:id="30" w:name="_Toc116914445"/>
      <w:r>
        <w:rPr>
          <w:rFonts w:hint="eastAsia"/>
        </w:rPr>
        <w:t>1</w:t>
      </w:r>
      <w:r>
        <w:t>.4预案衔接</w:t>
      </w:r>
      <w:bookmarkEnd w:id="28"/>
      <w:bookmarkEnd w:id="29"/>
      <w:bookmarkEnd w:id="30"/>
    </w:p>
    <w:p>
      <w:pPr>
        <w:ind w:firstLine="632"/>
      </w:pPr>
      <w:r>
        <w:t>《</w:t>
      </w:r>
      <w:r>
        <w:rPr>
          <w:rFonts w:hint="eastAsia"/>
        </w:rPr>
        <w:t>垫江县沙坪镇红旗水库沙坪水厂水源地</w:t>
      </w:r>
      <w:r>
        <w:t>突发环境事件应急预案》是为应对</w:t>
      </w:r>
      <w:r>
        <w:rPr>
          <w:rFonts w:hint="eastAsia"/>
        </w:rPr>
        <w:t>红旗水库水源地</w:t>
      </w:r>
      <w:r>
        <w:t>突发环境事件制订的专项预案。</w:t>
      </w:r>
    </w:p>
    <w:p>
      <w:pPr>
        <w:ind w:firstLine="632"/>
        <w:rPr>
          <w:rFonts w:eastAsia="方正楷体_GBK"/>
          <w:sz w:val="30"/>
          <w:szCs w:val="30"/>
        </w:rPr>
      </w:pPr>
      <w:r>
        <w:t>当</w:t>
      </w:r>
      <w:r>
        <w:rPr>
          <w:rFonts w:hint="eastAsia"/>
        </w:rPr>
        <w:t>红旗水库水源地</w:t>
      </w:r>
      <w:r>
        <w:t>发生突发环境事件，启动本预案的同时，与《</w:t>
      </w:r>
      <w:r>
        <w:rPr>
          <w:rFonts w:hint="eastAsia"/>
        </w:rPr>
        <w:t>垫江县突发环境事件应急预案</w:t>
      </w:r>
      <w:r>
        <w:t>》及</w:t>
      </w:r>
      <w:r>
        <w:rPr>
          <w:rFonts w:hint="eastAsia"/>
        </w:rPr>
        <w:t>县</w:t>
      </w:r>
      <w:r>
        <w:t>生态环境局、</w:t>
      </w:r>
      <w:r>
        <w:rPr>
          <w:rFonts w:hint="eastAsia"/>
        </w:rPr>
        <w:t>县水利局</w:t>
      </w:r>
      <w:r>
        <w:t>、</w:t>
      </w:r>
      <w:r>
        <w:rPr>
          <w:rFonts w:hint="eastAsia"/>
        </w:rPr>
        <w:t>县交通局、县农业农村委、县应急管理局、重庆澜泉供水有限公司新民分公司、沙坪水厂</w:t>
      </w:r>
      <w:r>
        <w:t>等相关</w:t>
      </w:r>
      <w:r>
        <w:rPr>
          <w:rFonts w:hint="eastAsia"/>
        </w:rPr>
        <w:t>部门单位</w:t>
      </w:r>
      <w:r>
        <w:t>的应急预案同时启动，平行联动。</w:t>
      </w:r>
    </w:p>
    <w:p>
      <w:pPr>
        <w:pStyle w:val="4"/>
        <w:ind w:firstLine="632"/>
      </w:pPr>
      <w:bookmarkStart w:id="31" w:name="_Toc44411288"/>
      <w:bookmarkStart w:id="32" w:name="_Toc126335839"/>
      <w:bookmarkStart w:id="33" w:name="_Toc116914446"/>
      <w:r>
        <w:rPr>
          <w:rFonts w:hint="eastAsia"/>
        </w:rPr>
        <w:t>1</w:t>
      </w:r>
      <w:r>
        <w:t>.5工作原则</w:t>
      </w:r>
      <w:bookmarkEnd w:id="31"/>
      <w:bookmarkEnd w:id="32"/>
      <w:bookmarkEnd w:id="33"/>
    </w:p>
    <w:p>
      <w:pPr>
        <w:ind w:firstLine="632"/>
      </w:pPr>
      <w:r>
        <w:rPr>
          <w:rFonts w:hint="eastAsia" w:eastAsia="方正楷体_GBK"/>
        </w:rPr>
        <w:t>坚持以人为本、预防为主。</w:t>
      </w:r>
      <w:r>
        <w:rPr>
          <w:rFonts w:hint="eastAsia"/>
        </w:rPr>
        <w:t>把保障人民群众生命财产及环境安全作为首要任务，最大限度地减少突发环境事件造成的危害；建立环境事件风险防范体系，加强对危险源和潜在危险源的监督管理，提高环境事件防范和处理能力。</w:t>
      </w:r>
    </w:p>
    <w:p>
      <w:pPr>
        <w:ind w:firstLine="632"/>
      </w:pPr>
      <w:r>
        <w:rPr>
          <w:rFonts w:hint="eastAsia" w:eastAsia="方正楷体_GBK"/>
        </w:rPr>
        <w:t>坚持统一领导、分级负责。</w:t>
      </w:r>
      <w:r>
        <w:rPr>
          <w:rFonts w:hint="eastAsia"/>
        </w:rPr>
        <w:t>在垫江县人民政府及红旗水库水源地保护区突发环境事件应急指挥部的统一领导下，针对不同的预警等级，启动对应的应急响应工作，实施分类管理分级负责的工作机制，确保管理有序，组织得当，应急合理，及时、有效应对突发环境事件。</w:t>
      </w:r>
    </w:p>
    <w:p>
      <w:pPr>
        <w:ind w:firstLine="632"/>
      </w:pPr>
      <w:r>
        <w:rPr>
          <w:rFonts w:hint="eastAsia" w:eastAsia="方正楷体_GBK"/>
        </w:rPr>
        <w:t>坚持部门联动，社会参与。</w:t>
      </w:r>
      <w:r>
        <w:rPr>
          <w:rFonts w:hint="eastAsia"/>
        </w:rPr>
        <w:t>建立和完善部门联动机制。有关部门在接到突发环境事件报告后，要及时通报同级生态环境部门；充分发挥部门专业优势，共同应对突发环境事件；实行信息公开，建立社会应急动员机制，充实救援队伍，提高公众自救、互救能力。</w:t>
      </w:r>
    </w:p>
    <w:p>
      <w:pPr>
        <w:ind w:firstLine="632"/>
      </w:pPr>
      <w:r>
        <w:rPr>
          <w:rFonts w:hint="eastAsia" w:eastAsia="方正楷体_GBK"/>
        </w:rPr>
        <w:t>坚持快速反应、协同联动。</w:t>
      </w:r>
      <w:r>
        <w:rPr>
          <w:rFonts w:hint="eastAsia"/>
        </w:rPr>
        <w:t>充分利用现有资源，积极做好应对集中式饮用水水源地突发性环境污染事故的物资准备、技术准备、工作准备，加强培训演练，应急系统做到常备不懈，在应急时快速响应。加强各政府部门、企业、社会团体之间协同与合作，提高快速反应能力。针对不同污染源所造成的水源地环境污染特点，充分发挥各部门专业优势，使采取的措施与突发环境污染事故造成的危害范围和社会影响相适应。</w:t>
      </w:r>
    </w:p>
    <w:p>
      <w:pPr>
        <w:ind w:firstLine="632"/>
      </w:pPr>
      <w:r>
        <w:rPr>
          <w:rFonts w:hint="eastAsia" w:eastAsia="方正楷体_GBK"/>
        </w:rPr>
        <w:t>坚持资源共享、保障有力。</w:t>
      </w:r>
      <w:r>
        <w:rPr>
          <w:rFonts w:hint="eastAsia"/>
        </w:rPr>
        <w:t>加强污染源信息、水资源信息、环境状况信息、应急处置信息的及时共享，确保各类信息统一融合，正确引导舆论导向。加强政府对人力资源、应急储备、救助资源等保障力度，加强政府对应急处置、防灾减灾的经费投入，确保应急处置及后续工作稳步推进。</w:t>
      </w:r>
    </w:p>
    <w:p>
      <w:pPr>
        <w:pStyle w:val="4"/>
        <w:ind w:firstLine="632"/>
      </w:pPr>
      <w:bookmarkStart w:id="34" w:name="_Toc44411289"/>
      <w:bookmarkStart w:id="35" w:name="_Toc116914447"/>
      <w:bookmarkStart w:id="36" w:name="_Toc126335840"/>
      <w:r>
        <w:rPr>
          <w:rFonts w:hint="eastAsia"/>
        </w:rPr>
        <w:t>1</w:t>
      </w:r>
      <w:r>
        <w:t>.6突发环境事件分级</w:t>
      </w:r>
      <w:bookmarkEnd w:id="34"/>
      <w:bookmarkEnd w:id="35"/>
      <w:bookmarkEnd w:id="36"/>
    </w:p>
    <w:p>
      <w:pPr>
        <w:ind w:firstLine="632"/>
        <w:rPr>
          <w:szCs w:val="32"/>
        </w:rPr>
      </w:pPr>
      <w:bookmarkStart w:id="37" w:name="_Toc395877915"/>
      <w:bookmarkStart w:id="38" w:name="_Toc396482234"/>
      <w:bookmarkStart w:id="39" w:name="_Toc395877672"/>
      <w:bookmarkStart w:id="40" w:name="_Toc398023174"/>
      <w:bookmarkStart w:id="41" w:name="_Toc398105626"/>
      <w:r>
        <w:rPr>
          <w:color w:val="000000"/>
          <w:szCs w:val="32"/>
        </w:rPr>
        <w:t>参照《国家突发环境事件应急预案》（2014</w:t>
      </w:r>
      <w:r>
        <w:rPr>
          <w:rFonts w:hint="eastAsia"/>
          <w:color w:val="000000"/>
          <w:szCs w:val="32"/>
        </w:rPr>
        <w:t>年版</w:t>
      </w:r>
      <w:r>
        <w:rPr>
          <w:color w:val="000000"/>
          <w:szCs w:val="32"/>
        </w:rPr>
        <w:t>）</w:t>
      </w:r>
      <w:r>
        <w:t>《长江三峡库区重庆流域突发水环境污染事件应急预案》</w:t>
      </w:r>
      <w:r>
        <w:rPr>
          <w:szCs w:val="32"/>
          <w:shd w:val="clear" w:color="auto" w:fill="FFFFFF"/>
        </w:rPr>
        <w:t>《重庆市突发环境事件应急预案》</w:t>
      </w:r>
      <w:r>
        <w:rPr>
          <w:rFonts w:hint="eastAsia"/>
          <w:szCs w:val="32"/>
          <w:shd w:val="clear" w:color="auto" w:fill="FFFFFF"/>
        </w:rPr>
        <w:t>《重庆市突发环境事件应急响应工作手册》</w:t>
      </w:r>
      <w:r>
        <w:rPr>
          <w:color w:val="000000"/>
          <w:szCs w:val="32"/>
        </w:rPr>
        <w:t>《</w:t>
      </w:r>
      <w:r>
        <w:rPr>
          <w:rFonts w:hint="eastAsia"/>
          <w:color w:val="000000"/>
          <w:szCs w:val="32"/>
        </w:rPr>
        <w:t>垫江县突发环境事件应急预案</w:t>
      </w:r>
      <w:r>
        <w:rPr>
          <w:color w:val="000000"/>
          <w:szCs w:val="32"/>
        </w:rPr>
        <w:t>》</w:t>
      </w:r>
      <w:r>
        <w:rPr>
          <w:rFonts w:hint="eastAsia"/>
          <w:color w:val="000000"/>
          <w:szCs w:val="32"/>
        </w:rPr>
        <w:t>《重庆市垫江县集中式地表水饮用水水源地突发环境事件应急预案》</w:t>
      </w:r>
      <w:r>
        <w:rPr>
          <w:color w:val="000000"/>
          <w:szCs w:val="32"/>
        </w:rPr>
        <w:t>，依据饮用水水源地突发环境事件的严重性和紧急程度，</w:t>
      </w:r>
      <w:r>
        <w:rPr>
          <w:szCs w:val="32"/>
        </w:rPr>
        <w:t>将饮用水水源地突发环境事件分为较大事件（III级）和一般事件（IV</w:t>
      </w:r>
      <w:r>
        <w:rPr>
          <w:rFonts w:hint="eastAsia"/>
          <w:szCs w:val="32"/>
        </w:rPr>
        <w:t>级</w:t>
      </w:r>
      <w:r>
        <w:rPr>
          <w:szCs w:val="32"/>
        </w:rPr>
        <w:t>）</w:t>
      </w:r>
      <w:r>
        <w:rPr>
          <w:rFonts w:hint="eastAsia"/>
          <w:szCs w:val="32"/>
        </w:rPr>
        <w:t>两</w:t>
      </w:r>
      <w:r>
        <w:rPr>
          <w:szCs w:val="32"/>
        </w:rPr>
        <w:t>个等级</w:t>
      </w:r>
      <w:r>
        <w:rPr>
          <w:rFonts w:hint="eastAsia"/>
          <w:szCs w:val="32"/>
        </w:rPr>
        <w:t>，特别重大事件和重大事件依据《垫江县突发环境事件应急预案》的规定</w:t>
      </w:r>
      <w:r>
        <w:rPr>
          <w:szCs w:val="32"/>
        </w:rPr>
        <w:t>。</w:t>
      </w:r>
    </w:p>
    <w:bookmarkEnd w:id="37"/>
    <w:bookmarkEnd w:id="38"/>
    <w:bookmarkEnd w:id="39"/>
    <w:bookmarkEnd w:id="40"/>
    <w:bookmarkEnd w:id="41"/>
    <w:p>
      <w:pPr>
        <w:pStyle w:val="5"/>
        <w:ind w:firstLine="632"/>
      </w:pPr>
      <w:bookmarkStart w:id="42" w:name="_Toc395877916"/>
      <w:bookmarkStart w:id="43" w:name="_Toc398105627"/>
      <w:bookmarkStart w:id="44" w:name="_Toc116914450"/>
      <w:bookmarkStart w:id="45" w:name="_Toc395877673"/>
      <w:bookmarkStart w:id="46" w:name="_Toc44411292"/>
      <w:bookmarkStart w:id="47" w:name="_Toc398023175"/>
      <w:bookmarkStart w:id="48" w:name="_Toc396482235"/>
      <w:r>
        <w:t>1.6.1较大事件（III级）</w:t>
      </w:r>
      <w:bookmarkEnd w:id="42"/>
      <w:bookmarkEnd w:id="43"/>
      <w:bookmarkEnd w:id="44"/>
      <w:bookmarkEnd w:id="45"/>
      <w:bookmarkEnd w:id="46"/>
      <w:bookmarkEnd w:id="47"/>
      <w:bookmarkEnd w:id="48"/>
    </w:p>
    <w:p>
      <w:pPr>
        <w:ind w:firstLine="632"/>
      </w:pPr>
      <w:bookmarkStart w:id="49" w:name="_Toc395877674"/>
      <w:bookmarkStart w:id="50" w:name="_Toc396482236"/>
      <w:bookmarkStart w:id="51" w:name="_Toc398023176"/>
      <w:bookmarkStart w:id="52" w:name="_Toc395877917"/>
      <w:bookmarkStart w:id="53" w:name="_Toc398105628"/>
      <w:r>
        <w:t>（1）因饮用水源污染直接导致3人以上10人以下死亡或10人以上50人以下中毒或重伤的；</w:t>
      </w:r>
    </w:p>
    <w:p>
      <w:pPr>
        <w:ind w:firstLine="632"/>
      </w:pPr>
      <w:r>
        <w:rPr>
          <w:rFonts w:hint="eastAsia"/>
        </w:rPr>
        <w:t>（2）</w:t>
      </w:r>
      <w:r>
        <w:t>因环境污染疏散、转移人员5000人以上1万人以下的；</w:t>
      </w:r>
    </w:p>
    <w:p>
      <w:pPr>
        <w:ind w:firstLine="632"/>
      </w:pPr>
      <w:r>
        <w:t>（</w:t>
      </w:r>
      <w:r>
        <w:rPr>
          <w:rFonts w:hint="eastAsia"/>
        </w:rPr>
        <w:t>3</w:t>
      </w:r>
      <w:r>
        <w:t>）因饮用水源污染造成直接经济损失500万元以上2000万元以下的；</w:t>
      </w:r>
    </w:p>
    <w:p>
      <w:pPr>
        <w:ind w:firstLine="632"/>
      </w:pPr>
      <w:r>
        <w:t>（</w:t>
      </w:r>
      <w:r>
        <w:rPr>
          <w:rFonts w:hint="eastAsia"/>
        </w:rPr>
        <w:t>4</w:t>
      </w:r>
      <w:r>
        <w:t>）因饮用水源污染造成</w:t>
      </w:r>
      <w:r>
        <w:rPr>
          <w:rFonts w:hint="eastAsia"/>
        </w:rPr>
        <w:t>乡镇</w:t>
      </w:r>
      <w:r>
        <w:t>（街道）级饮用水水源地取水中断的</w:t>
      </w:r>
      <w:r>
        <w:rPr>
          <w:rFonts w:hint="eastAsia"/>
        </w:rPr>
        <w:t>。</w:t>
      </w:r>
    </w:p>
    <w:p>
      <w:pPr>
        <w:pStyle w:val="5"/>
        <w:ind w:firstLine="632"/>
      </w:pPr>
      <w:bookmarkStart w:id="54" w:name="_Toc116914451"/>
      <w:bookmarkStart w:id="55" w:name="_Toc44411293"/>
      <w:r>
        <w:t>1.6.2一般事件（IV级）</w:t>
      </w:r>
      <w:bookmarkEnd w:id="49"/>
      <w:bookmarkEnd w:id="50"/>
      <w:bookmarkEnd w:id="51"/>
      <w:bookmarkEnd w:id="52"/>
      <w:bookmarkEnd w:id="53"/>
      <w:bookmarkEnd w:id="54"/>
      <w:bookmarkEnd w:id="55"/>
    </w:p>
    <w:p>
      <w:pPr>
        <w:ind w:firstLine="632"/>
      </w:pPr>
      <w:r>
        <w:t>（1）因饮用水源污染直接导致3人以下死亡或10人以下中毒或重伤的；</w:t>
      </w:r>
    </w:p>
    <w:p>
      <w:pPr>
        <w:ind w:firstLine="632"/>
      </w:pPr>
      <w:r>
        <w:t>（2）因饮用水源污染造成直接经济损失500万元以下的；</w:t>
      </w:r>
    </w:p>
    <w:p>
      <w:pPr>
        <w:ind w:firstLine="632"/>
      </w:pPr>
      <w:r>
        <w:t>（3）因饮用水源污染造成跨镇街级行政区域纠纷，引起一般性群体影响的；</w:t>
      </w:r>
    </w:p>
    <w:p>
      <w:pPr>
        <w:ind w:firstLine="632"/>
      </w:pPr>
      <w:r>
        <w:t>（</w:t>
      </w:r>
      <w:r>
        <w:rPr>
          <w:rFonts w:hint="eastAsia"/>
        </w:rPr>
        <w:t>4</w:t>
      </w:r>
      <w:r>
        <w:t>）对饮用水源污染造成一定影响，尚未达到较大级别突发水环境污染事件的。</w:t>
      </w:r>
    </w:p>
    <w:p>
      <w:pPr>
        <w:pStyle w:val="3"/>
        <w:ind w:firstLine="632"/>
      </w:pPr>
      <w:bookmarkStart w:id="56" w:name="_Toc22333"/>
      <w:bookmarkStart w:id="57" w:name="_Toc126335841"/>
      <w:bookmarkStart w:id="58" w:name="_Toc28130"/>
      <w:bookmarkStart w:id="59" w:name="_Toc14161"/>
      <w:bookmarkStart w:id="60" w:name="_Toc116914452"/>
      <w:bookmarkStart w:id="61" w:name="_Toc31844"/>
      <w:r>
        <w:rPr>
          <w:rFonts w:hint="eastAsia"/>
        </w:rPr>
        <w:t>2</w:t>
      </w:r>
      <w:r>
        <w:t>水源地基本信息</w:t>
      </w:r>
      <w:bookmarkEnd w:id="56"/>
      <w:bookmarkEnd w:id="57"/>
      <w:bookmarkEnd w:id="58"/>
      <w:bookmarkEnd w:id="59"/>
      <w:bookmarkEnd w:id="60"/>
      <w:bookmarkEnd w:id="61"/>
    </w:p>
    <w:p>
      <w:pPr>
        <w:pStyle w:val="4"/>
        <w:ind w:firstLine="632"/>
      </w:pPr>
      <w:bookmarkStart w:id="62" w:name="_Toc25534"/>
      <w:bookmarkStart w:id="63" w:name="_Toc9447"/>
      <w:bookmarkStart w:id="64" w:name="_Toc9195"/>
      <w:bookmarkStart w:id="65" w:name="_Toc126335842"/>
      <w:bookmarkStart w:id="66" w:name="_Toc116914453"/>
      <w:r>
        <w:rPr>
          <w:rFonts w:hint="eastAsia"/>
        </w:rPr>
        <w:t>2</w:t>
      </w:r>
      <w:r>
        <w:t>.1水源地</w:t>
      </w:r>
      <w:bookmarkEnd w:id="62"/>
      <w:bookmarkEnd w:id="63"/>
      <w:bookmarkEnd w:id="64"/>
      <w:r>
        <w:t>简介</w:t>
      </w:r>
      <w:bookmarkEnd w:id="65"/>
      <w:bookmarkEnd w:id="66"/>
    </w:p>
    <w:p>
      <w:pPr>
        <w:ind w:firstLine="632"/>
        <w:rPr>
          <w:color w:val="FF0000"/>
        </w:rPr>
      </w:pPr>
      <w:r>
        <w:rPr>
          <w:rFonts w:hint="eastAsia"/>
        </w:rPr>
        <w:t>红旗水库水源地位于垫江县沙坪镇西山内槽邓家沟和槽家沟的汇合处。集雨面积</w:t>
      </w:r>
      <w:r>
        <w:t>13.36</w:t>
      </w:r>
      <w:r>
        <w:rPr>
          <w:rFonts w:hint="eastAsia"/>
        </w:rPr>
        <w:t>km</w:t>
      </w:r>
      <w:r>
        <w:rPr>
          <w:rFonts w:hint="eastAsia"/>
          <w:vertAlign w:val="superscript"/>
        </w:rPr>
        <w:t>2</w:t>
      </w:r>
      <w:r>
        <w:rPr>
          <w:rFonts w:hint="eastAsia"/>
        </w:rPr>
        <w:t>，属小（1）型水库，总库容</w:t>
      </w:r>
      <w:r>
        <w:t>556.5</w:t>
      </w:r>
      <w:r>
        <w:rPr>
          <w:rFonts w:hint="eastAsia"/>
        </w:rPr>
        <w:t>万m</w:t>
      </w:r>
      <w:r>
        <w:rPr>
          <w:rFonts w:hint="eastAsia"/>
          <w:vertAlign w:val="superscript"/>
        </w:rPr>
        <w:t>3</w:t>
      </w:r>
      <w:r>
        <w:rPr>
          <w:rFonts w:hint="eastAsia"/>
        </w:rPr>
        <w:t>，水库取水口位于东经</w:t>
      </w:r>
      <w:r>
        <w:t>107°24'33.260"</w:t>
      </w:r>
      <w:r>
        <w:rPr>
          <w:rFonts w:hint="eastAsia"/>
        </w:rPr>
        <w:t>，北纬</w:t>
      </w:r>
      <w:r>
        <w:t>30°28'58.357"</w:t>
      </w:r>
      <w:r>
        <w:rPr>
          <w:rFonts w:hint="eastAsia"/>
        </w:rPr>
        <w:t>，水源编码为</w:t>
      </w:r>
      <w:r>
        <w:t>FB6602500231102R0001</w:t>
      </w:r>
      <w:r>
        <w:rPr>
          <w:rFonts w:hint="eastAsia"/>
        </w:rPr>
        <w:t>，水源类型为水库型。饮用水源地供水水厂为沙坪水厂，管理单位为</w:t>
      </w:r>
      <w:bookmarkStart w:id="67" w:name="_Hlk119331119"/>
      <w:r>
        <w:rPr>
          <w:rFonts w:hint="eastAsia"/>
        </w:rPr>
        <w:t>重庆澜泉供水有限公司新民分公司</w:t>
      </w:r>
      <w:bookmarkEnd w:id="67"/>
      <w:r>
        <w:rPr>
          <w:rFonts w:hint="eastAsia"/>
        </w:rPr>
        <w:t>，服务人口约5万人，目前为沙坪场镇、周嘉场镇供水。水源地一级保护区水域：整个水库正常水位线以下的全部水域，一级保护区陆域：取水口侧正常水位线以上纵深100米范围内的陆域，但不超过分水岭。二级保护区陆域：正常水位线以上（一级保护区以外）库周纵深100米范围内的陆域，但不超过分水岭。</w:t>
      </w:r>
    </w:p>
    <w:p>
      <w:pPr>
        <w:pStyle w:val="4"/>
        <w:ind w:firstLine="632"/>
      </w:pPr>
      <w:bookmarkStart w:id="68" w:name="_Toc126335843"/>
      <w:bookmarkStart w:id="69" w:name="_Toc116914454"/>
      <w:r>
        <w:rPr>
          <w:rFonts w:hint="eastAsia"/>
        </w:rPr>
        <w:t>2</w:t>
      </w:r>
      <w:r>
        <w:t>.2水源地取水情况</w:t>
      </w:r>
      <w:bookmarkEnd w:id="68"/>
      <w:bookmarkEnd w:id="69"/>
    </w:p>
    <w:p>
      <w:pPr>
        <w:ind w:firstLine="632"/>
      </w:pPr>
      <w:bookmarkStart w:id="70" w:name="_Hlk512000144"/>
      <w:bookmarkStart w:id="71" w:name="_Hlk511989680"/>
      <w:r>
        <w:rPr>
          <w:rFonts w:hint="eastAsia"/>
        </w:rPr>
        <w:t>红旗水库水源地主要由沙坪水厂开展取水，</w:t>
      </w:r>
      <w:r>
        <w:t>2021年实际取水量为185.7万立方米，日均取水约为5000立方米，</w:t>
      </w:r>
      <w:bookmarkEnd w:id="70"/>
      <w:r>
        <w:t>能够满足取水要求，</w:t>
      </w:r>
      <w:r>
        <w:rPr>
          <w:rFonts w:hint="eastAsia"/>
        </w:rPr>
        <w:t>正常蓄水位571.64米，设计洪水位573.35米，设计枯水位</w:t>
      </w:r>
      <w:r>
        <w:t>539.48</w:t>
      </w:r>
      <w:r>
        <w:rPr>
          <w:rFonts w:hint="eastAsia"/>
        </w:rPr>
        <w:t>米，取水位5</w:t>
      </w:r>
      <w:r>
        <w:t>39.48</w:t>
      </w:r>
      <w:r>
        <w:rPr>
          <w:rFonts w:hint="eastAsia"/>
        </w:rPr>
        <w:t>米。</w:t>
      </w:r>
      <w:r>
        <w:t>根据《集中式饮用水水源地环境保护状况评估技术规范》（HJ774-2015），地表水饮用水水源取水水位不低于设计枯水位时为达标水源，故</w:t>
      </w:r>
      <w:r>
        <w:rPr>
          <w:rFonts w:hint="eastAsia"/>
        </w:rPr>
        <w:t>红旗水库水源地</w:t>
      </w:r>
      <w:r>
        <w:t>取水量保证率为100%。</w:t>
      </w:r>
      <w:bookmarkEnd w:id="71"/>
    </w:p>
    <w:p>
      <w:pPr>
        <w:ind w:firstLine="0" w:firstLineChars="0"/>
        <w:jc w:val="center"/>
        <w:rPr>
          <w:rFonts w:eastAsia="方正黑体_GBK"/>
          <w:spacing w:val="-5"/>
          <w:sz w:val="28"/>
          <w:szCs w:val="28"/>
        </w:rPr>
      </w:pPr>
      <w:r>
        <w:rPr>
          <w:rFonts w:eastAsia="方正黑体_GBK"/>
          <w:spacing w:val="-5"/>
          <w:sz w:val="28"/>
          <w:szCs w:val="28"/>
        </w:rPr>
        <w:t>表</w:t>
      </w:r>
      <w:r>
        <w:rPr>
          <w:rFonts w:hint="eastAsia" w:eastAsia="方正黑体_GBK"/>
          <w:spacing w:val="-5"/>
          <w:sz w:val="28"/>
          <w:szCs w:val="28"/>
        </w:rPr>
        <w:t>2</w:t>
      </w:r>
      <w:r>
        <w:rPr>
          <w:rFonts w:eastAsia="方正黑体_GBK"/>
          <w:spacing w:val="-5"/>
          <w:sz w:val="28"/>
          <w:szCs w:val="28"/>
        </w:rPr>
        <w:t>-1</w:t>
      </w:r>
      <w:r>
        <w:rPr>
          <w:rFonts w:hint="eastAsia" w:eastAsia="方正黑体_GBK"/>
          <w:spacing w:val="-5"/>
          <w:sz w:val="28"/>
          <w:szCs w:val="28"/>
        </w:rPr>
        <w:t xml:space="preserve">  垫江县沙坪自来水厂</w:t>
      </w:r>
      <w:r>
        <w:rPr>
          <w:rFonts w:eastAsia="方正黑体_GBK"/>
          <w:spacing w:val="-5"/>
          <w:sz w:val="28"/>
          <w:szCs w:val="28"/>
        </w:rPr>
        <w:t>基本概况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457"/>
        <w:gridCol w:w="2265"/>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单位名称</w:t>
            </w:r>
          </w:p>
        </w:tc>
        <w:tc>
          <w:tcPr>
            <w:tcW w:w="6797" w:type="dxa"/>
            <w:gridSpan w:val="3"/>
          </w:tcPr>
          <w:p>
            <w:pPr>
              <w:adjustRightInd w:val="0"/>
              <w:snapToGrid w:val="0"/>
              <w:spacing w:line="300" w:lineRule="exact"/>
              <w:ind w:firstLine="0" w:firstLineChars="0"/>
              <w:rPr>
                <w:sz w:val="24"/>
              </w:rPr>
            </w:pPr>
            <w:r>
              <w:rPr>
                <w:rFonts w:hint="eastAsia"/>
                <w:sz w:val="24"/>
              </w:rPr>
              <w:t>垫江县沙坪自来水厂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单位所在地</w:t>
            </w:r>
          </w:p>
        </w:tc>
        <w:tc>
          <w:tcPr>
            <w:tcW w:w="6797" w:type="dxa"/>
            <w:gridSpan w:val="3"/>
          </w:tcPr>
          <w:p>
            <w:pPr>
              <w:adjustRightInd w:val="0"/>
              <w:snapToGrid w:val="0"/>
              <w:spacing w:line="300" w:lineRule="exact"/>
              <w:ind w:firstLine="0" w:firstLineChars="0"/>
              <w:rPr>
                <w:sz w:val="24"/>
              </w:rPr>
            </w:pPr>
            <w:r>
              <w:rPr>
                <w:rFonts w:hint="eastAsia"/>
                <w:sz w:val="24"/>
              </w:rPr>
              <w:t>重庆市垫江县沙坪镇渝巫路111号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社会信用代码</w:t>
            </w:r>
          </w:p>
        </w:tc>
        <w:tc>
          <w:tcPr>
            <w:tcW w:w="2457" w:type="dxa"/>
            <w:vAlign w:val="center"/>
          </w:tcPr>
          <w:p>
            <w:pPr>
              <w:adjustRightInd w:val="0"/>
              <w:snapToGrid w:val="0"/>
              <w:spacing w:line="300" w:lineRule="exact"/>
              <w:ind w:firstLine="0" w:firstLineChars="0"/>
              <w:jc w:val="center"/>
              <w:rPr>
                <w:sz w:val="24"/>
              </w:rPr>
            </w:pPr>
            <w:r>
              <w:rPr>
                <w:sz w:val="24"/>
              </w:rPr>
              <w:t>915002317717511799</w:t>
            </w:r>
          </w:p>
        </w:tc>
        <w:tc>
          <w:tcPr>
            <w:tcW w:w="2265" w:type="dxa"/>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联系人</w:t>
            </w:r>
          </w:p>
        </w:tc>
        <w:tc>
          <w:tcPr>
            <w:tcW w:w="2075" w:type="dxa"/>
            <w:vAlign w:val="center"/>
          </w:tcPr>
          <w:p>
            <w:pPr>
              <w:adjustRightInd w:val="0"/>
              <w:snapToGrid w:val="0"/>
              <w:spacing w:line="300" w:lineRule="exact"/>
              <w:ind w:firstLine="0" w:firstLineChars="0"/>
              <w:jc w:val="center"/>
              <w:rPr>
                <w:sz w:val="24"/>
              </w:rPr>
            </w:pPr>
            <w:r>
              <w:rPr>
                <w:rFonts w:hint="eastAsia"/>
                <w:sz w:val="24"/>
              </w:rPr>
              <w:t>何波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z w:val="24"/>
              </w:rPr>
              <w:t>生产状态</w:t>
            </w:r>
          </w:p>
        </w:tc>
        <w:tc>
          <w:tcPr>
            <w:tcW w:w="2457" w:type="dxa"/>
            <w:vAlign w:val="center"/>
          </w:tcPr>
          <w:p>
            <w:pPr>
              <w:adjustRightInd w:val="0"/>
              <w:snapToGrid w:val="0"/>
              <w:spacing w:line="300" w:lineRule="exact"/>
              <w:ind w:firstLine="0" w:firstLineChars="0"/>
              <w:jc w:val="center"/>
              <w:rPr>
                <w:sz w:val="24"/>
              </w:rPr>
            </w:pPr>
            <w:r>
              <w:rPr>
                <w:rFonts w:hint="eastAsia"/>
                <w:sz w:val="24"/>
              </w:rPr>
              <w:t>正常生产</w:t>
            </w:r>
          </w:p>
        </w:tc>
        <w:tc>
          <w:tcPr>
            <w:tcW w:w="2265" w:type="dxa"/>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所属行业类别</w:t>
            </w:r>
          </w:p>
        </w:tc>
        <w:tc>
          <w:tcPr>
            <w:tcW w:w="2075" w:type="dxa"/>
            <w:vAlign w:val="center"/>
          </w:tcPr>
          <w:p>
            <w:pPr>
              <w:adjustRightInd w:val="0"/>
              <w:snapToGrid w:val="0"/>
              <w:spacing w:line="300" w:lineRule="exact"/>
              <w:ind w:firstLine="0" w:firstLineChars="0"/>
              <w:jc w:val="center"/>
              <w:rPr>
                <w:sz w:val="24"/>
              </w:rPr>
            </w:pPr>
            <w:r>
              <w:rPr>
                <w:rFonts w:hint="eastAsia"/>
                <w:sz w:val="24"/>
              </w:rPr>
              <w:t>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地理位置</w:t>
            </w:r>
          </w:p>
        </w:tc>
        <w:tc>
          <w:tcPr>
            <w:tcW w:w="2457" w:type="dxa"/>
            <w:vAlign w:val="center"/>
          </w:tcPr>
          <w:p>
            <w:pPr>
              <w:adjustRightInd w:val="0"/>
              <w:snapToGrid w:val="0"/>
              <w:spacing w:line="300" w:lineRule="exact"/>
              <w:ind w:firstLine="0" w:firstLineChars="0"/>
              <w:jc w:val="center"/>
              <w:rPr>
                <w:sz w:val="24"/>
              </w:rPr>
            </w:pPr>
            <w:r>
              <w:rPr>
                <w:rFonts w:hint="eastAsia"/>
                <w:sz w:val="24"/>
              </w:rPr>
              <w:t>东经</w:t>
            </w:r>
            <w:r>
              <w:rPr>
                <w:sz w:val="24"/>
              </w:rPr>
              <w:t>107.435081</w:t>
            </w:r>
          </w:p>
          <w:p>
            <w:pPr>
              <w:adjustRightInd w:val="0"/>
              <w:snapToGrid w:val="0"/>
              <w:spacing w:line="300" w:lineRule="exact"/>
              <w:ind w:firstLine="0" w:firstLineChars="0"/>
              <w:jc w:val="center"/>
              <w:rPr>
                <w:sz w:val="24"/>
              </w:rPr>
            </w:pPr>
            <w:r>
              <w:rPr>
                <w:rFonts w:hint="eastAsia"/>
                <w:sz w:val="24"/>
              </w:rPr>
              <w:t>北纬</w:t>
            </w:r>
            <w:r>
              <w:rPr>
                <w:sz w:val="24"/>
              </w:rPr>
              <w:t>30.465712</w:t>
            </w:r>
          </w:p>
        </w:tc>
        <w:tc>
          <w:tcPr>
            <w:tcW w:w="2265" w:type="dxa"/>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3"/>
                <w:sz w:val="24"/>
              </w:rPr>
              <w:t>投产时间</w:t>
            </w:r>
          </w:p>
        </w:tc>
        <w:tc>
          <w:tcPr>
            <w:tcW w:w="2075" w:type="dxa"/>
            <w:vAlign w:val="center"/>
          </w:tcPr>
          <w:p>
            <w:pPr>
              <w:adjustRightInd w:val="0"/>
              <w:snapToGrid w:val="0"/>
              <w:spacing w:line="300" w:lineRule="exact"/>
              <w:ind w:firstLine="0" w:firstLineChars="0"/>
              <w:jc w:val="center"/>
              <w:rPr>
                <w:sz w:val="24"/>
              </w:rPr>
            </w:pPr>
            <w:r>
              <w:rPr>
                <w:spacing w:val="-1"/>
                <w:sz w:val="24"/>
              </w:rPr>
              <w:t>2005.1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adjustRightInd w:val="0"/>
              <w:snapToGrid w:val="0"/>
              <w:spacing w:line="300" w:lineRule="exact"/>
              <w:ind w:firstLine="0" w:firstLineChars="0"/>
              <w:rPr>
                <w:rFonts w:ascii="方正黑体_GBK" w:hAnsi="方正黑体_GBK" w:eastAsia="方正黑体_GBK" w:cs="方正黑体_GBK"/>
                <w:sz w:val="24"/>
              </w:rPr>
            </w:pPr>
            <w:r>
              <w:rPr>
                <w:rFonts w:hint="eastAsia" w:ascii="方正黑体_GBK" w:hAnsi="方正黑体_GBK" w:eastAsia="方正黑体_GBK" w:cs="方正黑体_GBK"/>
                <w:spacing w:val="-5"/>
                <w:sz w:val="24"/>
              </w:rPr>
              <w:t>企业规模</w:t>
            </w:r>
          </w:p>
        </w:tc>
        <w:tc>
          <w:tcPr>
            <w:tcW w:w="6797" w:type="dxa"/>
            <w:gridSpan w:val="3"/>
            <w:vAlign w:val="center"/>
          </w:tcPr>
          <w:p>
            <w:pPr>
              <w:adjustRightInd w:val="0"/>
              <w:snapToGrid w:val="0"/>
              <w:spacing w:line="300" w:lineRule="exact"/>
              <w:ind w:firstLine="0" w:firstLineChars="0"/>
              <w:rPr>
                <w:sz w:val="24"/>
              </w:rPr>
            </w:pPr>
            <w:r>
              <w:rPr>
                <w:spacing w:val="-5"/>
                <w:sz w:val="24"/>
              </w:rPr>
              <w:t>供水人口约5万人</w:t>
            </w:r>
          </w:p>
        </w:tc>
      </w:tr>
    </w:tbl>
    <w:p>
      <w:pPr>
        <w:ind w:firstLine="632"/>
      </w:pPr>
    </w:p>
    <w:p>
      <w:pPr>
        <w:pStyle w:val="4"/>
        <w:ind w:firstLine="632"/>
      </w:pPr>
      <w:bookmarkStart w:id="72" w:name="_Toc126335844"/>
      <w:bookmarkStart w:id="73" w:name="_Toc116914455"/>
      <w:r>
        <w:rPr>
          <w:rFonts w:hint="eastAsia"/>
        </w:rPr>
        <w:t>2</w:t>
      </w:r>
      <w:r>
        <w:t>.3水源水质情况</w:t>
      </w:r>
      <w:bookmarkEnd w:id="72"/>
      <w:bookmarkEnd w:id="73"/>
    </w:p>
    <w:p>
      <w:pPr>
        <w:ind w:firstLine="632"/>
      </w:pPr>
      <w:r>
        <w:t>根据</w:t>
      </w:r>
      <w:r>
        <w:rPr>
          <w:rFonts w:hint="eastAsia"/>
        </w:rPr>
        <w:t>垫江县</w:t>
      </w:r>
      <w:r>
        <w:t>生态环境监测站季度监测数据及年度全指标监测数据显示：2021年，</w:t>
      </w:r>
      <w:r>
        <w:rPr>
          <w:rFonts w:hint="eastAsia"/>
        </w:rPr>
        <w:t>红旗水库水源地</w:t>
      </w:r>
      <w:r>
        <w:t>水质总体达到《地表水环境质量标准》（GB3838-2002）III类标准。</w:t>
      </w:r>
      <w:r>
        <w:rPr>
          <w:rFonts w:hint="eastAsia"/>
        </w:rPr>
        <w:t>红旗水库水源地</w:t>
      </w:r>
      <w:r>
        <w:t>全年取水量约185.7万立方米，经卫生检测，均为达标水质，水源水量达标率为100%，</w:t>
      </w:r>
      <w:r>
        <w:rPr>
          <w:rFonts w:hint="eastAsia"/>
        </w:rPr>
        <w:t>红旗水库水源地</w:t>
      </w:r>
      <w:r>
        <w:t>水质总体良好。2021年</w:t>
      </w:r>
      <w:r>
        <w:rPr>
          <w:rFonts w:hint="eastAsia"/>
        </w:rPr>
        <w:t>红旗水库水源地</w:t>
      </w:r>
      <w:r>
        <w:t>29项常规监测值见表2-2。</w:t>
      </w:r>
    </w:p>
    <w:p>
      <w:pPr>
        <w:ind w:firstLine="0" w:firstLineChars="0"/>
        <w:jc w:val="center"/>
        <w:rPr>
          <w:rFonts w:eastAsia="方正黑体_GBK"/>
          <w:spacing w:val="-5"/>
          <w:sz w:val="28"/>
          <w:szCs w:val="28"/>
        </w:rPr>
      </w:pPr>
      <w:r>
        <w:rPr>
          <w:rFonts w:eastAsia="方正黑体_GBK"/>
          <w:spacing w:val="-5"/>
          <w:sz w:val="28"/>
          <w:szCs w:val="28"/>
        </w:rPr>
        <w:t>表2-2  2021年</w:t>
      </w:r>
      <w:r>
        <w:rPr>
          <w:rFonts w:hint="eastAsia" w:eastAsia="方正黑体_GBK"/>
          <w:spacing w:val="-5"/>
          <w:sz w:val="28"/>
          <w:szCs w:val="28"/>
        </w:rPr>
        <w:t>红旗水库水源地监测值</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326"/>
        <w:gridCol w:w="1361"/>
        <w:gridCol w:w="1356"/>
        <w:gridCol w:w="1467"/>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5" w:type="pct"/>
            <w:vMerge w:val="restart"/>
            <w:vAlign w:val="center"/>
          </w:tcPr>
          <w:p>
            <w:pPr>
              <w:adjustRightInd w:val="0"/>
              <w:snapToGrid w:val="0"/>
              <w:spacing w:line="300" w:lineRule="exact"/>
              <w:ind w:firstLine="0" w:firstLineChars="0"/>
              <w:jc w:val="center"/>
              <w:rPr>
                <w:rFonts w:eastAsia="方正黑体_GBK"/>
                <w:color w:val="000000"/>
                <w:sz w:val="24"/>
              </w:rPr>
            </w:pPr>
            <w:r>
              <w:rPr>
                <w:rFonts w:eastAsia="方正黑体_GBK"/>
                <w:color w:val="000000"/>
                <w:sz w:val="24"/>
              </w:rPr>
              <w:t>指标</w:t>
            </w:r>
          </w:p>
        </w:tc>
        <w:tc>
          <w:tcPr>
            <w:tcW w:w="3216" w:type="pct"/>
            <w:gridSpan w:val="4"/>
            <w:vAlign w:val="center"/>
          </w:tcPr>
          <w:p>
            <w:pPr>
              <w:adjustRightInd w:val="0"/>
              <w:snapToGrid w:val="0"/>
              <w:spacing w:line="300" w:lineRule="exact"/>
              <w:ind w:firstLine="0" w:firstLineChars="0"/>
              <w:jc w:val="center"/>
              <w:rPr>
                <w:rFonts w:eastAsia="方正黑体_GBK"/>
                <w:color w:val="000000"/>
                <w:sz w:val="24"/>
              </w:rPr>
            </w:pPr>
            <w:r>
              <w:rPr>
                <w:rFonts w:hint="eastAsia" w:eastAsia="方正黑体_GBK"/>
                <w:color w:val="000000"/>
                <w:sz w:val="24"/>
              </w:rPr>
              <w:t>监测</w:t>
            </w:r>
            <w:r>
              <w:rPr>
                <w:rFonts w:eastAsia="方正黑体_GBK"/>
                <w:color w:val="000000"/>
                <w:sz w:val="24"/>
              </w:rPr>
              <w:t>值</w:t>
            </w:r>
          </w:p>
        </w:tc>
        <w:tc>
          <w:tcPr>
            <w:tcW w:w="909" w:type="pct"/>
            <w:vMerge w:val="restart"/>
            <w:vAlign w:val="center"/>
          </w:tcPr>
          <w:p>
            <w:pPr>
              <w:adjustRightInd w:val="0"/>
              <w:snapToGrid w:val="0"/>
              <w:spacing w:line="300" w:lineRule="exact"/>
              <w:ind w:firstLine="0" w:firstLineChars="0"/>
              <w:jc w:val="center"/>
              <w:rPr>
                <w:rFonts w:eastAsia="方正黑体_GBK"/>
                <w:color w:val="000000"/>
                <w:sz w:val="24"/>
              </w:rPr>
            </w:pPr>
            <w:r>
              <w:rPr>
                <w:rFonts w:eastAsia="方正黑体_GBK"/>
                <w:color w:val="000000"/>
                <w:sz w:val="24"/>
              </w:rPr>
              <w:t>（GB3838-2002）III类标准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5" w:type="pct"/>
            <w:vMerge w:val="continue"/>
            <w:vAlign w:val="center"/>
          </w:tcPr>
          <w:p>
            <w:pPr>
              <w:adjustRightInd w:val="0"/>
              <w:snapToGrid w:val="0"/>
              <w:spacing w:line="300" w:lineRule="exact"/>
              <w:ind w:firstLine="0" w:firstLineChars="0"/>
              <w:jc w:val="center"/>
              <w:rPr>
                <w:rFonts w:eastAsia="方正黑体_GBK"/>
                <w:color w:val="000000"/>
                <w:sz w:val="24"/>
              </w:rPr>
            </w:pPr>
          </w:p>
        </w:tc>
        <w:tc>
          <w:tcPr>
            <w:tcW w:w="776" w:type="pct"/>
            <w:vAlign w:val="center"/>
          </w:tcPr>
          <w:p>
            <w:pPr>
              <w:adjustRightInd w:val="0"/>
              <w:snapToGrid w:val="0"/>
              <w:spacing w:line="300" w:lineRule="exact"/>
              <w:ind w:firstLine="0" w:firstLineChars="0"/>
              <w:jc w:val="center"/>
              <w:rPr>
                <w:rFonts w:eastAsia="方正黑体_GBK"/>
                <w:color w:val="000000"/>
                <w:sz w:val="24"/>
              </w:rPr>
            </w:pPr>
            <w:r>
              <w:rPr>
                <w:rFonts w:hint="eastAsia" w:eastAsia="方正黑体_GBK"/>
                <w:color w:val="000000"/>
                <w:sz w:val="24"/>
              </w:rPr>
              <w:t>一季度</w:t>
            </w:r>
          </w:p>
        </w:tc>
        <w:tc>
          <w:tcPr>
            <w:tcW w:w="795" w:type="pct"/>
            <w:vAlign w:val="center"/>
          </w:tcPr>
          <w:p>
            <w:pPr>
              <w:adjustRightInd w:val="0"/>
              <w:snapToGrid w:val="0"/>
              <w:spacing w:line="300" w:lineRule="exact"/>
              <w:ind w:firstLine="0" w:firstLineChars="0"/>
              <w:jc w:val="center"/>
              <w:rPr>
                <w:rFonts w:eastAsia="方正黑体_GBK"/>
                <w:color w:val="000000"/>
                <w:sz w:val="24"/>
              </w:rPr>
            </w:pPr>
            <w:r>
              <w:rPr>
                <w:rFonts w:hint="eastAsia" w:eastAsia="方正黑体_GBK"/>
                <w:color w:val="000000"/>
                <w:sz w:val="24"/>
              </w:rPr>
              <w:t>二季度</w:t>
            </w:r>
          </w:p>
        </w:tc>
        <w:tc>
          <w:tcPr>
            <w:tcW w:w="792" w:type="pct"/>
            <w:vAlign w:val="center"/>
          </w:tcPr>
          <w:p>
            <w:pPr>
              <w:adjustRightInd w:val="0"/>
              <w:snapToGrid w:val="0"/>
              <w:spacing w:line="300" w:lineRule="exact"/>
              <w:ind w:firstLine="0" w:firstLineChars="0"/>
              <w:jc w:val="center"/>
              <w:rPr>
                <w:rFonts w:eastAsia="方正黑体_GBK"/>
                <w:color w:val="000000"/>
                <w:sz w:val="24"/>
              </w:rPr>
            </w:pPr>
            <w:r>
              <w:rPr>
                <w:rFonts w:hint="eastAsia" w:eastAsia="方正黑体_GBK"/>
                <w:color w:val="000000"/>
                <w:sz w:val="24"/>
              </w:rPr>
              <w:t>三季度</w:t>
            </w:r>
          </w:p>
        </w:tc>
        <w:tc>
          <w:tcPr>
            <w:tcW w:w="853" w:type="pct"/>
            <w:vAlign w:val="center"/>
          </w:tcPr>
          <w:p>
            <w:pPr>
              <w:adjustRightInd w:val="0"/>
              <w:snapToGrid w:val="0"/>
              <w:spacing w:line="300" w:lineRule="exact"/>
              <w:ind w:firstLine="0" w:firstLineChars="0"/>
              <w:jc w:val="center"/>
              <w:rPr>
                <w:rFonts w:eastAsia="方正黑体_GBK"/>
                <w:color w:val="000000"/>
                <w:sz w:val="24"/>
              </w:rPr>
            </w:pPr>
            <w:r>
              <w:rPr>
                <w:rFonts w:hint="eastAsia" w:eastAsia="方正黑体_GBK"/>
                <w:color w:val="000000"/>
                <w:sz w:val="24"/>
              </w:rPr>
              <w:t>四季度</w:t>
            </w:r>
          </w:p>
        </w:tc>
        <w:tc>
          <w:tcPr>
            <w:tcW w:w="909" w:type="pct"/>
            <w:vMerge w:val="continue"/>
            <w:vAlign w:val="center"/>
          </w:tcPr>
          <w:p>
            <w:pPr>
              <w:adjustRightInd w:val="0"/>
              <w:snapToGrid w:val="0"/>
              <w:spacing w:line="300" w:lineRule="exact"/>
              <w:ind w:firstLine="0" w:firstLineChars="0"/>
              <w:jc w:val="center"/>
              <w:rPr>
                <w:rFonts w:eastAsia="方正黑体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水温</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7.2</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16.9</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23.7</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21.8</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人为造成的环境水温变化应限制在：周平均最大温升≤1</w:t>
            </w:r>
            <w:r>
              <w:rPr>
                <w:rFonts w:hint="eastAsia"/>
                <w:color w:val="000000"/>
                <w:sz w:val="24"/>
              </w:rPr>
              <w:t>，</w:t>
            </w:r>
            <w:r>
              <w:rPr>
                <w:color w:val="000000"/>
                <w:sz w:val="24"/>
              </w:rPr>
              <w:t>周平均最大温降≤2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pH</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7.13</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7.81</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7.64</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8.35</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溶解氧</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7.96</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8.31</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8.11</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6.22</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高锰酸盐指数</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3</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1.2</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1.4</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1.8</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75" w:type="pct"/>
            <w:vAlign w:val="center"/>
          </w:tcPr>
          <w:p>
            <w:pPr>
              <w:adjustRightInd w:val="0"/>
              <w:snapToGrid w:val="0"/>
              <w:spacing w:line="300" w:lineRule="exact"/>
              <w:ind w:firstLine="0" w:firstLineChars="0"/>
              <w:jc w:val="center"/>
              <w:rPr>
                <w:color w:val="000000"/>
                <w:sz w:val="24"/>
              </w:rPr>
            </w:pPr>
            <w:r>
              <w:rPr>
                <w:color w:val="000000"/>
                <w:sz w:val="24"/>
              </w:rPr>
              <w:t>化学需氧量（COD</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75" w:type="pct"/>
            <w:vAlign w:val="center"/>
          </w:tcPr>
          <w:p>
            <w:pPr>
              <w:adjustRightInd w:val="0"/>
              <w:snapToGrid w:val="0"/>
              <w:spacing w:line="300" w:lineRule="exact"/>
              <w:ind w:firstLine="0" w:firstLineChars="0"/>
              <w:jc w:val="center"/>
              <w:rPr>
                <w:color w:val="000000"/>
                <w:sz w:val="24"/>
              </w:rPr>
            </w:pPr>
            <w:r>
              <w:rPr>
                <w:color w:val="000000"/>
                <w:sz w:val="24"/>
              </w:rPr>
              <w:t>五日生化需氧量</w:t>
            </w:r>
            <w:r>
              <w:rPr>
                <w:rFonts w:hint="eastAsia"/>
                <w:color w:val="000000"/>
                <w:sz w:val="24"/>
              </w:rPr>
              <w:t>（</w:t>
            </w:r>
            <w:r>
              <w:rPr>
                <w:color w:val="000000"/>
                <w:sz w:val="24"/>
              </w:rPr>
              <w:t>BOD</w:t>
            </w:r>
            <w:r>
              <w:rPr>
                <w:color w:val="000000"/>
                <w:sz w:val="24"/>
                <w:vertAlign w:val="subscript"/>
              </w:rPr>
              <w:t>5</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0.9</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0.7</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0.8</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875" w:type="pct"/>
            <w:vAlign w:val="center"/>
          </w:tcPr>
          <w:p>
            <w:pPr>
              <w:adjustRightInd w:val="0"/>
              <w:snapToGrid w:val="0"/>
              <w:spacing w:line="300" w:lineRule="exact"/>
              <w:ind w:firstLine="0" w:firstLineChars="0"/>
              <w:jc w:val="center"/>
              <w:rPr>
                <w:color w:val="000000"/>
                <w:sz w:val="24"/>
              </w:rPr>
            </w:pPr>
            <w:r>
              <w:rPr>
                <w:color w:val="000000"/>
                <w:sz w:val="24"/>
              </w:rPr>
              <w:t>氨氮</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0.03L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0.08</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0.15</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0.08</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总磷（以P计）</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0.01</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0.03</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0.01</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0.01</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总氮</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0.8</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1.04</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1.27</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1.05</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铜</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0.001L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0.001L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0.001L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0.002</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锌</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氟化物</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0.118</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0.085</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0.042</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0.066</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硒</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0.0004L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0.0004L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0.0004L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0.0004L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砷</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0.001</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汞</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0.00004L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0.00004L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0.00004L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0.00004L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镉</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0.0001L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0.0001L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0.0001L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0.0001L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六价铬</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铅</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0.002L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0.002L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0.002L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0.002L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vAlign w:val="center"/>
          </w:tcPr>
          <w:p>
            <w:pPr>
              <w:adjustRightInd w:val="0"/>
              <w:snapToGrid w:val="0"/>
              <w:spacing w:line="300" w:lineRule="exact"/>
              <w:ind w:firstLine="0" w:firstLineChars="0"/>
              <w:jc w:val="center"/>
              <w:rPr>
                <w:color w:val="000000"/>
                <w:sz w:val="24"/>
              </w:rPr>
            </w:pPr>
            <w:r>
              <w:rPr>
                <w:color w:val="000000"/>
                <w:sz w:val="24"/>
              </w:rPr>
              <w:t>氰化物</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0.004L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挥发酚</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0.0006</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0.0003L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石油类</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0.01L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0.01L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0.01L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0.01L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阴离子表面活性剂</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0.05L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硫化物</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0.005L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0.005L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0.005L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0.005L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粪大肠菌群</w:t>
            </w:r>
            <w:r>
              <w:rPr>
                <w:rFonts w:hint="eastAsia"/>
                <w:color w:val="000000"/>
                <w:sz w:val="24"/>
              </w:rPr>
              <w:t>（个</w:t>
            </w:r>
            <w:r>
              <w:rPr>
                <w:color w:val="000000"/>
                <w:sz w:val="24"/>
              </w:rPr>
              <w:t>/L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20L</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20L</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160000</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50</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硫酸盐</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21.7</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16.6</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17.2</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13.7</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氯化物</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2.01</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1.21</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2.27</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1.47</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硝酸盐</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0.677</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0.9</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0.909</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0.646</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铁</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0.06</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0.08</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0.03L</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0.15</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color w:val="000000"/>
                <w:sz w:val="24"/>
              </w:rPr>
              <w:t>锰</w:t>
            </w:r>
            <w:r>
              <w:rPr>
                <w:rFonts w:hint="eastAsia"/>
                <w:color w:val="000000"/>
                <w:sz w:val="24"/>
              </w:rPr>
              <w:t>（</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0.02</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0.03</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0.01</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0.01L</w:t>
            </w:r>
          </w:p>
        </w:tc>
        <w:tc>
          <w:tcPr>
            <w:tcW w:w="909" w:type="pct"/>
            <w:vAlign w:val="center"/>
          </w:tcPr>
          <w:p>
            <w:pPr>
              <w:adjustRightInd w:val="0"/>
              <w:snapToGrid w:val="0"/>
              <w:spacing w:line="300" w:lineRule="exact"/>
              <w:ind w:firstLine="0" w:firstLineChars="0"/>
              <w:jc w:val="center"/>
              <w:rPr>
                <w:color w:val="000000"/>
                <w:sz w:val="24"/>
              </w:rPr>
            </w:pPr>
            <w:r>
              <w:rPr>
                <w:color w:val="000000"/>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rFonts w:hint="eastAsia"/>
                <w:color w:val="000000"/>
                <w:sz w:val="24"/>
              </w:rPr>
              <w:t>透明度（cm）</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191</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203</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245</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188</w:t>
            </w:r>
          </w:p>
        </w:tc>
        <w:tc>
          <w:tcPr>
            <w:tcW w:w="909" w:type="pct"/>
            <w:vAlign w:val="center"/>
          </w:tcPr>
          <w:p>
            <w:pPr>
              <w:adjustRightInd w:val="0"/>
              <w:snapToGrid w:val="0"/>
              <w:spacing w:line="300" w:lineRule="exact"/>
              <w:ind w:firstLine="0" w:firstLineChars="0"/>
              <w:jc w:val="center"/>
              <w:rPr>
                <w:color w:val="000000"/>
                <w:sz w:val="24"/>
              </w:rPr>
            </w:pPr>
            <w:r>
              <w:rPr>
                <w:rFonts w:hint="eastAsia"/>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pPr>
              <w:adjustRightInd w:val="0"/>
              <w:snapToGrid w:val="0"/>
              <w:spacing w:line="300" w:lineRule="exact"/>
              <w:ind w:firstLine="0" w:firstLineChars="0"/>
              <w:jc w:val="center"/>
              <w:rPr>
                <w:color w:val="000000"/>
                <w:sz w:val="24"/>
              </w:rPr>
            </w:pPr>
            <w:r>
              <w:rPr>
                <w:rFonts w:hint="eastAsia"/>
                <w:color w:val="000000"/>
                <w:sz w:val="24"/>
              </w:rPr>
              <w:t>叶绿素a（</w:t>
            </w:r>
            <w:r>
              <w:rPr>
                <w:color w:val="000000"/>
                <w:sz w:val="24"/>
              </w:rPr>
              <w:t>mg/L</w:t>
            </w:r>
            <w:r>
              <w:rPr>
                <w:rFonts w:hint="eastAsia"/>
                <w:color w:val="000000"/>
                <w:sz w:val="24"/>
              </w:rPr>
              <w:t>）</w:t>
            </w:r>
          </w:p>
        </w:tc>
        <w:tc>
          <w:tcPr>
            <w:tcW w:w="776" w:type="pct"/>
            <w:vAlign w:val="center"/>
          </w:tcPr>
          <w:p>
            <w:pPr>
              <w:adjustRightInd w:val="0"/>
              <w:snapToGrid w:val="0"/>
              <w:spacing w:line="300" w:lineRule="exact"/>
              <w:ind w:firstLine="0" w:firstLineChars="0"/>
              <w:jc w:val="center"/>
              <w:rPr>
                <w:color w:val="000000"/>
                <w:sz w:val="24"/>
              </w:rPr>
            </w:pPr>
            <w:r>
              <w:rPr>
                <w:color w:val="000000"/>
                <w:sz w:val="24"/>
              </w:rPr>
              <w:t>0.003</w:t>
            </w:r>
          </w:p>
        </w:tc>
        <w:tc>
          <w:tcPr>
            <w:tcW w:w="795" w:type="pct"/>
            <w:vAlign w:val="center"/>
          </w:tcPr>
          <w:p>
            <w:pPr>
              <w:adjustRightInd w:val="0"/>
              <w:snapToGrid w:val="0"/>
              <w:spacing w:line="300" w:lineRule="exact"/>
              <w:ind w:firstLine="0" w:firstLineChars="0"/>
              <w:jc w:val="center"/>
              <w:rPr>
                <w:color w:val="000000"/>
                <w:sz w:val="24"/>
              </w:rPr>
            </w:pPr>
            <w:r>
              <w:rPr>
                <w:color w:val="000000"/>
                <w:sz w:val="24"/>
              </w:rPr>
              <w:t>0.003</w:t>
            </w:r>
          </w:p>
        </w:tc>
        <w:tc>
          <w:tcPr>
            <w:tcW w:w="792" w:type="pct"/>
            <w:vAlign w:val="center"/>
          </w:tcPr>
          <w:p>
            <w:pPr>
              <w:adjustRightInd w:val="0"/>
              <w:snapToGrid w:val="0"/>
              <w:spacing w:line="300" w:lineRule="exact"/>
              <w:ind w:firstLine="0" w:firstLineChars="0"/>
              <w:jc w:val="center"/>
              <w:rPr>
                <w:color w:val="000000"/>
                <w:sz w:val="24"/>
              </w:rPr>
            </w:pPr>
            <w:r>
              <w:rPr>
                <w:color w:val="000000"/>
                <w:sz w:val="24"/>
              </w:rPr>
              <w:t>0.005</w:t>
            </w:r>
          </w:p>
        </w:tc>
        <w:tc>
          <w:tcPr>
            <w:tcW w:w="853" w:type="pct"/>
            <w:vAlign w:val="center"/>
          </w:tcPr>
          <w:p>
            <w:pPr>
              <w:adjustRightInd w:val="0"/>
              <w:snapToGrid w:val="0"/>
              <w:spacing w:line="300" w:lineRule="exact"/>
              <w:ind w:firstLine="0" w:firstLineChars="0"/>
              <w:jc w:val="center"/>
              <w:rPr>
                <w:color w:val="000000"/>
                <w:sz w:val="24"/>
              </w:rPr>
            </w:pPr>
            <w:r>
              <w:rPr>
                <w:color w:val="000000"/>
                <w:sz w:val="24"/>
              </w:rPr>
              <w:t>0.004</w:t>
            </w:r>
          </w:p>
        </w:tc>
        <w:tc>
          <w:tcPr>
            <w:tcW w:w="909" w:type="pct"/>
            <w:vAlign w:val="center"/>
          </w:tcPr>
          <w:p>
            <w:pPr>
              <w:adjustRightInd w:val="0"/>
              <w:snapToGrid w:val="0"/>
              <w:spacing w:line="300" w:lineRule="exact"/>
              <w:ind w:firstLine="0" w:firstLineChars="0"/>
              <w:jc w:val="center"/>
              <w:rPr>
                <w:color w:val="000000"/>
                <w:sz w:val="24"/>
              </w:rPr>
            </w:pPr>
            <w:r>
              <w:rPr>
                <w:rFonts w:hint="eastAsia"/>
                <w:color w:val="000000"/>
                <w:sz w:val="24"/>
              </w:rPr>
              <w:t>/</w:t>
            </w:r>
          </w:p>
        </w:tc>
      </w:tr>
    </w:tbl>
    <w:p>
      <w:pPr>
        <w:ind w:firstLine="632"/>
      </w:pPr>
    </w:p>
    <w:p>
      <w:pPr>
        <w:pStyle w:val="3"/>
        <w:ind w:firstLine="632"/>
      </w:pPr>
      <w:bookmarkStart w:id="74" w:name="_Toc126335845"/>
      <w:bookmarkStart w:id="75" w:name="_Toc116914456"/>
      <w:r>
        <w:rPr>
          <w:rFonts w:hint="eastAsia"/>
        </w:rPr>
        <w:t>3</w:t>
      </w:r>
      <w:r>
        <w:t>水源地环境风险源识别</w:t>
      </w:r>
      <w:bookmarkEnd w:id="74"/>
      <w:bookmarkEnd w:id="75"/>
    </w:p>
    <w:p>
      <w:pPr>
        <w:ind w:firstLine="632"/>
      </w:pPr>
      <w:r>
        <w:t>环境风险是环境风险事件发生及造成损失的可能性和不确定性。按照环境风险系统理论，环境风险事件的发生取决于风险源、初级控制机制、次级控制机制、风险受体。风险源含有大量的风险因子，当初级控制机制失效时，风险源中风险因子释放出来进入环境空间，此时，如果次级控制机制失效，则风险因子在空间中产生转移，形成环境风险场，当环境风险场与受体空间重叠，则环境风险因子与风险受体，导致风险受体受损，从而发生环境风险事件。风险源和风险受体是环境风险形成的重要因素，而初级/次级控制机制则是控制环境风险发生的重要手段，</w:t>
      </w:r>
      <w:r>
        <w:rPr>
          <w:rFonts w:hint="eastAsia"/>
        </w:rPr>
        <w:t>红旗水库水源地</w:t>
      </w:r>
      <w:r>
        <w:t>作为本次评估的环境风险受体，本报告将从环境风险系统理论出发，对周边环境风险源进行识别。</w:t>
      </w:r>
    </w:p>
    <w:p>
      <w:pPr>
        <w:pStyle w:val="4"/>
        <w:ind w:firstLine="632"/>
      </w:pPr>
      <w:bookmarkStart w:id="76" w:name="_Toc116914457"/>
      <w:bookmarkStart w:id="77" w:name="_Toc126335846"/>
      <w:r>
        <w:rPr>
          <w:rFonts w:hint="eastAsia"/>
        </w:rPr>
        <w:t>3</w:t>
      </w:r>
      <w:r>
        <w:t>.1固定风险源识别</w:t>
      </w:r>
      <w:bookmarkEnd w:id="76"/>
      <w:bookmarkEnd w:id="77"/>
    </w:p>
    <w:p>
      <w:pPr>
        <w:ind w:firstLine="632"/>
      </w:pPr>
      <w:r>
        <w:rPr>
          <w:rFonts w:hint="eastAsia"/>
        </w:rPr>
        <w:t>经调查，红旗水库水源地评估范围内无固定风险源。</w:t>
      </w:r>
    </w:p>
    <w:p>
      <w:pPr>
        <w:pStyle w:val="4"/>
        <w:ind w:firstLine="632"/>
      </w:pPr>
      <w:bookmarkStart w:id="78" w:name="_Toc116914458"/>
      <w:bookmarkStart w:id="79" w:name="_Toc126335847"/>
      <w:r>
        <w:rPr>
          <w:rFonts w:hint="eastAsia"/>
        </w:rPr>
        <w:t>3</w:t>
      </w:r>
      <w:r>
        <w:t>.2流动风险源识别</w:t>
      </w:r>
      <w:bookmarkEnd w:id="78"/>
      <w:bookmarkEnd w:id="79"/>
    </w:p>
    <w:p>
      <w:pPr>
        <w:ind w:firstLine="632"/>
      </w:pPr>
      <w:r>
        <w:rPr>
          <w:rFonts w:hint="eastAsia"/>
        </w:rPr>
        <w:t>经调查，红旗水库水源地评估范围内存在1条省道S</w:t>
      </w:r>
      <w:r>
        <w:t>515</w:t>
      </w:r>
      <w:r>
        <w:rPr>
          <w:rFonts w:hint="eastAsia"/>
        </w:rPr>
        <w:t>和2条农村道路穿越</w:t>
      </w:r>
      <w:bookmarkStart w:id="80" w:name="_Hlk120817202"/>
      <w:r>
        <w:rPr>
          <w:rFonts w:hint="eastAsia"/>
        </w:rPr>
        <w:t>，主要用于当地村民出行</w:t>
      </w:r>
      <w:bookmarkEnd w:id="80"/>
      <w:r>
        <w:rPr>
          <w:rFonts w:hint="eastAsia"/>
        </w:rPr>
        <w:t>。</w:t>
      </w:r>
    </w:p>
    <w:p>
      <w:pPr>
        <w:pStyle w:val="4"/>
        <w:ind w:firstLine="632"/>
      </w:pPr>
      <w:bookmarkStart w:id="81" w:name="_Toc116914459"/>
      <w:bookmarkStart w:id="82" w:name="_Toc126335848"/>
      <w:r>
        <w:rPr>
          <w:rFonts w:hint="eastAsia"/>
        </w:rPr>
        <w:t>3</w:t>
      </w:r>
      <w:r>
        <w:t>.3非点源风险识别</w:t>
      </w:r>
      <w:bookmarkEnd w:id="81"/>
      <w:bookmarkEnd w:id="82"/>
    </w:p>
    <w:p>
      <w:pPr>
        <w:ind w:firstLine="632"/>
      </w:pPr>
      <w:r>
        <w:rPr>
          <w:rFonts w:hint="eastAsia"/>
        </w:rPr>
        <w:t>红旗水库水源地非点源主要包括汇水区范围内约</w:t>
      </w:r>
      <w:r>
        <w:t>13</w:t>
      </w:r>
      <w:r>
        <w:rPr>
          <w:rFonts w:hint="eastAsia"/>
        </w:rPr>
        <w:t>户散户居民的生活污染，经过逐轮“厕所革命”和生活污水纳管处理等，红旗水库水源地汇水区内生活污水正逐步得到有效治理，逐渐减轻了对红旗水库水源地水质的影响。水源地评估范围内主要涉及耕地，垫江县对农业种植采取严格的农药、化肥使用制度，不会对红旗水库水源地造成直接较大影响。</w:t>
      </w:r>
    </w:p>
    <w:p>
      <w:pPr>
        <w:pStyle w:val="4"/>
        <w:ind w:firstLine="632"/>
      </w:pPr>
      <w:bookmarkStart w:id="83" w:name="_Toc26599"/>
      <w:bookmarkStart w:id="84" w:name="_Toc23645"/>
      <w:bookmarkStart w:id="85" w:name="_Toc116914460"/>
      <w:bookmarkStart w:id="86" w:name="_Toc126335849"/>
      <w:r>
        <w:rPr>
          <w:rFonts w:hint="eastAsia"/>
        </w:rPr>
        <w:t>3</w:t>
      </w:r>
      <w:r>
        <w:t>.4</w:t>
      </w:r>
      <w:r>
        <w:rPr>
          <w:rFonts w:hint="eastAsia"/>
        </w:rPr>
        <w:t>水华风险识别</w:t>
      </w:r>
      <w:bookmarkEnd w:id="83"/>
      <w:bookmarkEnd w:id="84"/>
      <w:bookmarkEnd w:id="85"/>
      <w:bookmarkEnd w:id="86"/>
    </w:p>
    <w:p>
      <w:pPr>
        <w:ind w:firstLine="632"/>
      </w:pPr>
      <w:r>
        <w:rPr>
          <w:rFonts w:hint="eastAsia"/>
        </w:rPr>
        <w:t>经调查，红旗水库水源地无水华风险。</w:t>
      </w:r>
    </w:p>
    <w:p>
      <w:pPr>
        <w:pStyle w:val="4"/>
        <w:ind w:firstLine="632"/>
      </w:pPr>
      <w:bookmarkStart w:id="87" w:name="_Toc116908668"/>
      <w:bookmarkStart w:id="88" w:name="_Toc116908885"/>
      <w:bookmarkStart w:id="89" w:name="_Toc116914461"/>
      <w:bookmarkStart w:id="90" w:name="_Toc126335850"/>
      <w:r>
        <w:rPr>
          <w:rFonts w:hint="eastAsia"/>
        </w:rPr>
        <w:t>3</w:t>
      </w:r>
      <w:r>
        <w:t>.5</w:t>
      </w:r>
      <w:r>
        <w:rPr>
          <w:rFonts w:hint="eastAsia"/>
        </w:rPr>
        <w:t>主要环境风险物质特性</w:t>
      </w:r>
      <w:bookmarkEnd w:id="87"/>
      <w:bookmarkEnd w:id="88"/>
      <w:bookmarkEnd w:id="89"/>
      <w:bookmarkEnd w:id="90"/>
    </w:p>
    <w:p>
      <w:pPr>
        <w:ind w:firstLine="632"/>
      </w:pPr>
      <w:r>
        <w:t>根据调查</w:t>
      </w:r>
      <w:r>
        <w:rPr>
          <w:rFonts w:hint="eastAsia"/>
        </w:rPr>
        <w:t>，红旗水库水源地的环境风险主要为交通事故以及农田径流，</w:t>
      </w:r>
      <w:bookmarkStart w:id="91" w:name="_Hlk120818130"/>
      <w:r>
        <w:rPr>
          <w:rFonts w:hint="eastAsia"/>
        </w:rPr>
        <w:t>所涉及的环境风险物质主要包括磷汽油、柴油、磷酸钙、尿素、硝态氮肥、杀虫剂、除草剂等。</w:t>
      </w:r>
      <w:bookmarkEnd w:id="91"/>
      <w:r>
        <w:t>涉及环境风险物质的具体信息如表3-1所示。</w:t>
      </w:r>
    </w:p>
    <w:p>
      <w:pPr>
        <w:ind w:firstLine="0" w:firstLineChars="0"/>
        <w:jc w:val="center"/>
        <w:rPr>
          <w:rFonts w:eastAsia="方正黑体_GBK"/>
          <w:color w:val="FF0000"/>
          <w:sz w:val="28"/>
          <w:szCs w:val="28"/>
        </w:rPr>
      </w:pPr>
      <w:r>
        <w:rPr>
          <w:rFonts w:eastAsia="方正黑体_GBK"/>
          <w:sz w:val="28"/>
          <w:szCs w:val="28"/>
        </w:rPr>
        <w:t>表3-1</w:t>
      </w:r>
      <w:r>
        <w:rPr>
          <w:rFonts w:hint="eastAsia" w:eastAsia="方正黑体_GBK"/>
          <w:sz w:val="28"/>
          <w:szCs w:val="28"/>
        </w:rPr>
        <w:t xml:space="preserve">  红旗水库水源地</w:t>
      </w:r>
      <w:r>
        <w:rPr>
          <w:rFonts w:eastAsia="方正黑体_GBK"/>
          <w:sz w:val="28"/>
          <w:szCs w:val="28"/>
        </w:rPr>
        <w:t>涉及环境风险物质基本情况表</w:t>
      </w:r>
    </w:p>
    <w:p>
      <w:pPr>
        <w:spacing w:line="24" w:lineRule="exact"/>
        <w:ind w:firstLine="632"/>
      </w:pPr>
    </w:p>
    <w:tbl>
      <w:tblPr>
        <w:tblStyle w:val="47"/>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9"/>
        <w:gridCol w:w="1105"/>
        <w:gridCol w:w="1154"/>
        <w:gridCol w:w="818"/>
        <w:gridCol w:w="832"/>
        <w:gridCol w:w="864"/>
        <w:gridCol w:w="887"/>
        <w:gridCol w:w="754"/>
        <w:gridCol w:w="612"/>
        <w:gridCol w:w="11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395" w:type="pct"/>
            <w:vMerge w:val="restart"/>
            <w:tcBorders>
              <w:bottom w:val="nil"/>
            </w:tcBorders>
            <w:vAlign w:val="center"/>
          </w:tcPr>
          <w:p>
            <w:pPr>
              <w:adjustRightInd w:val="0"/>
              <w:snapToGrid w:val="0"/>
              <w:spacing w:line="300" w:lineRule="exact"/>
              <w:ind w:firstLine="0" w:firstLineChars="0"/>
              <w:jc w:val="center"/>
              <w:rPr>
                <w:rFonts w:eastAsia="方正黑体_GBK"/>
                <w:sz w:val="24"/>
              </w:rPr>
            </w:pPr>
            <w:r>
              <w:rPr>
                <w:rFonts w:eastAsia="方正黑体_GBK"/>
                <w:spacing w:val="-3"/>
                <w:sz w:val="24"/>
              </w:rPr>
              <w:t>序号</w:t>
            </w:r>
          </w:p>
        </w:tc>
        <w:tc>
          <w:tcPr>
            <w:tcW w:w="623" w:type="pct"/>
            <w:vMerge w:val="restart"/>
            <w:tcBorders>
              <w:bottom w:val="nil"/>
            </w:tcBorders>
            <w:vAlign w:val="center"/>
          </w:tcPr>
          <w:p>
            <w:pPr>
              <w:adjustRightInd w:val="0"/>
              <w:snapToGrid w:val="0"/>
              <w:spacing w:line="300" w:lineRule="exact"/>
              <w:ind w:firstLine="0" w:firstLineChars="0"/>
              <w:jc w:val="center"/>
              <w:rPr>
                <w:rFonts w:eastAsia="方正黑体_GBK"/>
                <w:sz w:val="24"/>
              </w:rPr>
            </w:pPr>
            <w:r>
              <w:rPr>
                <w:rFonts w:eastAsia="方正黑体_GBK"/>
                <w:spacing w:val="-3"/>
                <w:sz w:val="24"/>
              </w:rPr>
              <w:t>物质名称</w:t>
            </w:r>
          </w:p>
        </w:tc>
        <w:tc>
          <w:tcPr>
            <w:tcW w:w="651" w:type="pct"/>
            <w:vMerge w:val="restart"/>
            <w:tcBorders>
              <w:bottom w:val="nil"/>
            </w:tcBorders>
            <w:vAlign w:val="center"/>
          </w:tcPr>
          <w:p>
            <w:pPr>
              <w:adjustRightInd w:val="0"/>
              <w:snapToGrid w:val="0"/>
              <w:spacing w:line="300" w:lineRule="exact"/>
              <w:ind w:firstLine="0" w:firstLineChars="0"/>
              <w:jc w:val="center"/>
              <w:rPr>
                <w:rFonts w:eastAsia="方正黑体_GBK"/>
                <w:sz w:val="24"/>
              </w:rPr>
            </w:pPr>
            <w:r>
              <w:rPr>
                <w:rFonts w:eastAsia="方正黑体_GBK"/>
                <w:spacing w:val="-2"/>
                <w:sz w:val="24"/>
              </w:rPr>
              <w:t>CAS号</w:t>
            </w:r>
          </w:p>
        </w:tc>
        <w:tc>
          <w:tcPr>
            <w:tcW w:w="1917" w:type="pct"/>
            <w:gridSpan w:val="4"/>
            <w:vAlign w:val="center"/>
          </w:tcPr>
          <w:p>
            <w:pPr>
              <w:adjustRightInd w:val="0"/>
              <w:snapToGrid w:val="0"/>
              <w:spacing w:line="300" w:lineRule="exact"/>
              <w:ind w:firstLine="0" w:firstLineChars="0"/>
              <w:jc w:val="center"/>
              <w:rPr>
                <w:rFonts w:eastAsia="方正黑体_GBK"/>
                <w:sz w:val="24"/>
              </w:rPr>
            </w:pPr>
            <w:r>
              <w:rPr>
                <w:rFonts w:eastAsia="方正黑体_GBK"/>
                <w:spacing w:val="-3"/>
                <w:sz w:val="24"/>
              </w:rPr>
              <w:t>主要危险性</w:t>
            </w:r>
          </w:p>
        </w:tc>
        <w:tc>
          <w:tcPr>
            <w:tcW w:w="770" w:type="pct"/>
            <w:gridSpan w:val="2"/>
            <w:vAlign w:val="center"/>
          </w:tcPr>
          <w:p>
            <w:pPr>
              <w:adjustRightInd w:val="0"/>
              <w:snapToGrid w:val="0"/>
              <w:spacing w:line="300" w:lineRule="exact"/>
              <w:ind w:firstLine="0" w:firstLineChars="0"/>
              <w:jc w:val="center"/>
              <w:rPr>
                <w:rFonts w:eastAsia="方正黑体_GBK"/>
                <w:sz w:val="24"/>
              </w:rPr>
            </w:pPr>
            <w:r>
              <w:rPr>
                <w:rFonts w:eastAsia="方正黑体_GBK"/>
                <w:spacing w:val="-2"/>
                <w:sz w:val="24"/>
              </w:rPr>
              <w:t>环境风险类型</w:t>
            </w:r>
          </w:p>
        </w:tc>
        <w:tc>
          <w:tcPr>
            <w:tcW w:w="644" w:type="pct"/>
            <w:vMerge w:val="restart"/>
            <w:tcBorders>
              <w:bottom w:val="nil"/>
            </w:tcBorders>
            <w:vAlign w:val="center"/>
          </w:tcPr>
          <w:p>
            <w:pPr>
              <w:adjustRightInd w:val="0"/>
              <w:snapToGrid w:val="0"/>
              <w:spacing w:line="300" w:lineRule="exact"/>
              <w:ind w:firstLine="0" w:firstLineChars="0"/>
              <w:jc w:val="center"/>
              <w:rPr>
                <w:rFonts w:eastAsia="方正黑体_GBK"/>
                <w:sz w:val="24"/>
              </w:rPr>
            </w:pPr>
            <w:r>
              <w:rPr>
                <w:rFonts w:eastAsia="方正黑体_GBK"/>
                <w:spacing w:val="-5"/>
                <w:sz w:val="24"/>
              </w:rPr>
              <w:t>是否属</w:t>
            </w:r>
            <w:r>
              <w:rPr>
                <w:rFonts w:eastAsia="方正黑体_GBK"/>
                <w:spacing w:val="-4"/>
                <w:sz w:val="24"/>
              </w:rPr>
              <w:t>环境风险物质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395" w:type="pct"/>
            <w:vMerge w:val="continue"/>
            <w:tcBorders>
              <w:top w:val="nil"/>
            </w:tcBorders>
            <w:vAlign w:val="center"/>
          </w:tcPr>
          <w:p>
            <w:pPr>
              <w:adjustRightInd w:val="0"/>
              <w:snapToGrid w:val="0"/>
              <w:spacing w:line="300" w:lineRule="exact"/>
              <w:ind w:firstLine="0" w:firstLineChars="0"/>
              <w:jc w:val="center"/>
              <w:rPr>
                <w:rFonts w:ascii="Arial"/>
                <w:sz w:val="24"/>
              </w:rPr>
            </w:pPr>
          </w:p>
        </w:tc>
        <w:tc>
          <w:tcPr>
            <w:tcW w:w="623" w:type="pct"/>
            <w:vMerge w:val="continue"/>
            <w:tcBorders>
              <w:top w:val="nil"/>
            </w:tcBorders>
            <w:vAlign w:val="center"/>
          </w:tcPr>
          <w:p>
            <w:pPr>
              <w:adjustRightInd w:val="0"/>
              <w:snapToGrid w:val="0"/>
              <w:spacing w:line="300" w:lineRule="exact"/>
              <w:ind w:firstLine="0" w:firstLineChars="0"/>
              <w:jc w:val="center"/>
              <w:rPr>
                <w:rFonts w:ascii="Arial"/>
                <w:sz w:val="24"/>
              </w:rPr>
            </w:pPr>
          </w:p>
        </w:tc>
        <w:tc>
          <w:tcPr>
            <w:tcW w:w="651" w:type="pct"/>
            <w:vMerge w:val="continue"/>
            <w:tcBorders>
              <w:top w:val="nil"/>
            </w:tcBorders>
            <w:vAlign w:val="center"/>
          </w:tcPr>
          <w:p>
            <w:pPr>
              <w:adjustRightInd w:val="0"/>
              <w:snapToGrid w:val="0"/>
              <w:spacing w:line="300" w:lineRule="exact"/>
              <w:ind w:firstLine="0" w:firstLineChars="0"/>
              <w:jc w:val="center"/>
              <w:rPr>
                <w:rFonts w:ascii="Arial"/>
                <w:sz w:val="24"/>
              </w:rPr>
            </w:pPr>
          </w:p>
        </w:tc>
        <w:tc>
          <w:tcPr>
            <w:tcW w:w="461"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毒害性</w:t>
            </w:r>
          </w:p>
        </w:tc>
        <w:tc>
          <w:tcPr>
            <w:tcW w:w="469"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易燃性</w:t>
            </w:r>
          </w:p>
        </w:tc>
        <w:tc>
          <w:tcPr>
            <w:tcW w:w="487"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易爆性</w:t>
            </w:r>
          </w:p>
        </w:tc>
        <w:tc>
          <w:tcPr>
            <w:tcW w:w="500"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腐蚀性</w:t>
            </w:r>
          </w:p>
        </w:tc>
        <w:tc>
          <w:tcPr>
            <w:tcW w:w="425"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涉水</w:t>
            </w:r>
          </w:p>
        </w:tc>
        <w:tc>
          <w:tcPr>
            <w:tcW w:w="345" w:type="pct"/>
            <w:vAlign w:val="center"/>
          </w:tcPr>
          <w:p>
            <w:pPr>
              <w:adjustRightInd w:val="0"/>
              <w:snapToGrid w:val="0"/>
              <w:spacing w:line="300" w:lineRule="exact"/>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pacing w:val="-4"/>
                <w:sz w:val="24"/>
              </w:rPr>
              <w:t>涉气</w:t>
            </w:r>
          </w:p>
        </w:tc>
        <w:tc>
          <w:tcPr>
            <w:tcW w:w="644" w:type="pct"/>
            <w:vMerge w:val="continue"/>
            <w:tcBorders>
              <w:top w:val="nil"/>
            </w:tcBorders>
            <w:vAlign w:val="center"/>
          </w:tcPr>
          <w:p>
            <w:pPr>
              <w:adjustRightInd w:val="0"/>
              <w:snapToGrid w:val="0"/>
              <w:spacing w:line="300" w:lineRule="exact"/>
              <w:ind w:firstLine="0" w:firstLineChars="0"/>
              <w:jc w:val="center"/>
              <w:rPr>
                <w:rFonts w:ascii="Arial"/>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395" w:type="pct"/>
            <w:vAlign w:val="center"/>
          </w:tcPr>
          <w:p>
            <w:pPr>
              <w:adjustRightInd w:val="0"/>
              <w:snapToGrid w:val="0"/>
              <w:spacing w:line="300" w:lineRule="exact"/>
              <w:ind w:firstLine="0" w:firstLineChars="0"/>
              <w:jc w:val="center"/>
              <w:rPr>
                <w:sz w:val="24"/>
              </w:rPr>
            </w:pPr>
            <w:r>
              <w:rPr>
                <w:rFonts w:hint="eastAsia"/>
                <w:sz w:val="24"/>
              </w:rPr>
              <w:t>1</w:t>
            </w:r>
          </w:p>
        </w:tc>
        <w:tc>
          <w:tcPr>
            <w:tcW w:w="623" w:type="pct"/>
          </w:tcPr>
          <w:p>
            <w:pPr>
              <w:adjustRightInd w:val="0"/>
              <w:snapToGrid w:val="0"/>
              <w:spacing w:line="300" w:lineRule="exact"/>
              <w:ind w:firstLine="0" w:firstLineChars="0"/>
              <w:jc w:val="center"/>
              <w:rPr>
                <w:spacing w:val="-17"/>
                <w:w w:val="96"/>
                <w:sz w:val="24"/>
              </w:rPr>
            </w:pPr>
            <w:r>
              <w:rPr>
                <w:spacing w:val="-17"/>
                <w:w w:val="96"/>
                <w:sz w:val="24"/>
              </w:rPr>
              <w:t>汽油（92、</w:t>
            </w:r>
            <w:r>
              <w:rPr>
                <w:spacing w:val="-6"/>
                <w:sz w:val="24"/>
              </w:rPr>
              <w:t>95、98）</w:t>
            </w:r>
          </w:p>
        </w:tc>
        <w:tc>
          <w:tcPr>
            <w:tcW w:w="651" w:type="pct"/>
            <w:vAlign w:val="center"/>
          </w:tcPr>
          <w:p>
            <w:pPr>
              <w:adjustRightInd w:val="0"/>
              <w:snapToGrid w:val="0"/>
              <w:spacing w:line="300" w:lineRule="exact"/>
              <w:ind w:firstLine="0" w:firstLineChars="0"/>
              <w:jc w:val="center"/>
              <w:rPr>
                <w:spacing w:val="-1"/>
                <w:sz w:val="24"/>
              </w:rPr>
            </w:pPr>
            <w:r>
              <w:rPr>
                <w:spacing w:val="-1"/>
                <w:sz w:val="24"/>
              </w:rPr>
              <w:t>64742-82-1</w:t>
            </w:r>
          </w:p>
        </w:tc>
        <w:tc>
          <w:tcPr>
            <w:tcW w:w="461" w:type="pct"/>
            <w:vAlign w:val="center"/>
          </w:tcPr>
          <w:p>
            <w:pPr>
              <w:adjustRightInd w:val="0"/>
              <w:snapToGrid w:val="0"/>
              <w:spacing w:line="300" w:lineRule="exact"/>
              <w:ind w:firstLine="0" w:firstLineChars="0"/>
              <w:jc w:val="center"/>
              <w:rPr>
                <w:sz w:val="24"/>
              </w:rPr>
            </w:pPr>
            <w:r>
              <w:rPr>
                <w:sz w:val="24"/>
              </w:rPr>
              <w:t>●</w:t>
            </w:r>
          </w:p>
        </w:tc>
        <w:tc>
          <w:tcPr>
            <w:tcW w:w="469" w:type="pct"/>
            <w:vAlign w:val="center"/>
          </w:tcPr>
          <w:p>
            <w:pPr>
              <w:adjustRightInd w:val="0"/>
              <w:snapToGrid w:val="0"/>
              <w:spacing w:line="300" w:lineRule="exact"/>
              <w:ind w:firstLine="0" w:firstLineChars="0"/>
              <w:jc w:val="center"/>
              <w:rPr>
                <w:sz w:val="24"/>
              </w:rPr>
            </w:pPr>
            <w:r>
              <w:rPr>
                <w:sz w:val="24"/>
              </w:rPr>
              <w:t>●</w:t>
            </w:r>
          </w:p>
        </w:tc>
        <w:tc>
          <w:tcPr>
            <w:tcW w:w="487" w:type="pct"/>
            <w:vAlign w:val="center"/>
          </w:tcPr>
          <w:p>
            <w:pPr>
              <w:adjustRightInd w:val="0"/>
              <w:snapToGrid w:val="0"/>
              <w:spacing w:line="300" w:lineRule="exact"/>
              <w:ind w:firstLine="0" w:firstLineChars="0"/>
              <w:jc w:val="center"/>
              <w:rPr>
                <w:sz w:val="24"/>
              </w:rPr>
            </w:pPr>
            <w:r>
              <w:rPr>
                <w:sz w:val="24"/>
              </w:rPr>
              <w:t>●</w:t>
            </w:r>
          </w:p>
        </w:tc>
        <w:tc>
          <w:tcPr>
            <w:tcW w:w="500" w:type="pct"/>
            <w:vAlign w:val="center"/>
          </w:tcPr>
          <w:p>
            <w:pPr>
              <w:adjustRightInd w:val="0"/>
              <w:snapToGrid w:val="0"/>
              <w:spacing w:line="300" w:lineRule="exact"/>
              <w:ind w:firstLine="0" w:firstLineChars="0"/>
              <w:jc w:val="center"/>
              <w:rPr>
                <w:sz w:val="24"/>
              </w:rPr>
            </w:pPr>
            <w:r>
              <w:rPr>
                <w:sz w:val="24"/>
              </w:rPr>
              <w:t>●</w:t>
            </w:r>
          </w:p>
        </w:tc>
        <w:tc>
          <w:tcPr>
            <w:tcW w:w="425" w:type="pct"/>
            <w:vAlign w:val="center"/>
          </w:tcPr>
          <w:p>
            <w:pPr>
              <w:adjustRightInd w:val="0"/>
              <w:snapToGrid w:val="0"/>
              <w:spacing w:line="300" w:lineRule="exact"/>
              <w:ind w:firstLine="0" w:firstLineChars="0"/>
              <w:jc w:val="center"/>
              <w:rPr>
                <w:sz w:val="24"/>
              </w:rPr>
            </w:pPr>
            <w:r>
              <w:rPr>
                <w:sz w:val="24"/>
              </w:rPr>
              <w:t>●</w:t>
            </w:r>
          </w:p>
        </w:tc>
        <w:tc>
          <w:tcPr>
            <w:tcW w:w="345" w:type="pct"/>
            <w:vAlign w:val="center"/>
          </w:tcPr>
          <w:p>
            <w:pPr>
              <w:adjustRightInd w:val="0"/>
              <w:snapToGrid w:val="0"/>
              <w:spacing w:line="300" w:lineRule="exact"/>
              <w:ind w:firstLine="0" w:firstLineChars="0"/>
              <w:jc w:val="center"/>
              <w:rPr>
                <w:sz w:val="24"/>
              </w:rPr>
            </w:pPr>
            <w:r>
              <w:rPr>
                <w:sz w:val="24"/>
              </w:rPr>
              <w:t>●</w:t>
            </w:r>
          </w:p>
        </w:tc>
        <w:tc>
          <w:tcPr>
            <w:tcW w:w="644" w:type="pct"/>
            <w:vAlign w:val="center"/>
          </w:tcPr>
          <w:p>
            <w:pPr>
              <w:adjustRightInd w:val="0"/>
              <w:snapToGrid w:val="0"/>
              <w:spacing w:line="300" w:lineRule="exact"/>
              <w:ind w:firstLine="0" w:firstLineChars="0"/>
              <w:jc w:val="center"/>
              <w:rPr>
                <w:sz w:val="24"/>
              </w:rPr>
            </w:pPr>
            <w:r>
              <w:rPr>
                <w:sz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395" w:type="pct"/>
            <w:vAlign w:val="center"/>
          </w:tcPr>
          <w:p>
            <w:pPr>
              <w:adjustRightInd w:val="0"/>
              <w:snapToGrid w:val="0"/>
              <w:spacing w:line="300" w:lineRule="exact"/>
              <w:ind w:firstLine="0" w:firstLineChars="0"/>
              <w:jc w:val="center"/>
              <w:rPr>
                <w:sz w:val="24"/>
              </w:rPr>
            </w:pPr>
            <w:r>
              <w:rPr>
                <w:rFonts w:hint="eastAsia"/>
                <w:sz w:val="24"/>
              </w:rPr>
              <w:t>2</w:t>
            </w:r>
          </w:p>
        </w:tc>
        <w:tc>
          <w:tcPr>
            <w:tcW w:w="623" w:type="pct"/>
            <w:vAlign w:val="center"/>
          </w:tcPr>
          <w:p>
            <w:pPr>
              <w:adjustRightInd w:val="0"/>
              <w:snapToGrid w:val="0"/>
              <w:spacing w:line="300" w:lineRule="exact"/>
              <w:ind w:firstLine="0" w:firstLineChars="0"/>
              <w:jc w:val="center"/>
              <w:rPr>
                <w:spacing w:val="-1"/>
                <w:sz w:val="24"/>
              </w:rPr>
            </w:pPr>
            <w:r>
              <w:rPr>
                <w:spacing w:val="-4"/>
                <w:sz w:val="24"/>
              </w:rPr>
              <w:t>柴油</w:t>
            </w:r>
          </w:p>
        </w:tc>
        <w:tc>
          <w:tcPr>
            <w:tcW w:w="651" w:type="pct"/>
            <w:vAlign w:val="center"/>
          </w:tcPr>
          <w:p>
            <w:pPr>
              <w:adjustRightInd w:val="0"/>
              <w:snapToGrid w:val="0"/>
              <w:spacing w:line="300" w:lineRule="exact"/>
              <w:ind w:firstLine="0" w:firstLineChars="0"/>
              <w:jc w:val="center"/>
              <w:rPr>
                <w:spacing w:val="-1"/>
                <w:sz w:val="24"/>
              </w:rPr>
            </w:pPr>
            <w:r>
              <w:rPr>
                <w:sz w:val="24"/>
              </w:rPr>
              <w:t>68334-30-5</w:t>
            </w:r>
          </w:p>
        </w:tc>
        <w:tc>
          <w:tcPr>
            <w:tcW w:w="461" w:type="pct"/>
            <w:vAlign w:val="center"/>
          </w:tcPr>
          <w:p>
            <w:pPr>
              <w:adjustRightInd w:val="0"/>
              <w:snapToGrid w:val="0"/>
              <w:spacing w:line="300" w:lineRule="exact"/>
              <w:ind w:firstLine="0" w:firstLineChars="0"/>
              <w:jc w:val="center"/>
              <w:rPr>
                <w:sz w:val="24"/>
              </w:rPr>
            </w:pPr>
            <w:r>
              <w:rPr>
                <w:sz w:val="24"/>
              </w:rPr>
              <w:t>●</w:t>
            </w:r>
          </w:p>
        </w:tc>
        <w:tc>
          <w:tcPr>
            <w:tcW w:w="469" w:type="pct"/>
            <w:vAlign w:val="center"/>
          </w:tcPr>
          <w:p>
            <w:pPr>
              <w:adjustRightInd w:val="0"/>
              <w:snapToGrid w:val="0"/>
              <w:spacing w:line="300" w:lineRule="exact"/>
              <w:ind w:firstLine="0" w:firstLineChars="0"/>
              <w:jc w:val="center"/>
              <w:rPr>
                <w:sz w:val="24"/>
              </w:rPr>
            </w:pPr>
            <w:r>
              <w:rPr>
                <w:sz w:val="24"/>
              </w:rPr>
              <w:t>●</w:t>
            </w:r>
          </w:p>
        </w:tc>
        <w:tc>
          <w:tcPr>
            <w:tcW w:w="487" w:type="pct"/>
            <w:vAlign w:val="center"/>
          </w:tcPr>
          <w:p>
            <w:pPr>
              <w:adjustRightInd w:val="0"/>
              <w:snapToGrid w:val="0"/>
              <w:spacing w:line="300" w:lineRule="exact"/>
              <w:ind w:firstLine="0" w:firstLineChars="0"/>
              <w:jc w:val="center"/>
              <w:rPr>
                <w:sz w:val="24"/>
              </w:rPr>
            </w:pPr>
            <w:r>
              <w:rPr>
                <w:sz w:val="24"/>
              </w:rPr>
              <w:t>●</w:t>
            </w:r>
          </w:p>
        </w:tc>
        <w:tc>
          <w:tcPr>
            <w:tcW w:w="500" w:type="pct"/>
            <w:vAlign w:val="center"/>
          </w:tcPr>
          <w:p>
            <w:pPr>
              <w:adjustRightInd w:val="0"/>
              <w:snapToGrid w:val="0"/>
              <w:spacing w:line="300" w:lineRule="exact"/>
              <w:ind w:firstLine="0" w:firstLineChars="0"/>
              <w:jc w:val="center"/>
              <w:rPr>
                <w:sz w:val="24"/>
              </w:rPr>
            </w:pPr>
            <w:r>
              <w:rPr>
                <w:sz w:val="24"/>
              </w:rPr>
              <w:t>●</w:t>
            </w:r>
          </w:p>
        </w:tc>
        <w:tc>
          <w:tcPr>
            <w:tcW w:w="425" w:type="pct"/>
            <w:vAlign w:val="center"/>
          </w:tcPr>
          <w:p>
            <w:pPr>
              <w:adjustRightInd w:val="0"/>
              <w:snapToGrid w:val="0"/>
              <w:spacing w:line="300" w:lineRule="exact"/>
              <w:ind w:firstLine="0" w:firstLineChars="0"/>
              <w:jc w:val="center"/>
              <w:rPr>
                <w:sz w:val="24"/>
              </w:rPr>
            </w:pPr>
            <w:r>
              <w:rPr>
                <w:sz w:val="24"/>
              </w:rPr>
              <w:t>●</w:t>
            </w:r>
          </w:p>
        </w:tc>
        <w:tc>
          <w:tcPr>
            <w:tcW w:w="345" w:type="pct"/>
            <w:vAlign w:val="center"/>
          </w:tcPr>
          <w:p>
            <w:pPr>
              <w:adjustRightInd w:val="0"/>
              <w:snapToGrid w:val="0"/>
              <w:spacing w:line="300" w:lineRule="exact"/>
              <w:ind w:firstLine="0" w:firstLineChars="0"/>
              <w:jc w:val="center"/>
              <w:rPr>
                <w:sz w:val="24"/>
              </w:rPr>
            </w:pPr>
            <w:r>
              <w:rPr>
                <w:sz w:val="24"/>
              </w:rPr>
              <w:t>●</w:t>
            </w:r>
          </w:p>
        </w:tc>
        <w:tc>
          <w:tcPr>
            <w:tcW w:w="644" w:type="pct"/>
            <w:vAlign w:val="center"/>
          </w:tcPr>
          <w:p>
            <w:pPr>
              <w:adjustRightInd w:val="0"/>
              <w:snapToGrid w:val="0"/>
              <w:spacing w:line="300" w:lineRule="exact"/>
              <w:ind w:firstLine="0" w:firstLineChars="0"/>
              <w:jc w:val="center"/>
              <w:rPr>
                <w:sz w:val="24"/>
              </w:rPr>
            </w:pPr>
            <w:r>
              <w:rPr>
                <w:sz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395" w:type="pct"/>
            <w:vAlign w:val="center"/>
          </w:tcPr>
          <w:p>
            <w:pPr>
              <w:adjustRightInd w:val="0"/>
              <w:snapToGrid w:val="0"/>
              <w:spacing w:line="300" w:lineRule="exact"/>
              <w:ind w:firstLine="0" w:firstLineChars="0"/>
              <w:jc w:val="center"/>
              <w:rPr>
                <w:sz w:val="24"/>
              </w:rPr>
            </w:pPr>
            <w:r>
              <w:rPr>
                <w:rFonts w:hint="eastAsia"/>
                <w:sz w:val="24"/>
              </w:rPr>
              <w:t>3</w:t>
            </w:r>
          </w:p>
        </w:tc>
        <w:tc>
          <w:tcPr>
            <w:tcW w:w="623" w:type="pct"/>
            <w:vAlign w:val="center"/>
          </w:tcPr>
          <w:p>
            <w:pPr>
              <w:adjustRightInd w:val="0"/>
              <w:snapToGrid w:val="0"/>
              <w:spacing w:line="300" w:lineRule="exact"/>
              <w:ind w:firstLine="0" w:firstLineChars="0"/>
              <w:jc w:val="center"/>
              <w:rPr>
                <w:spacing w:val="-1"/>
                <w:sz w:val="24"/>
              </w:rPr>
            </w:pPr>
            <w:r>
              <w:rPr>
                <w:rFonts w:hint="eastAsia"/>
                <w:spacing w:val="-1"/>
                <w:sz w:val="24"/>
              </w:rPr>
              <w:t>磷酸钙</w:t>
            </w:r>
          </w:p>
        </w:tc>
        <w:tc>
          <w:tcPr>
            <w:tcW w:w="651" w:type="pct"/>
            <w:vAlign w:val="center"/>
          </w:tcPr>
          <w:p>
            <w:pPr>
              <w:adjustRightInd w:val="0"/>
              <w:snapToGrid w:val="0"/>
              <w:spacing w:line="300" w:lineRule="exact"/>
              <w:ind w:firstLine="0" w:firstLineChars="0"/>
              <w:jc w:val="center"/>
              <w:rPr>
                <w:spacing w:val="-1"/>
                <w:sz w:val="24"/>
              </w:rPr>
            </w:pPr>
            <w:r>
              <w:rPr>
                <w:spacing w:val="-1"/>
                <w:sz w:val="24"/>
              </w:rPr>
              <w:t>7758-87-4</w:t>
            </w:r>
          </w:p>
        </w:tc>
        <w:tc>
          <w:tcPr>
            <w:tcW w:w="461" w:type="pct"/>
            <w:vAlign w:val="center"/>
          </w:tcPr>
          <w:p>
            <w:pPr>
              <w:adjustRightInd w:val="0"/>
              <w:snapToGrid w:val="0"/>
              <w:spacing w:line="300" w:lineRule="exact"/>
              <w:ind w:firstLine="0" w:firstLineChars="0"/>
              <w:jc w:val="center"/>
              <w:rPr>
                <w:sz w:val="24"/>
              </w:rPr>
            </w:pPr>
            <w:r>
              <w:rPr>
                <w:sz w:val="24"/>
              </w:rPr>
              <w:t>●</w:t>
            </w:r>
          </w:p>
        </w:tc>
        <w:tc>
          <w:tcPr>
            <w:tcW w:w="469" w:type="pct"/>
            <w:vAlign w:val="center"/>
          </w:tcPr>
          <w:p>
            <w:pPr>
              <w:adjustRightInd w:val="0"/>
              <w:snapToGrid w:val="0"/>
              <w:spacing w:line="300" w:lineRule="exact"/>
              <w:ind w:firstLine="0" w:firstLineChars="0"/>
              <w:jc w:val="center"/>
              <w:rPr>
                <w:sz w:val="24"/>
              </w:rPr>
            </w:pPr>
            <w:r>
              <w:rPr>
                <w:rFonts w:hint="eastAsia"/>
                <w:sz w:val="24"/>
              </w:rPr>
              <w:t>/</w:t>
            </w:r>
          </w:p>
        </w:tc>
        <w:tc>
          <w:tcPr>
            <w:tcW w:w="487" w:type="pct"/>
            <w:vAlign w:val="center"/>
          </w:tcPr>
          <w:p>
            <w:pPr>
              <w:adjustRightInd w:val="0"/>
              <w:snapToGrid w:val="0"/>
              <w:spacing w:line="300" w:lineRule="exact"/>
              <w:ind w:firstLine="0" w:firstLineChars="0"/>
              <w:jc w:val="center"/>
              <w:rPr>
                <w:sz w:val="24"/>
              </w:rPr>
            </w:pPr>
            <w:r>
              <w:rPr>
                <w:rFonts w:hint="eastAsia"/>
                <w:sz w:val="24"/>
              </w:rPr>
              <w:t>/</w:t>
            </w:r>
          </w:p>
        </w:tc>
        <w:tc>
          <w:tcPr>
            <w:tcW w:w="500" w:type="pct"/>
            <w:vAlign w:val="center"/>
          </w:tcPr>
          <w:p>
            <w:pPr>
              <w:adjustRightInd w:val="0"/>
              <w:snapToGrid w:val="0"/>
              <w:spacing w:line="300" w:lineRule="exact"/>
              <w:ind w:firstLine="0" w:firstLineChars="0"/>
              <w:jc w:val="center"/>
              <w:rPr>
                <w:sz w:val="24"/>
              </w:rPr>
            </w:pPr>
            <w:r>
              <w:rPr>
                <w:rFonts w:hint="eastAsia"/>
                <w:sz w:val="24"/>
              </w:rPr>
              <w:t>/</w:t>
            </w:r>
          </w:p>
        </w:tc>
        <w:tc>
          <w:tcPr>
            <w:tcW w:w="425" w:type="pct"/>
            <w:vAlign w:val="center"/>
          </w:tcPr>
          <w:p>
            <w:pPr>
              <w:adjustRightInd w:val="0"/>
              <w:snapToGrid w:val="0"/>
              <w:spacing w:line="300" w:lineRule="exact"/>
              <w:ind w:firstLine="0" w:firstLineChars="0"/>
              <w:jc w:val="center"/>
              <w:rPr>
                <w:sz w:val="24"/>
              </w:rPr>
            </w:pPr>
            <w:r>
              <w:rPr>
                <w:sz w:val="24"/>
              </w:rPr>
              <w:t>●</w:t>
            </w:r>
          </w:p>
        </w:tc>
        <w:tc>
          <w:tcPr>
            <w:tcW w:w="345" w:type="pct"/>
            <w:vAlign w:val="center"/>
          </w:tcPr>
          <w:p>
            <w:pPr>
              <w:adjustRightInd w:val="0"/>
              <w:snapToGrid w:val="0"/>
              <w:spacing w:line="300" w:lineRule="exact"/>
              <w:ind w:firstLine="0" w:firstLineChars="0"/>
              <w:jc w:val="center"/>
              <w:rPr>
                <w:sz w:val="24"/>
              </w:rPr>
            </w:pPr>
            <w:r>
              <w:rPr>
                <w:rFonts w:hint="eastAsia"/>
                <w:sz w:val="24"/>
              </w:rPr>
              <w:t>/</w:t>
            </w:r>
          </w:p>
        </w:tc>
        <w:tc>
          <w:tcPr>
            <w:tcW w:w="644" w:type="pct"/>
            <w:vAlign w:val="center"/>
          </w:tcPr>
          <w:p>
            <w:pPr>
              <w:adjustRightInd w:val="0"/>
              <w:snapToGrid w:val="0"/>
              <w:spacing w:line="300" w:lineRule="exact"/>
              <w:ind w:firstLine="0" w:firstLineChars="0"/>
              <w:jc w:val="center"/>
              <w:rPr>
                <w:sz w:val="24"/>
              </w:rPr>
            </w:pPr>
            <w:r>
              <w:rPr>
                <w:sz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395" w:type="pct"/>
            <w:vAlign w:val="center"/>
          </w:tcPr>
          <w:p>
            <w:pPr>
              <w:adjustRightInd w:val="0"/>
              <w:snapToGrid w:val="0"/>
              <w:spacing w:line="300" w:lineRule="exact"/>
              <w:ind w:firstLine="0" w:firstLineChars="0"/>
              <w:jc w:val="center"/>
              <w:rPr>
                <w:sz w:val="24"/>
              </w:rPr>
            </w:pPr>
            <w:r>
              <w:rPr>
                <w:rFonts w:hint="eastAsia"/>
                <w:sz w:val="24"/>
              </w:rPr>
              <w:t>4</w:t>
            </w:r>
          </w:p>
        </w:tc>
        <w:tc>
          <w:tcPr>
            <w:tcW w:w="623" w:type="pct"/>
            <w:vAlign w:val="center"/>
          </w:tcPr>
          <w:p>
            <w:pPr>
              <w:adjustRightInd w:val="0"/>
              <w:snapToGrid w:val="0"/>
              <w:spacing w:line="300" w:lineRule="exact"/>
              <w:ind w:firstLine="0" w:firstLineChars="0"/>
              <w:jc w:val="center"/>
              <w:rPr>
                <w:spacing w:val="-17"/>
                <w:w w:val="96"/>
                <w:sz w:val="24"/>
              </w:rPr>
            </w:pPr>
            <w:r>
              <w:rPr>
                <w:rFonts w:hint="eastAsia"/>
                <w:spacing w:val="-17"/>
                <w:w w:val="96"/>
                <w:sz w:val="24"/>
              </w:rPr>
              <w:t>尿素</w:t>
            </w:r>
          </w:p>
        </w:tc>
        <w:tc>
          <w:tcPr>
            <w:tcW w:w="651" w:type="pct"/>
            <w:vAlign w:val="center"/>
          </w:tcPr>
          <w:p>
            <w:pPr>
              <w:adjustRightInd w:val="0"/>
              <w:snapToGrid w:val="0"/>
              <w:spacing w:line="300" w:lineRule="exact"/>
              <w:ind w:firstLine="0" w:firstLineChars="0"/>
              <w:jc w:val="center"/>
              <w:rPr>
                <w:spacing w:val="-1"/>
                <w:sz w:val="24"/>
              </w:rPr>
            </w:pPr>
            <w:r>
              <w:rPr>
                <w:spacing w:val="-1"/>
                <w:sz w:val="24"/>
              </w:rPr>
              <w:t>57-13-6</w:t>
            </w:r>
          </w:p>
        </w:tc>
        <w:tc>
          <w:tcPr>
            <w:tcW w:w="461" w:type="pct"/>
            <w:vAlign w:val="center"/>
          </w:tcPr>
          <w:p>
            <w:pPr>
              <w:adjustRightInd w:val="0"/>
              <w:snapToGrid w:val="0"/>
              <w:spacing w:line="300" w:lineRule="exact"/>
              <w:ind w:firstLine="0" w:firstLineChars="0"/>
              <w:jc w:val="center"/>
              <w:rPr>
                <w:sz w:val="24"/>
              </w:rPr>
            </w:pPr>
            <w:r>
              <w:rPr>
                <w:sz w:val="24"/>
              </w:rPr>
              <w:t>●</w:t>
            </w:r>
          </w:p>
        </w:tc>
        <w:tc>
          <w:tcPr>
            <w:tcW w:w="469" w:type="pct"/>
            <w:vAlign w:val="center"/>
          </w:tcPr>
          <w:p>
            <w:pPr>
              <w:adjustRightInd w:val="0"/>
              <w:snapToGrid w:val="0"/>
              <w:spacing w:line="300" w:lineRule="exact"/>
              <w:ind w:firstLine="0" w:firstLineChars="0"/>
              <w:jc w:val="center"/>
              <w:rPr>
                <w:sz w:val="24"/>
              </w:rPr>
            </w:pPr>
            <w:r>
              <w:rPr>
                <w:rFonts w:hint="eastAsia"/>
                <w:sz w:val="24"/>
              </w:rPr>
              <w:t>/</w:t>
            </w:r>
          </w:p>
        </w:tc>
        <w:tc>
          <w:tcPr>
            <w:tcW w:w="487" w:type="pct"/>
            <w:vAlign w:val="center"/>
          </w:tcPr>
          <w:p>
            <w:pPr>
              <w:adjustRightInd w:val="0"/>
              <w:snapToGrid w:val="0"/>
              <w:spacing w:line="300" w:lineRule="exact"/>
              <w:ind w:firstLine="0" w:firstLineChars="0"/>
              <w:jc w:val="center"/>
              <w:rPr>
                <w:sz w:val="24"/>
              </w:rPr>
            </w:pPr>
            <w:r>
              <w:rPr>
                <w:rFonts w:hint="eastAsia"/>
                <w:sz w:val="24"/>
              </w:rPr>
              <w:t>/</w:t>
            </w:r>
          </w:p>
        </w:tc>
        <w:tc>
          <w:tcPr>
            <w:tcW w:w="500" w:type="pct"/>
            <w:vAlign w:val="center"/>
          </w:tcPr>
          <w:p>
            <w:pPr>
              <w:adjustRightInd w:val="0"/>
              <w:snapToGrid w:val="0"/>
              <w:spacing w:line="300" w:lineRule="exact"/>
              <w:ind w:firstLine="0" w:firstLineChars="0"/>
              <w:jc w:val="center"/>
              <w:rPr>
                <w:sz w:val="24"/>
              </w:rPr>
            </w:pPr>
            <w:r>
              <w:rPr>
                <w:rFonts w:hint="eastAsia"/>
                <w:sz w:val="24"/>
              </w:rPr>
              <w:t>/</w:t>
            </w:r>
          </w:p>
        </w:tc>
        <w:tc>
          <w:tcPr>
            <w:tcW w:w="425" w:type="pct"/>
            <w:vAlign w:val="center"/>
          </w:tcPr>
          <w:p>
            <w:pPr>
              <w:adjustRightInd w:val="0"/>
              <w:snapToGrid w:val="0"/>
              <w:spacing w:line="300" w:lineRule="exact"/>
              <w:ind w:firstLine="0" w:firstLineChars="0"/>
              <w:jc w:val="center"/>
              <w:rPr>
                <w:sz w:val="24"/>
              </w:rPr>
            </w:pPr>
            <w:r>
              <w:rPr>
                <w:sz w:val="24"/>
              </w:rPr>
              <w:t>●</w:t>
            </w:r>
          </w:p>
        </w:tc>
        <w:tc>
          <w:tcPr>
            <w:tcW w:w="345" w:type="pct"/>
            <w:vAlign w:val="center"/>
          </w:tcPr>
          <w:p>
            <w:pPr>
              <w:adjustRightInd w:val="0"/>
              <w:snapToGrid w:val="0"/>
              <w:spacing w:line="300" w:lineRule="exact"/>
              <w:ind w:firstLine="0" w:firstLineChars="0"/>
              <w:jc w:val="center"/>
              <w:rPr>
                <w:sz w:val="24"/>
              </w:rPr>
            </w:pPr>
            <w:r>
              <w:rPr>
                <w:rFonts w:hint="eastAsia"/>
                <w:sz w:val="24"/>
              </w:rPr>
              <w:t>/</w:t>
            </w:r>
          </w:p>
        </w:tc>
        <w:tc>
          <w:tcPr>
            <w:tcW w:w="644" w:type="pct"/>
            <w:vAlign w:val="center"/>
          </w:tcPr>
          <w:p>
            <w:pPr>
              <w:adjustRightInd w:val="0"/>
              <w:snapToGrid w:val="0"/>
              <w:spacing w:line="300" w:lineRule="exact"/>
              <w:ind w:firstLine="0" w:firstLineChars="0"/>
              <w:jc w:val="center"/>
              <w:rPr>
                <w:sz w:val="24"/>
              </w:rPr>
            </w:pPr>
            <w:r>
              <w:rPr>
                <w:sz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395" w:type="pct"/>
            <w:vAlign w:val="center"/>
          </w:tcPr>
          <w:p>
            <w:pPr>
              <w:adjustRightInd w:val="0"/>
              <w:snapToGrid w:val="0"/>
              <w:spacing w:line="300" w:lineRule="exact"/>
              <w:ind w:firstLine="0" w:firstLineChars="0"/>
              <w:jc w:val="center"/>
              <w:rPr>
                <w:sz w:val="24"/>
              </w:rPr>
            </w:pPr>
            <w:r>
              <w:rPr>
                <w:rFonts w:hint="eastAsia"/>
                <w:sz w:val="24"/>
              </w:rPr>
              <w:t>5</w:t>
            </w:r>
          </w:p>
        </w:tc>
        <w:tc>
          <w:tcPr>
            <w:tcW w:w="623" w:type="pct"/>
            <w:vAlign w:val="center"/>
          </w:tcPr>
          <w:p>
            <w:pPr>
              <w:adjustRightInd w:val="0"/>
              <w:snapToGrid w:val="0"/>
              <w:spacing w:line="300" w:lineRule="exact"/>
              <w:ind w:firstLine="0" w:firstLineChars="0"/>
              <w:jc w:val="center"/>
              <w:rPr>
                <w:spacing w:val="-17"/>
                <w:w w:val="96"/>
                <w:sz w:val="24"/>
              </w:rPr>
            </w:pPr>
            <w:r>
              <w:rPr>
                <w:rFonts w:hint="eastAsia"/>
                <w:spacing w:val="-1"/>
                <w:sz w:val="24"/>
              </w:rPr>
              <w:t>杀虫剂</w:t>
            </w:r>
          </w:p>
        </w:tc>
        <w:tc>
          <w:tcPr>
            <w:tcW w:w="651" w:type="pct"/>
            <w:vAlign w:val="center"/>
          </w:tcPr>
          <w:p>
            <w:pPr>
              <w:adjustRightInd w:val="0"/>
              <w:snapToGrid w:val="0"/>
              <w:spacing w:line="300" w:lineRule="exact"/>
              <w:ind w:firstLine="0" w:firstLineChars="0"/>
              <w:jc w:val="center"/>
              <w:rPr>
                <w:spacing w:val="-1"/>
                <w:sz w:val="24"/>
              </w:rPr>
            </w:pPr>
            <w:r>
              <w:rPr>
                <w:rFonts w:hint="eastAsia"/>
                <w:spacing w:val="-1"/>
                <w:sz w:val="24"/>
              </w:rPr>
              <w:t>/</w:t>
            </w:r>
          </w:p>
        </w:tc>
        <w:tc>
          <w:tcPr>
            <w:tcW w:w="461" w:type="pct"/>
            <w:vAlign w:val="center"/>
          </w:tcPr>
          <w:p>
            <w:pPr>
              <w:adjustRightInd w:val="0"/>
              <w:snapToGrid w:val="0"/>
              <w:spacing w:line="300" w:lineRule="exact"/>
              <w:ind w:firstLine="0" w:firstLineChars="0"/>
              <w:jc w:val="center"/>
              <w:rPr>
                <w:sz w:val="24"/>
              </w:rPr>
            </w:pPr>
            <w:r>
              <w:rPr>
                <w:sz w:val="24"/>
              </w:rPr>
              <w:t>●</w:t>
            </w:r>
          </w:p>
        </w:tc>
        <w:tc>
          <w:tcPr>
            <w:tcW w:w="469" w:type="pct"/>
            <w:vAlign w:val="center"/>
          </w:tcPr>
          <w:p>
            <w:pPr>
              <w:adjustRightInd w:val="0"/>
              <w:snapToGrid w:val="0"/>
              <w:spacing w:line="300" w:lineRule="exact"/>
              <w:ind w:firstLine="0" w:firstLineChars="0"/>
              <w:jc w:val="center"/>
              <w:rPr>
                <w:sz w:val="24"/>
              </w:rPr>
            </w:pPr>
            <w:r>
              <w:rPr>
                <w:rFonts w:hint="eastAsia"/>
                <w:sz w:val="24"/>
              </w:rPr>
              <w:t>/</w:t>
            </w:r>
          </w:p>
        </w:tc>
        <w:tc>
          <w:tcPr>
            <w:tcW w:w="487" w:type="pct"/>
            <w:vAlign w:val="center"/>
          </w:tcPr>
          <w:p>
            <w:pPr>
              <w:adjustRightInd w:val="0"/>
              <w:snapToGrid w:val="0"/>
              <w:spacing w:line="300" w:lineRule="exact"/>
              <w:ind w:firstLine="0" w:firstLineChars="0"/>
              <w:jc w:val="center"/>
              <w:rPr>
                <w:sz w:val="24"/>
              </w:rPr>
            </w:pPr>
            <w:r>
              <w:rPr>
                <w:rFonts w:hint="eastAsia"/>
                <w:sz w:val="24"/>
              </w:rPr>
              <w:t>/</w:t>
            </w:r>
          </w:p>
        </w:tc>
        <w:tc>
          <w:tcPr>
            <w:tcW w:w="500" w:type="pct"/>
            <w:vAlign w:val="center"/>
          </w:tcPr>
          <w:p>
            <w:pPr>
              <w:adjustRightInd w:val="0"/>
              <w:snapToGrid w:val="0"/>
              <w:spacing w:line="300" w:lineRule="exact"/>
              <w:ind w:firstLine="0" w:firstLineChars="0"/>
              <w:jc w:val="center"/>
              <w:rPr>
                <w:sz w:val="24"/>
              </w:rPr>
            </w:pPr>
            <w:r>
              <w:rPr>
                <w:rFonts w:hint="eastAsia"/>
                <w:sz w:val="24"/>
              </w:rPr>
              <w:t>/</w:t>
            </w:r>
          </w:p>
        </w:tc>
        <w:tc>
          <w:tcPr>
            <w:tcW w:w="425" w:type="pct"/>
            <w:vAlign w:val="center"/>
          </w:tcPr>
          <w:p>
            <w:pPr>
              <w:adjustRightInd w:val="0"/>
              <w:snapToGrid w:val="0"/>
              <w:spacing w:line="300" w:lineRule="exact"/>
              <w:ind w:firstLine="0" w:firstLineChars="0"/>
              <w:jc w:val="center"/>
              <w:rPr>
                <w:sz w:val="24"/>
              </w:rPr>
            </w:pPr>
            <w:r>
              <w:rPr>
                <w:sz w:val="24"/>
              </w:rPr>
              <w:t>●</w:t>
            </w:r>
          </w:p>
        </w:tc>
        <w:tc>
          <w:tcPr>
            <w:tcW w:w="345" w:type="pct"/>
            <w:vAlign w:val="center"/>
          </w:tcPr>
          <w:p>
            <w:pPr>
              <w:adjustRightInd w:val="0"/>
              <w:snapToGrid w:val="0"/>
              <w:spacing w:line="300" w:lineRule="exact"/>
              <w:ind w:firstLine="0" w:firstLineChars="0"/>
              <w:jc w:val="center"/>
              <w:rPr>
                <w:sz w:val="24"/>
              </w:rPr>
            </w:pPr>
            <w:r>
              <w:rPr>
                <w:rFonts w:hint="eastAsia"/>
                <w:sz w:val="24"/>
              </w:rPr>
              <w:t>/</w:t>
            </w:r>
          </w:p>
        </w:tc>
        <w:tc>
          <w:tcPr>
            <w:tcW w:w="644" w:type="pct"/>
            <w:vAlign w:val="center"/>
          </w:tcPr>
          <w:p>
            <w:pPr>
              <w:adjustRightInd w:val="0"/>
              <w:snapToGrid w:val="0"/>
              <w:spacing w:line="300" w:lineRule="exact"/>
              <w:ind w:firstLine="0" w:firstLineChars="0"/>
              <w:jc w:val="center"/>
              <w:rPr>
                <w:sz w:val="24"/>
              </w:rPr>
            </w:pPr>
            <w:r>
              <w:rPr>
                <w:sz w:val="24"/>
              </w:rPr>
              <w:t>是</w:t>
            </w:r>
          </w:p>
        </w:tc>
      </w:tr>
    </w:tbl>
    <w:p>
      <w:pPr>
        <w:ind w:firstLine="632"/>
      </w:pPr>
    </w:p>
    <w:p>
      <w:pPr>
        <w:pStyle w:val="3"/>
        <w:ind w:firstLine="632"/>
      </w:pPr>
      <w:bookmarkStart w:id="92" w:name="_Toc116914462"/>
      <w:bookmarkStart w:id="93" w:name="_Toc126335851"/>
      <w:r>
        <w:rPr>
          <w:rFonts w:hint="eastAsia"/>
        </w:rPr>
        <w:t>4</w:t>
      </w:r>
      <w:r>
        <w:t>水源地环境风险分析</w:t>
      </w:r>
      <w:bookmarkEnd w:id="92"/>
      <w:bookmarkEnd w:id="93"/>
    </w:p>
    <w:p>
      <w:pPr>
        <w:ind w:firstLine="632"/>
      </w:pPr>
      <w:r>
        <w:t>结合</w:t>
      </w:r>
      <w:r>
        <w:rPr>
          <w:rFonts w:hint="eastAsia"/>
        </w:rPr>
        <w:t>红旗水库水源地</w:t>
      </w:r>
      <w:r>
        <w:t>一级保护区、二级保护区及</w:t>
      </w:r>
      <w:r>
        <w:rPr>
          <w:rFonts w:hint="eastAsia"/>
        </w:rPr>
        <w:t>汇水区</w:t>
      </w:r>
      <w:r>
        <w:t>的地理属性，根据《集中式饮用水水源环境保护指南（试行）》的规定，并结合相关行业的法律、法规、标准、规范，对固定源（包括石油化工企业、污（废）水处理厂、垃圾填埋场、危险品仓库、尾矿库和装卸码头等）、流动源（包括存在危险品运输的陆运和水运交通）和非点源（包括农业污染源、潮汛或水灾引起的大面积非点源污染）等环境风险源依据其在线量或贮存量定性评估该类风险源的影响程度。定性评估采用《集中式饮用水水源地保护指南（试行）》中推荐的评分值叠加法来评估。</w:t>
      </w:r>
    </w:p>
    <w:p>
      <w:pPr>
        <w:pStyle w:val="4"/>
        <w:ind w:firstLine="632"/>
      </w:pPr>
      <w:bookmarkStart w:id="94" w:name="_Toc22909"/>
      <w:bookmarkStart w:id="95" w:name="_Toc12886"/>
      <w:bookmarkStart w:id="96" w:name="_Toc24551"/>
      <w:bookmarkStart w:id="97" w:name="_Toc116914463"/>
      <w:bookmarkStart w:id="98" w:name="_Toc126335852"/>
      <w:r>
        <w:rPr>
          <w:rFonts w:hint="eastAsia"/>
        </w:rPr>
        <w:t>4</w:t>
      </w:r>
      <w:r>
        <w:t>.1固定源</w:t>
      </w:r>
      <w:bookmarkEnd w:id="94"/>
      <w:bookmarkEnd w:id="95"/>
      <w:bookmarkEnd w:id="96"/>
      <w:r>
        <w:t>项分析（R</w:t>
      </w:r>
      <w:r>
        <w:rPr>
          <w:vertAlign w:val="subscript"/>
        </w:rPr>
        <w:t>p</w:t>
      </w:r>
      <w:r>
        <w:t>）</w:t>
      </w:r>
      <w:bookmarkEnd w:id="97"/>
      <w:bookmarkEnd w:id="98"/>
    </w:p>
    <w:p>
      <w:pPr>
        <w:spacing w:line="480" w:lineRule="exact"/>
        <w:ind w:firstLine="632"/>
      </w:pPr>
      <w:r>
        <w:t>固定源评估指标及分值见表4-1。</w:t>
      </w:r>
    </w:p>
    <w:p>
      <w:pPr>
        <w:ind w:firstLine="0" w:firstLineChars="0"/>
        <w:jc w:val="center"/>
        <w:rPr>
          <w:rFonts w:eastAsia="方正黑体_GBK"/>
          <w:sz w:val="28"/>
          <w:szCs w:val="28"/>
        </w:rPr>
      </w:pPr>
      <w:r>
        <w:rPr>
          <w:rFonts w:eastAsia="方正黑体_GBK"/>
          <w:sz w:val="28"/>
          <w:szCs w:val="28"/>
        </w:rPr>
        <w:t>表4-1 固定源评价指标及评分值（R</w:t>
      </w:r>
      <w:r>
        <w:rPr>
          <w:rFonts w:eastAsia="方正楷体_GBK"/>
          <w:bCs/>
          <w:szCs w:val="32"/>
          <w:vertAlign w:val="subscript"/>
        </w:rPr>
        <w:t>p</w:t>
      </w:r>
      <w:r>
        <w:rPr>
          <w:rFonts w:eastAsia="方正黑体_GBK"/>
          <w:sz w:val="28"/>
          <w:szCs w:val="28"/>
        </w:rPr>
        <w:t>）</w:t>
      </w:r>
    </w:p>
    <w:tbl>
      <w:tblPr>
        <w:tblStyle w:val="29"/>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7"/>
        <w:gridCol w:w="708"/>
        <w:gridCol w:w="1069"/>
        <w:gridCol w:w="600"/>
        <w:gridCol w:w="818"/>
        <w:gridCol w:w="1056"/>
        <w:gridCol w:w="952"/>
        <w:gridCol w:w="90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6" w:hRule="atLeast"/>
          <w:tblHeader/>
        </w:trPr>
        <w:tc>
          <w:tcPr>
            <w:tcW w:w="1287" w:type="dxa"/>
            <w:vMerge w:val="restar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风险源</w:t>
            </w:r>
          </w:p>
        </w:tc>
        <w:tc>
          <w:tcPr>
            <w:tcW w:w="3195" w:type="dxa"/>
            <w:gridSpan w:val="4"/>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一级保护区</w:t>
            </w:r>
          </w:p>
        </w:tc>
        <w:tc>
          <w:tcPr>
            <w:tcW w:w="4276" w:type="dxa"/>
            <w:gridSpan w:val="4"/>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tblHeader/>
        </w:trPr>
        <w:tc>
          <w:tcPr>
            <w:tcW w:w="1287" w:type="dxa"/>
            <w:vMerge w:val="continue"/>
            <w:vAlign w:val="center"/>
          </w:tcPr>
          <w:p>
            <w:pPr>
              <w:pStyle w:val="49"/>
              <w:adjustRightInd w:val="0"/>
              <w:snapToGrid w:val="0"/>
              <w:spacing w:line="240" w:lineRule="exact"/>
              <w:ind w:firstLine="0" w:firstLineChars="0"/>
              <w:rPr>
                <w:rFonts w:eastAsia="方正黑体_GBK"/>
                <w:bCs/>
                <w:sz w:val="24"/>
                <w:szCs w:val="24"/>
              </w:rPr>
            </w:pPr>
          </w:p>
        </w:tc>
        <w:tc>
          <w:tcPr>
            <w:tcW w:w="708"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指标值</w:t>
            </w:r>
          </w:p>
        </w:tc>
        <w:tc>
          <w:tcPr>
            <w:tcW w:w="1069"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评分值（P</w:t>
            </w:r>
            <w:r>
              <w:rPr>
                <w:rFonts w:eastAsia="方正黑体_GBK"/>
                <w:bCs/>
                <w:sz w:val="24"/>
                <w:szCs w:val="24"/>
                <w:vertAlign w:val="subscript"/>
              </w:rPr>
              <w:t>1</w:t>
            </w:r>
            <w:r>
              <w:rPr>
                <w:rFonts w:eastAsia="方正黑体_GBK"/>
                <w:bCs/>
                <w:sz w:val="24"/>
                <w:szCs w:val="24"/>
              </w:rPr>
              <w:t>）</w:t>
            </w:r>
          </w:p>
        </w:tc>
        <w:tc>
          <w:tcPr>
            <w:tcW w:w="600"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现状</w:t>
            </w:r>
          </w:p>
        </w:tc>
        <w:tc>
          <w:tcPr>
            <w:tcW w:w="818"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得分</w:t>
            </w:r>
          </w:p>
        </w:tc>
        <w:tc>
          <w:tcPr>
            <w:tcW w:w="1056"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指标值</w:t>
            </w:r>
          </w:p>
        </w:tc>
        <w:tc>
          <w:tcPr>
            <w:tcW w:w="952"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评分值（P</w:t>
            </w:r>
            <w:r>
              <w:rPr>
                <w:rFonts w:eastAsia="方正黑体_GBK"/>
                <w:bCs/>
                <w:sz w:val="24"/>
                <w:szCs w:val="24"/>
                <w:vertAlign w:val="subscript"/>
              </w:rPr>
              <w:t>2</w:t>
            </w:r>
            <w:r>
              <w:rPr>
                <w:rFonts w:eastAsia="方正黑体_GBK"/>
                <w:bCs/>
                <w:sz w:val="24"/>
                <w:szCs w:val="24"/>
              </w:rPr>
              <w:t>）</w:t>
            </w:r>
          </w:p>
        </w:tc>
        <w:tc>
          <w:tcPr>
            <w:tcW w:w="909"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现状</w:t>
            </w:r>
          </w:p>
        </w:tc>
        <w:tc>
          <w:tcPr>
            <w:tcW w:w="1359" w:type="dxa"/>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石油化工行业（个）</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w:t>
            </w:r>
          </w:p>
        </w:tc>
        <w:tc>
          <w:tcPr>
            <w:tcW w:w="952" w:type="dxa"/>
            <w:vAlign w:val="center"/>
          </w:tcPr>
          <w:p>
            <w:pPr>
              <w:pStyle w:val="49"/>
              <w:adjustRightInd w:val="0"/>
              <w:snapToGrid w:val="0"/>
              <w:spacing w:line="240" w:lineRule="exact"/>
              <w:ind w:firstLine="0" w:firstLineChars="0"/>
              <w:rPr>
                <w:sz w:val="24"/>
                <w:szCs w:val="24"/>
              </w:rPr>
            </w:pPr>
            <w:r>
              <w:rPr>
                <w:sz w:val="24"/>
                <w:szCs w:val="24"/>
              </w:rPr>
              <w:t>5</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adjustRightInd w:val="0"/>
              <w:snapToGrid w:val="0"/>
              <w:spacing w:line="240" w:lineRule="exact"/>
              <w:ind w:firstLine="0" w:firstLineChars="0"/>
              <w:jc w:val="center"/>
              <w:rPr>
                <w:sz w:val="24"/>
              </w:rPr>
            </w:pPr>
            <w:r>
              <w:rPr>
                <w:sz w:val="24"/>
              </w:rPr>
              <w:t>2~4</w:t>
            </w:r>
          </w:p>
        </w:tc>
        <w:tc>
          <w:tcPr>
            <w:tcW w:w="952" w:type="dxa"/>
            <w:vAlign w:val="center"/>
          </w:tcPr>
          <w:p>
            <w:pPr>
              <w:pStyle w:val="49"/>
              <w:adjustRightInd w:val="0"/>
              <w:snapToGrid w:val="0"/>
              <w:spacing w:line="240" w:lineRule="exact"/>
              <w:ind w:firstLine="0" w:firstLineChars="0"/>
              <w:rPr>
                <w:sz w:val="24"/>
                <w:szCs w:val="24"/>
              </w:rPr>
            </w:pPr>
            <w:r>
              <w:rPr>
                <w:sz w:val="24"/>
                <w:szCs w:val="24"/>
              </w:rPr>
              <w:t>7</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kern w:val="2"/>
                <w:sz w:val="24"/>
                <w:szCs w:val="24"/>
              </w:rPr>
            </w:pPr>
            <w:r>
              <w:rPr>
                <w:sz w:val="24"/>
                <w:szCs w:val="24"/>
              </w:rPr>
              <w:t>&gt;4</w:t>
            </w:r>
          </w:p>
        </w:tc>
        <w:tc>
          <w:tcPr>
            <w:tcW w:w="952" w:type="dxa"/>
            <w:vAlign w:val="center"/>
          </w:tcPr>
          <w:p>
            <w:pPr>
              <w:pStyle w:val="49"/>
              <w:adjustRightInd w:val="0"/>
              <w:snapToGrid w:val="0"/>
              <w:spacing w:line="240" w:lineRule="exact"/>
              <w:ind w:firstLine="0" w:firstLineChars="0"/>
              <w:rPr>
                <w:kern w:val="2"/>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垃圾填埋场（处）</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w:t>
            </w:r>
          </w:p>
        </w:tc>
        <w:tc>
          <w:tcPr>
            <w:tcW w:w="952" w:type="dxa"/>
            <w:vAlign w:val="center"/>
          </w:tcPr>
          <w:p>
            <w:pPr>
              <w:pStyle w:val="49"/>
              <w:adjustRightInd w:val="0"/>
              <w:snapToGrid w:val="0"/>
              <w:spacing w:line="240" w:lineRule="exact"/>
              <w:ind w:firstLine="0" w:firstLineChars="0"/>
              <w:rPr>
                <w:sz w:val="24"/>
                <w:szCs w:val="24"/>
              </w:rPr>
            </w:pPr>
            <w:r>
              <w:rPr>
                <w:sz w:val="24"/>
                <w:szCs w:val="24"/>
              </w:rPr>
              <w:t>6</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2</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&gt;2</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危险废弃物填埋场（处）</w:t>
            </w:r>
          </w:p>
        </w:tc>
        <w:tc>
          <w:tcPr>
            <w:tcW w:w="708" w:type="dxa"/>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&gt;1</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尾矿库（座）</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w:t>
            </w:r>
          </w:p>
        </w:tc>
        <w:tc>
          <w:tcPr>
            <w:tcW w:w="952" w:type="dxa"/>
            <w:vAlign w:val="center"/>
          </w:tcPr>
          <w:p>
            <w:pPr>
              <w:pStyle w:val="49"/>
              <w:adjustRightInd w:val="0"/>
              <w:snapToGrid w:val="0"/>
              <w:spacing w:line="240" w:lineRule="exact"/>
              <w:ind w:firstLine="0" w:firstLineChars="0"/>
              <w:rPr>
                <w:sz w:val="24"/>
                <w:szCs w:val="24"/>
              </w:rPr>
            </w:pPr>
            <w:r>
              <w:rPr>
                <w:sz w:val="24"/>
                <w:szCs w:val="24"/>
              </w:rPr>
              <w:t>5</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5"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2</w:t>
            </w:r>
          </w:p>
        </w:tc>
        <w:tc>
          <w:tcPr>
            <w:tcW w:w="952" w:type="dxa"/>
            <w:vAlign w:val="center"/>
          </w:tcPr>
          <w:p>
            <w:pPr>
              <w:pStyle w:val="49"/>
              <w:adjustRightInd w:val="0"/>
              <w:snapToGrid w:val="0"/>
              <w:spacing w:line="240" w:lineRule="exact"/>
              <w:ind w:firstLine="0" w:firstLineChars="0"/>
              <w:rPr>
                <w:sz w:val="24"/>
                <w:szCs w:val="24"/>
              </w:rPr>
            </w:pPr>
            <w:r>
              <w:rPr>
                <w:sz w:val="24"/>
                <w:szCs w:val="24"/>
              </w:rPr>
              <w:t>7</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5" w:hRule="atLeast"/>
        </w:trPr>
        <w:tc>
          <w:tcPr>
            <w:tcW w:w="1287" w:type="dxa"/>
            <w:vMerge w:val="continue"/>
            <w:vAlign w:val="center"/>
          </w:tcPr>
          <w:p>
            <w:pPr>
              <w:pStyle w:val="49"/>
              <w:adjustRightInd w:val="0"/>
              <w:snapToGrid w:val="0"/>
              <w:spacing w:line="240" w:lineRule="exact"/>
              <w:ind w:firstLine="0" w:firstLineChars="0"/>
            </w:pPr>
          </w:p>
        </w:tc>
        <w:tc>
          <w:tcPr>
            <w:tcW w:w="708" w:type="dxa"/>
            <w:vMerge w:val="continue"/>
            <w:vAlign w:val="center"/>
          </w:tcPr>
          <w:p>
            <w:pPr>
              <w:pStyle w:val="49"/>
              <w:adjustRightInd w:val="0"/>
              <w:snapToGrid w:val="0"/>
              <w:spacing w:line="240" w:lineRule="exact"/>
              <w:ind w:firstLine="0" w:firstLineChars="0"/>
            </w:pPr>
          </w:p>
        </w:tc>
        <w:tc>
          <w:tcPr>
            <w:tcW w:w="1069" w:type="dxa"/>
            <w:vMerge w:val="continue"/>
            <w:vAlign w:val="center"/>
          </w:tcPr>
          <w:p>
            <w:pPr>
              <w:pStyle w:val="49"/>
              <w:adjustRightInd w:val="0"/>
              <w:snapToGrid w:val="0"/>
              <w:spacing w:line="240" w:lineRule="exact"/>
              <w:ind w:firstLine="0" w:firstLineChars="0"/>
            </w:pPr>
          </w:p>
        </w:tc>
        <w:tc>
          <w:tcPr>
            <w:tcW w:w="600" w:type="dxa"/>
            <w:vMerge w:val="continue"/>
            <w:vAlign w:val="center"/>
          </w:tcPr>
          <w:p>
            <w:pPr>
              <w:pStyle w:val="49"/>
              <w:adjustRightInd w:val="0"/>
              <w:snapToGrid w:val="0"/>
              <w:spacing w:line="240" w:lineRule="exact"/>
              <w:ind w:firstLine="0" w:firstLineChars="0"/>
            </w:pPr>
          </w:p>
        </w:tc>
        <w:tc>
          <w:tcPr>
            <w:tcW w:w="818" w:type="dxa"/>
            <w:vMerge w:val="continue"/>
            <w:vAlign w:val="center"/>
          </w:tcPr>
          <w:p>
            <w:pPr>
              <w:pStyle w:val="49"/>
              <w:adjustRightInd w:val="0"/>
              <w:snapToGrid w:val="0"/>
              <w:spacing w:line="240" w:lineRule="exact"/>
              <w:ind w:firstLine="0" w:firstLineChars="0"/>
            </w:pPr>
          </w:p>
        </w:tc>
        <w:tc>
          <w:tcPr>
            <w:tcW w:w="1056" w:type="dxa"/>
            <w:vAlign w:val="center"/>
          </w:tcPr>
          <w:p>
            <w:pPr>
              <w:pStyle w:val="49"/>
              <w:adjustRightInd w:val="0"/>
              <w:snapToGrid w:val="0"/>
              <w:spacing w:line="240" w:lineRule="exact"/>
              <w:ind w:firstLine="0" w:firstLineChars="0"/>
              <w:rPr>
                <w:sz w:val="24"/>
                <w:szCs w:val="24"/>
              </w:rPr>
            </w:pPr>
            <w:r>
              <w:rPr>
                <w:sz w:val="24"/>
                <w:szCs w:val="24"/>
              </w:rPr>
              <w:t>3~4</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&gt;5</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加油站（座）</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1~2</w:t>
            </w:r>
          </w:p>
        </w:tc>
        <w:tc>
          <w:tcPr>
            <w:tcW w:w="952" w:type="dxa"/>
            <w:vAlign w:val="center"/>
          </w:tcPr>
          <w:p>
            <w:pPr>
              <w:pStyle w:val="49"/>
              <w:adjustRightInd w:val="0"/>
              <w:snapToGrid w:val="0"/>
              <w:spacing w:line="240" w:lineRule="exact"/>
              <w:ind w:firstLine="0" w:firstLineChars="0"/>
              <w:rPr>
                <w:sz w:val="24"/>
                <w:szCs w:val="24"/>
              </w:rPr>
            </w:pPr>
            <w:r>
              <w:rPr>
                <w:sz w:val="24"/>
                <w:szCs w:val="24"/>
              </w:rPr>
              <w:t>2</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3~5</w:t>
            </w:r>
          </w:p>
        </w:tc>
        <w:tc>
          <w:tcPr>
            <w:tcW w:w="952" w:type="dxa"/>
            <w:vAlign w:val="center"/>
          </w:tcPr>
          <w:p>
            <w:pPr>
              <w:pStyle w:val="49"/>
              <w:adjustRightInd w:val="0"/>
              <w:snapToGrid w:val="0"/>
              <w:spacing w:line="240" w:lineRule="exact"/>
              <w:ind w:firstLine="0" w:firstLineChars="0"/>
              <w:rPr>
                <w:sz w:val="24"/>
                <w:szCs w:val="24"/>
              </w:rPr>
            </w:pPr>
            <w:r>
              <w:rPr>
                <w:sz w:val="24"/>
                <w:szCs w:val="24"/>
              </w:rPr>
              <w:t>4</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6~8</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&gt;8</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49"/>
              <w:adjustRightInd w:val="0"/>
              <w:snapToGrid w:val="0"/>
              <w:spacing w:line="240" w:lineRule="exact"/>
              <w:ind w:firstLine="0" w:firstLineChars="0"/>
              <w:rPr>
                <w:sz w:val="24"/>
                <w:szCs w:val="24"/>
              </w:rPr>
            </w:pPr>
            <w:r>
              <w:rPr>
                <w:sz w:val="24"/>
                <w:szCs w:val="24"/>
              </w:rPr>
              <w:t>油品储罐（座）</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w:t>
            </w:r>
          </w:p>
        </w:tc>
        <w:tc>
          <w:tcPr>
            <w:tcW w:w="952" w:type="dxa"/>
            <w:vAlign w:val="center"/>
          </w:tcPr>
          <w:p>
            <w:pPr>
              <w:pStyle w:val="49"/>
              <w:adjustRightInd w:val="0"/>
              <w:snapToGrid w:val="0"/>
              <w:spacing w:line="240" w:lineRule="exact"/>
              <w:ind w:firstLine="0" w:firstLineChars="0"/>
              <w:rPr>
                <w:sz w:val="24"/>
                <w:szCs w:val="24"/>
              </w:rPr>
            </w:pPr>
            <w:r>
              <w:rPr>
                <w:sz w:val="24"/>
                <w:szCs w:val="24"/>
              </w:rPr>
              <w:t>2</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3"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2~3</w:t>
            </w:r>
          </w:p>
        </w:tc>
        <w:tc>
          <w:tcPr>
            <w:tcW w:w="952" w:type="dxa"/>
            <w:vAlign w:val="center"/>
          </w:tcPr>
          <w:p>
            <w:pPr>
              <w:pStyle w:val="49"/>
              <w:adjustRightInd w:val="0"/>
              <w:snapToGrid w:val="0"/>
              <w:spacing w:line="240" w:lineRule="exact"/>
              <w:ind w:firstLine="0" w:firstLineChars="0"/>
              <w:rPr>
                <w:sz w:val="24"/>
                <w:szCs w:val="24"/>
              </w:rPr>
            </w:pPr>
            <w:r>
              <w:rPr>
                <w:sz w:val="24"/>
                <w:szCs w:val="24"/>
              </w:rPr>
              <w:t>4</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3" w:hRule="atLeast"/>
        </w:trPr>
        <w:tc>
          <w:tcPr>
            <w:tcW w:w="1287" w:type="dxa"/>
            <w:vMerge w:val="continue"/>
            <w:vAlign w:val="center"/>
          </w:tcPr>
          <w:p>
            <w:pPr>
              <w:pStyle w:val="49"/>
              <w:adjustRightInd w:val="0"/>
              <w:snapToGrid w:val="0"/>
              <w:spacing w:line="240" w:lineRule="exact"/>
              <w:ind w:firstLine="0" w:firstLineChars="0"/>
            </w:pPr>
          </w:p>
        </w:tc>
        <w:tc>
          <w:tcPr>
            <w:tcW w:w="708" w:type="dxa"/>
            <w:vMerge w:val="continue"/>
            <w:vAlign w:val="center"/>
          </w:tcPr>
          <w:p>
            <w:pPr>
              <w:pStyle w:val="49"/>
              <w:adjustRightInd w:val="0"/>
              <w:snapToGrid w:val="0"/>
              <w:spacing w:line="240" w:lineRule="exact"/>
              <w:ind w:firstLine="0" w:firstLineChars="0"/>
            </w:pPr>
          </w:p>
        </w:tc>
        <w:tc>
          <w:tcPr>
            <w:tcW w:w="1069" w:type="dxa"/>
            <w:vMerge w:val="continue"/>
            <w:vAlign w:val="center"/>
          </w:tcPr>
          <w:p>
            <w:pPr>
              <w:pStyle w:val="49"/>
              <w:adjustRightInd w:val="0"/>
              <w:snapToGrid w:val="0"/>
              <w:spacing w:line="240" w:lineRule="exact"/>
              <w:ind w:firstLine="0" w:firstLineChars="0"/>
            </w:pPr>
          </w:p>
        </w:tc>
        <w:tc>
          <w:tcPr>
            <w:tcW w:w="600" w:type="dxa"/>
            <w:vMerge w:val="continue"/>
            <w:vAlign w:val="center"/>
          </w:tcPr>
          <w:p>
            <w:pPr>
              <w:pStyle w:val="49"/>
              <w:adjustRightInd w:val="0"/>
              <w:snapToGrid w:val="0"/>
              <w:spacing w:line="240" w:lineRule="exact"/>
              <w:ind w:firstLine="0" w:firstLineChars="0"/>
            </w:pPr>
          </w:p>
        </w:tc>
        <w:tc>
          <w:tcPr>
            <w:tcW w:w="818" w:type="dxa"/>
            <w:vMerge w:val="continue"/>
            <w:vAlign w:val="center"/>
          </w:tcPr>
          <w:p>
            <w:pPr>
              <w:pStyle w:val="49"/>
              <w:adjustRightInd w:val="0"/>
              <w:snapToGrid w:val="0"/>
              <w:spacing w:line="240" w:lineRule="exact"/>
              <w:ind w:firstLine="0" w:firstLineChars="0"/>
            </w:pPr>
          </w:p>
        </w:tc>
        <w:tc>
          <w:tcPr>
            <w:tcW w:w="1056" w:type="dxa"/>
            <w:vAlign w:val="center"/>
          </w:tcPr>
          <w:p>
            <w:pPr>
              <w:pStyle w:val="49"/>
              <w:adjustRightInd w:val="0"/>
              <w:snapToGrid w:val="0"/>
              <w:spacing w:line="240" w:lineRule="exact"/>
              <w:ind w:firstLine="0" w:firstLineChars="0"/>
              <w:rPr>
                <w:sz w:val="24"/>
                <w:szCs w:val="24"/>
              </w:rPr>
            </w:pPr>
            <w:r>
              <w:rPr>
                <w:sz w:val="24"/>
                <w:szCs w:val="24"/>
              </w:rPr>
              <w:t>4~5</w:t>
            </w:r>
          </w:p>
        </w:tc>
        <w:tc>
          <w:tcPr>
            <w:tcW w:w="952" w:type="dxa"/>
            <w:vAlign w:val="center"/>
          </w:tcPr>
          <w:p>
            <w:pPr>
              <w:pStyle w:val="49"/>
              <w:adjustRightInd w:val="0"/>
              <w:snapToGrid w:val="0"/>
              <w:spacing w:line="240" w:lineRule="exact"/>
              <w:ind w:firstLine="0" w:firstLineChars="0"/>
              <w:rPr>
                <w:sz w:val="24"/>
                <w:szCs w:val="24"/>
              </w:rPr>
            </w:pPr>
            <w:r>
              <w:rPr>
                <w:sz w:val="24"/>
                <w:szCs w:val="24"/>
              </w:rPr>
              <w:t>6</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&gt;5</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50"/>
              <w:adjustRightInd w:val="0"/>
              <w:snapToGrid w:val="0"/>
              <w:spacing w:line="240" w:lineRule="exact"/>
              <w:ind w:firstLine="0" w:firstLineChars="0"/>
              <w:jc w:val="center"/>
              <w:rPr>
                <w:sz w:val="24"/>
              </w:rPr>
            </w:pPr>
            <w:r>
              <w:rPr>
                <w:sz w:val="24"/>
              </w:rPr>
              <w:t>码头吞吐量（万吨/年）</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＜0.1</w:t>
            </w:r>
          </w:p>
        </w:tc>
        <w:tc>
          <w:tcPr>
            <w:tcW w:w="952" w:type="dxa"/>
            <w:vAlign w:val="center"/>
          </w:tcPr>
          <w:p>
            <w:pPr>
              <w:pStyle w:val="49"/>
              <w:adjustRightInd w:val="0"/>
              <w:snapToGrid w:val="0"/>
              <w:spacing w:line="240" w:lineRule="exact"/>
              <w:ind w:firstLine="0" w:firstLineChars="0"/>
              <w:rPr>
                <w:sz w:val="24"/>
                <w:szCs w:val="24"/>
              </w:rPr>
            </w:pPr>
            <w:r>
              <w:rPr>
                <w:sz w:val="24"/>
                <w:szCs w:val="24"/>
              </w:rPr>
              <w:t>1</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2"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&gt;0.1，&lt;1</w:t>
            </w:r>
          </w:p>
        </w:tc>
        <w:tc>
          <w:tcPr>
            <w:tcW w:w="952" w:type="dxa"/>
            <w:vAlign w:val="center"/>
          </w:tcPr>
          <w:p>
            <w:pPr>
              <w:pStyle w:val="49"/>
              <w:adjustRightInd w:val="0"/>
              <w:snapToGrid w:val="0"/>
              <w:spacing w:line="240" w:lineRule="exact"/>
              <w:ind w:firstLine="0" w:firstLineChars="0"/>
              <w:rPr>
                <w:sz w:val="24"/>
                <w:szCs w:val="24"/>
              </w:rPr>
            </w:pPr>
            <w:r>
              <w:rPr>
                <w:sz w:val="24"/>
                <w:szCs w:val="24"/>
              </w:rPr>
              <w:t>2</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1~5</w:t>
            </w:r>
          </w:p>
        </w:tc>
        <w:tc>
          <w:tcPr>
            <w:tcW w:w="952" w:type="dxa"/>
            <w:vAlign w:val="center"/>
          </w:tcPr>
          <w:p>
            <w:pPr>
              <w:pStyle w:val="49"/>
              <w:adjustRightInd w:val="0"/>
              <w:snapToGrid w:val="0"/>
              <w:spacing w:line="240" w:lineRule="exact"/>
              <w:ind w:firstLine="0" w:firstLineChars="0"/>
              <w:rPr>
                <w:sz w:val="24"/>
                <w:szCs w:val="24"/>
              </w:rPr>
            </w:pPr>
            <w:r>
              <w:rPr>
                <w:sz w:val="24"/>
                <w:szCs w:val="24"/>
              </w:rPr>
              <w:t>4</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510</w:t>
            </w:r>
          </w:p>
        </w:tc>
        <w:tc>
          <w:tcPr>
            <w:tcW w:w="952" w:type="dxa"/>
            <w:vAlign w:val="center"/>
          </w:tcPr>
          <w:p>
            <w:pPr>
              <w:pStyle w:val="49"/>
              <w:adjustRightInd w:val="0"/>
              <w:snapToGrid w:val="0"/>
              <w:spacing w:line="240" w:lineRule="exact"/>
              <w:ind w:firstLine="0" w:firstLineChars="0"/>
              <w:rPr>
                <w:sz w:val="24"/>
                <w:szCs w:val="24"/>
              </w:rPr>
            </w:pPr>
            <w:r>
              <w:rPr>
                <w:sz w:val="24"/>
                <w:szCs w:val="24"/>
              </w:rPr>
              <w:t>6</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10~50</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&gt;50</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restart"/>
            <w:vAlign w:val="center"/>
          </w:tcPr>
          <w:p>
            <w:pPr>
              <w:pStyle w:val="50"/>
              <w:adjustRightInd w:val="0"/>
              <w:snapToGrid w:val="0"/>
              <w:spacing w:line="240" w:lineRule="exact"/>
              <w:ind w:firstLine="0" w:firstLineChars="0"/>
              <w:jc w:val="center"/>
              <w:rPr>
                <w:sz w:val="24"/>
              </w:rPr>
            </w:pPr>
            <w:r>
              <w:rPr>
                <w:sz w:val="24"/>
              </w:rPr>
              <w:t>污/废水处理设施（万吨/日）</w:t>
            </w: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600"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818" w:type="dxa"/>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056" w:type="dxa"/>
            <w:vAlign w:val="center"/>
          </w:tcPr>
          <w:p>
            <w:pPr>
              <w:pStyle w:val="49"/>
              <w:adjustRightInd w:val="0"/>
              <w:snapToGrid w:val="0"/>
              <w:spacing w:line="240" w:lineRule="exact"/>
              <w:ind w:firstLine="0" w:firstLineChars="0"/>
              <w:rPr>
                <w:sz w:val="24"/>
                <w:szCs w:val="24"/>
              </w:rPr>
            </w:pPr>
            <w:r>
              <w:rPr>
                <w:sz w:val="24"/>
                <w:szCs w:val="24"/>
              </w:rPr>
              <w:t>无</w:t>
            </w:r>
          </w:p>
        </w:tc>
        <w:tc>
          <w:tcPr>
            <w:tcW w:w="952" w:type="dxa"/>
            <w:vAlign w:val="center"/>
          </w:tcPr>
          <w:p>
            <w:pPr>
              <w:pStyle w:val="49"/>
              <w:adjustRightInd w:val="0"/>
              <w:snapToGrid w:val="0"/>
              <w:spacing w:line="240" w:lineRule="exact"/>
              <w:ind w:firstLine="0" w:firstLineChars="0"/>
              <w:rPr>
                <w:sz w:val="24"/>
                <w:szCs w:val="24"/>
              </w:rPr>
            </w:pPr>
            <w:r>
              <w:rPr>
                <w:sz w:val="24"/>
                <w:szCs w:val="24"/>
              </w:rPr>
              <w:t>0</w:t>
            </w:r>
          </w:p>
        </w:tc>
        <w:tc>
          <w:tcPr>
            <w:tcW w:w="909" w:type="dxa"/>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1359" w:type="dxa"/>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50"/>
              <w:adjustRightInd w:val="0"/>
              <w:snapToGrid w:val="0"/>
              <w:spacing w:line="240" w:lineRule="exact"/>
              <w:ind w:firstLine="0" w:firstLineChars="0"/>
              <w:jc w:val="center"/>
              <w:rPr>
                <w:sz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&lt;1</w:t>
            </w:r>
          </w:p>
        </w:tc>
        <w:tc>
          <w:tcPr>
            <w:tcW w:w="952" w:type="dxa"/>
            <w:vAlign w:val="center"/>
          </w:tcPr>
          <w:p>
            <w:pPr>
              <w:pStyle w:val="49"/>
              <w:adjustRightInd w:val="0"/>
              <w:snapToGrid w:val="0"/>
              <w:spacing w:line="240" w:lineRule="exact"/>
              <w:ind w:firstLine="0" w:firstLineChars="0"/>
              <w:rPr>
                <w:sz w:val="24"/>
                <w:szCs w:val="24"/>
              </w:rPr>
            </w:pPr>
            <w:r>
              <w:rPr>
                <w:sz w:val="24"/>
                <w:szCs w:val="24"/>
              </w:rPr>
              <w:t>1</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1~2</w:t>
            </w:r>
          </w:p>
        </w:tc>
        <w:tc>
          <w:tcPr>
            <w:tcW w:w="952" w:type="dxa"/>
            <w:vAlign w:val="center"/>
          </w:tcPr>
          <w:p>
            <w:pPr>
              <w:pStyle w:val="49"/>
              <w:adjustRightInd w:val="0"/>
              <w:snapToGrid w:val="0"/>
              <w:spacing w:line="240" w:lineRule="exact"/>
              <w:ind w:firstLine="0" w:firstLineChars="0"/>
              <w:rPr>
                <w:sz w:val="24"/>
                <w:szCs w:val="24"/>
              </w:rPr>
            </w:pPr>
            <w:r>
              <w:rPr>
                <w:sz w:val="24"/>
                <w:szCs w:val="24"/>
              </w:rPr>
              <w:t>3</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3~5</w:t>
            </w:r>
          </w:p>
        </w:tc>
        <w:tc>
          <w:tcPr>
            <w:tcW w:w="952" w:type="dxa"/>
            <w:vAlign w:val="center"/>
          </w:tcPr>
          <w:p>
            <w:pPr>
              <w:pStyle w:val="49"/>
              <w:adjustRightInd w:val="0"/>
              <w:snapToGrid w:val="0"/>
              <w:spacing w:line="240" w:lineRule="exact"/>
              <w:ind w:firstLine="0" w:firstLineChars="0"/>
              <w:rPr>
                <w:sz w:val="24"/>
                <w:szCs w:val="24"/>
              </w:rPr>
            </w:pPr>
            <w:r>
              <w:rPr>
                <w:sz w:val="24"/>
                <w:szCs w:val="24"/>
              </w:rPr>
              <w:t>4</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restart"/>
            <w:vAlign w:val="center"/>
          </w:tcPr>
          <w:p>
            <w:pPr>
              <w:pStyle w:val="49"/>
              <w:adjustRightInd w:val="0"/>
              <w:snapToGrid w:val="0"/>
              <w:spacing w:line="240" w:lineRule="exact"/>
              <w:ind w:firstLine="0" w:firstLineChars="0"/>
              <w:rPr>
                <w:sz w:val="24"/>
                <w:szCs w:val="24"/>
              </w:rPr>
            </w:pPr>
            <w:r>
              <w:rPr>
                <w:sz w:val="24"/>
                <w:szCs w:val="24"/>
              </w:rPr>
              <w:t>存在</w:t>
            </w:r>
          </w:p>
        </w:tc>
        <w:tc>
          <w:tcPr>
            <w:tcW w:w="1069" w:type="dxa"/>
            <w:vMerge w:val="restart"/>
            <w:vAlign w:val="center"/>
          </w:tcPr>
          <w:p>
            <w:pPr>
              <w:pStyle w:val="49"/>
              <w:adjustRightInd w:val="0"/>
              <w:snapToGrid w:val="0"/>
              <w:spacing w:line="240" w:lineRule="exact"/>
              <w:ind w:firstLine="0" w:firstLineChars="0"/>
              <w:rPr>
                <w:sz w:val="24"/>
                <w:szCs w:val="24"/>
              </w:rPr>
            </w:pPr>
            <w:r>
              <w:rPr>
                <w:sz w:val="24"/>
                <w:szCs w:val="24"/>
              </w:rPr>
              <w:t>10</w:t>
            </w: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6~8</w:t>
            </w:r>
          </w:p>
        </w:tc>
        <w:tc>
          <w:tcPr>
            <w:tcW w:w="952" w:type="dxa"/>
            <w:vAlign w:val="center"/>
          </w:tcPr>
          <w:p>
            <w:pPr>
              <w:pStyle w:val="49"/>
              <w:adjustRightInd w:val="0"/>
              <w:snapToGrid w:val="0"/>
              <w:spacing w:line="240" w:lineRule="exact"/>
              <w:ind w:firstLine="0" w:firstLineChars="0"/>
              <w:rPr>
                <w:sz w:val="24"/>
                <w:szCs w:val="24"/>
              </w:rPr>
            </w:pPr>
            <w:r>
              <w:rPr>
                <w:sz w:val="24"/>
                <w:szCs w:val="24"/>
              </w:rPr>
              <w:t>6</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9~10</w:t>
            </w:r>
          </w:p>
        </w:tc>
        <w:tc>
          <w:tcPr>
            <w:tcW w:w="952" w:type="dxa"/>
            <w:vAlign w:val="center"/>
          </w:tcPr>
          <w:p>
            <w:pPr>
              <w:pStyle w:val="49"/>
              <w:adjustRightInd w:val="0"/>
              <w:snapToGrid w:val="0"/>
              <w:spacing w:line="240" w:lineRule="exact"/>
              <w:ind w:firstLine="0" w:firstLineChars="0"/>
              <w:rPr>
                <w:sz w:val="24"/>
                <w:szCs w:val="24"/>
              </w:rPr>
            </w:pPr>
            <w:r>
              <w:rPr>
                <w:sz w:val="24"/>
                <w:szCs w:val="24"/>
              </w:rPr>
              <w:t>8</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trPr>
        <w:tc>
          <w:tcPr>
            <w:tcW w:w="1287" w:type="dxa"/>
            <w:vMerge w:val="continue"/>
            <w:vAlign w:val="center"/>
          </w:tcPr>
          <w:p>
            <w:pPr>
              <w:pStyle w:val="49"/>
              <w:adjustRightInd w:val="0"/>
              <w:snapToGrid w:val="0"/>
              <w:spacing w:line="240" w:lineRule="exact"/>
              <w:ind w:firstLine="0" w:firstLineChars="0"/>
              <w:rPr>
                <w:sz w:val="24"/>
                <w:szCs w:val="24"/>
              </w:rPr>
            </w:pPr>
          </w:p>
        </w:tc>
        <w:tc>
          <w:tcPr>
            <w:tcW w:w="708" w:type="dxa"/>
            <w:vMerge w:val="continue"/>
            <w:vAlign w:val="center"/>
          </w:tcPr>
          <w:p>
            <w:pPr>
              <w:pStyle w:val="49"/>
              <w:adjustRightInd w:val="0"/>
              <w:snapToGrid w:val="0"/>
              <w:spacing w:line="240" w:lineRule="exact"/>
              <w:ind w:firstLine="0" w:firstLineChars="0"/>
              <w:rPr>
                <w:sz w:val="24"/>
                <w:szCs w:val="24"/>
              </w:rPr>
            </w:pPr>
          </w:p>
        </w:tc>
        <w:tc>
          <w:tcPr>
            <w:tcW w:w="1069" w:type="dxa"/>
            <w:vMerge w:val="continue"/>
            <w:vAlign w:val="center"/>
          </w:tcPr>
          <w:p>
            <w:pPr>
              <w:pStyle w:val="49"/>
              <w:adjustRightInd w:val="0"/>
              <w:snapToGrid w:val="0"/>
              <w:spacing w:line="240" w:lineRule="exact"/>
              <w:ind w:firstLine="0" w:firstLineChars="0"/>
              <w:rPr>
                <w:sz w:val="24"/>
                <w:szCs w:val="24"/>
              </w:rPr>
            </w:pPr>
          </w:p>
        </w:tc>
        <w:tc>
          <w:tcPr>
            <w:tcW w:w="600" w:type="dxa"/>
            <w:vMerge w:val="continue"/>
            <w:vAlign w:val="center"/>
          </w:tcPr>
          <w:p>
            <w:pPr>
              <w:pStyle w:val="49"/>
              <w:adjustRightInd w:val="0"/>
              <w:snapToGrid w:val="0"/>
              <w:spacing w:line="240" w:lineRule="exact"/>
              <w:ind w:firstLine="0" w:firstLineChars="0"/>
              <w:rPr>
                <w:sz w:val="24"/>
                <w:szCs w:val="24"/>
              </w:rPr>
            </w:pPr>
          </w:p>
        </w:tc>
        <w:tc>
          <w:tcPr>
            <w:tcW w:w="818" w:type="dxa"/>
            <w:vMerge w:val="continue"/>
            <w:vAlign w:val="center"/>
          </w:tcPr>
          <w:p>
            <w:pPr>
              <w:pStyle w:val="49"/>
              <w:adjustRightInd w:val="0"/>
              <w:snapToGrid w:val="0"/>
              <w:spacing w:line="240" w:lineRule="exact"/>
              <w:ind w:firstLine="0" w:firstLineChars="0"/>
              <w:rPr>
                <w:sz w:val="24"/>
                <w:szCs w:val="24"/>
              </w:rPr>
            </w:pPr>
          </w:p>
        </w:tc>
        <w:tc>
          <w:tcPr>
            <w:tcW w:w="1056" w:type="dxa"/>
            <w:vAlign w:val="center"/>
          </w:tcPr>
          <w:p>
            <w:pPr>
              <w:pStyle w:val="49"/>
              <w:adjustRightInd w:val="0"/>
              <w:snapToGrid w:val="0"/>
              <w:spacing w:line="240" w:lineRule="exact"/>
              <w:ind w:firstLine="0" w:firstLineChars="0"/>
              <w:rPr>
                <w:sz w:val="24"/>
                <w:szCs w:val="24"/>
              </w:rPr>
            </w:pPr>
            <w:r>
              <w:rPr>
                <w:sz w:val="24"/>
                <w:szCs w:val="24"/>
              </w:rPr>
              <w:t>&gt;10</w:t>
            </w:r>
          </w:p>
        </w:tc>
        <w:tc>
          <w:tcPr>
            <w:tcW w:w="952" w:type="dxa"/>
            <w:vAlign w:val="center"/>
          </w:tcPr>
          <w:p>
            <w:pPr>
              <w:pStyle w:val="49"/>
              <w:adjustRightInd w:val="0"/>
              <w:snapToGrid w:val="0"/>
              <w:spacing w:line="240" w:lineRule="exact"/>
              <w:ind w:firstLine="0" w:firstLineChars="0"/>
              <w:rPr>
                <w:sz w:val="24"/>
                <w:szCs w:val="24"/>
              </w:rPr>
            </w:pPr>
            <w:r>
              <w:rPr>
                <w:sz w:val="24"/>
                <w:szCs w:val="24"/>
              </w:rPr>
              <w:t>10</w:t>
            </w:r>
          </w:p>
        </w:tc>
        <w:tc>
          <w:tcPr>
            <w:tcW w:w="909" w:type="dxa"/>
            <w:vMerge w:val="continue"/>
            <w:vAlign w:val="center"/>
          </w:tcPr>
          <w:p>
            <w:pPr>
              <w:pStyle w:val="49"/>
              <w:adjustRightInd w:val="0"/>
              <w:snapToGrid w:val="0"/>
              <w:spacing w:line="240" w:lineRule="exact"/>
              <w:ind w:firstLine="0" w:firstLineChars="0"/>
              <w:rPr>
                <w:sz w:val="24"/>
                <w:szCs w:val="24"/>
              </w:rPr>
            </w:pPr>
          </w:p>
        </w:tc>
        <w:tc>
          <w:tcPr>
            <w:tcW w:w="1359" w:type="dxa"/>
            <w:vMerge w:val="continue"/>
            <w:vAlign w:val="center"/>
          </w:tcPr>
          <w:p>
            <w:pPr>
              <w:pStyle w:val="49"/>
              <w:adjustRightInd w:val="0"/>
              <w:snapToGrid w:val="0"/>
              <w:spacing w:line="240" w:lineRule="exact"/>
              <w:ind w:firstLine="0" w:firstLineChars="0"/>
              <w:rPr>
                <w:sz w:val="24"/>
                <w:szCs w:val="24"/>
              </w:rPr>
            </w:pPr>
          </w:p>
        </w:tc>
      </w:tr>
    </w:tbl>
    <w:p>
      <w:pPr>
        <w:spacing w:line="480" w:lineRule="exact"/>
        <w:ind w:firstLine="632"/>
      </w:pPr>
      <w:r>
        <w:t>根据</w:t>
      </w:r>
      <w:r>
        <w:rPr>
          <w:rFonts w:hint="eastAsia"/>
        </w:rPr>
        <w:t>红旗水库水源地</w:t>
      </w:r>
      <w:r>
        <w:t>实际情况，按照上表对各评估指标分别进行评分，计算得到</w:t>
      </w:r>
      <w:r>
        <w:rPr>
          <w:rFonts w:hint="eastAsia"/>
        </w:rPr>
        <w:t>红旗水库水源地</w:t>
      </w:r>
      <w:r>
        <w:t>固定源评分R</w:t>
      </w:r>
      <w:r>
        <w:rPr>
          <w:rFonts w:eastAsia="方正楷体_GBK"/>
          <w:bCs/>
          <w:szCs w:val="32"/>
          <w:vertAlign w:val="subscript"/>
        </w:rPr>
        <w:t>p</w:t>
      </w:r>
      <w:r>
        <w:t>（R</w:t>
      </w:r>
      <w:r>
        <w:rPr>
          <w:vertAlign w:val="subscript"/>
        </w:rPr>
        <w:t>p</w:t>
      </w:r>
      <w:r>
        <w:t>=P</w:t>
      </w:r>
      <w:r>
        <w:rPr>
          <w:vertAlign w:val="subscript"/>
        </w:rPr>
        <w:t>1</w:t>
      </w:r>
      <w:r>
        <w:t>+P</w:t>
      </w:r>
      <w:r>
        <w:rPr>
          <w:vertAlign w:val="subscript"/>
        </w:rPr>
        <w:t>2</w:t>
      </w:r>
      <w:r>
        <w:t>）为0。</w:t>
      </w:r>
    </w:p>
    <w:p>
      <w:pPr>
        <w:pStyle w:val="4"/>
        <w:ind w:firstLine="592"/>
      </w:pPr>
      <w:bookmarkStart w:id="99" w:name="_Toc116914464"/>
      <w:bookmarkStart w:id="100" w:name="_Toc126335853"/>
      <w:r>
        <w:rPr>
          <w:rFonts w:hint="eastAsia" w:eastAsia="宋体"/>
          <w:sz w:val="30"/>
          <w:szCs w:val="30"/>
        </w:rPr>
        <w:t>4</w:t>
      </w:r>
      <w:r>
        <w:rPr>
          <w:rFonts w:eastAsia="宋体"/>
          <w:sz w:val="30"/>
          <w:szCs w:val="30"/>
        </w:rPr>
        <w:t>.2</w:t>
      </w:r>
      <w:r>
        <w:t>流动源项分析（R</w:t>
      </w:r>
      <w:r>
        <w:rPr>
          <w:vertAlign w:val="subscript"/>
        </w:rPr>
        <w:t>f</w:t>
      </w:r>
      <w:r>
        <w:t>）</w:t>
      </w:r>
      <w:bookmarkEnd w:id="99"/>
      <w:bookmarkEnd w:id="100"/>
    </w:p>
    <w:p>
      <w:pPr>
        <w:spacing w:line="480" w:lineRule="exact"/>
        <w:ind w:firstLine="632"/>
      </w:pPr>
      <w:r>
        <w:t>流动源评估指标及分值见表4-2。</w:t>
      </w:r>
    </w:p>
    <w:p>
      <w:pPr>
        <w:ind w:firstLine="0" w:firstLineChars="0"/>
        <w:jc w:val="center"/>
        <w:rPr>
          <w:rFonts w:eastAsia="方正黑体_GBK"/>
          <w:sz w:val="28"/>
          <w:szCs w:val="28"/>
        </w:rPr>
      </w:pPr>
      <w:r>
        <w:rPr>
          <w:rFonts w:eastAsia="方正黑体_GBK"/>
          <w:sz w:val="28"/>
          <w:szCs w:val="28"/>
        </w:rPr>
        <w:t>表4-2  流动源评估指标及分值表（R</w:t>
      </w:r>
      <w:r>
        <w:rPr>
          <w:rFonts w:eastAsia="方正楷体_GBK"/>
          <w:bCs/>
          <w:szCs w:val="32"/>
          <w:vertAlign w:val="subscript"/>
        </w:rPr>
        <w:t>f</w:t>
      </w:r>
      <w:r>
        <w:rPr>
          <w:rFonts w:eastAsia="方正黑体_GBK"/>
          <w:sz w:val="28"/>
          <w:szCs w:val="28"/>
        </w:rPr>
        <w:t>）</w:t>
      </w:r>
    </w:p>
    <w:tbl>
      <w:tblPr>
        <w:tblStyle w:val="29"/>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1009"/>
        <w:gridCol w:w="959"/>
        <w:gridCol w:w="588"/>
        <w:gridCol w:w="412"/>
        <w:gridCol w:w="2009"/>
        <w:gridCol w:w="1165"/>
        <w:gridCol w:w="1370"/>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tblHeader/>
          <w:jc w:val="center"/>
        </w:trPr>
        <w:tc>
          <w:tcPr>
            <w:tcW w:w="275" w:type="pct"/>
            <w:vMerge w:val="restar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风险源</w:t>
            </w:r>
          </w:p>
        </w:tc>
        <w:tc>
          <w:tcPr>
            <w:tcW w:w="1736" w:type="pct"/>
            <w:gridSpan w:val="4"/>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一级保护区</w:t>
            </w:r>
          </w:p>
        </w:tc>
        <w:tc>
          <w:tcPr>
            <w:tcW w:w="2987" w:type="pct"/>
            <w:gridSpan w:val="4"/>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tblHeader/>
          <w:jc w:val="center"/>
        </w:trPr>
        <w:tc>
          <w:tcPr>
            <w:tcW w:w="275" w:type="pct"/>
            <w:vMerge w:val="continue"/>
            <w:vAlign w:val="center"/>
          </w:tcPr>
          <w:p>
            <w:pPr>
              <w:pStyle w:val="49"/>
              <w:adjustRightInd w:val="0"/>
              <w:snapToGrid w:val="0"/>
              <w:spacing w:line="240" w:lineRule="exact"/>
              <w:ind w:firstLine="0" w:firstLineChars="0"/>
              <w:rPr>
                <w:rFonts w:eastAsia="方正黑体_GBK"/>
                <w:bCs/>
                <w:sz w:val="24"/>
                <w:szCs w:val="24"/>
              </w:rPr>
            </w:pPr>
          </w:p>
        </w:tc>
        <w:tc>
          <w:tcPr>
            <w:tcW w:w="590"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指标值</w:t>
            </w:r>
          </w:p>
        </w:tc>
        <w:tc>
          <w:tcPr>
            <w:tcW w:w="561"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评分值</w:t>
            </w:r>
          </w:p>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（F</w:t>
            </w:r>
            <w:r>
              <w:rPr>
                <w:rFonts w:eastAsia="方正黑体_GBK"/>
                <w:bCs/>
                <w:sz w:val="24"/>
                <w:szCs w:val="24"/>
                <w:vertAlign w:val="subscript"/>
              </w:rPr>
              <w:t>1</w:t>
            </w:r>
            <w:r>
              <w:rPr>
                <w:rFonts w:eastAsia="方正黑体_GBK"/>
                <w:bCs/>
                <w:sz w:val="24"/>
                <w:szCs w:val="24"/>
              </w:rPr>
              <w:t>）</w:t>
            </w:r>
          </w:p>
        </w:tc>
        <w:tc>
          <w:tcPr>
            <w:tcW w:w="344"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现状</w:t>
            </w:r>
          </w:p>
        </w:tc>
        <w:tc>
          <w:tcPr>
            <w:tcW w:w="239"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得分</w:t>
            </w:r>
          </w:p>
        </w:tc>
        <w:tc>
          <w:tcPr>
            <w:tcW w:w="1176"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指标值</w:t>
            </w:r>
          </w:p>
        </w:tc>
        <w:tc>
          <w:tcPr>
            <w:tcW w:w="682"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评分值</w:t>
            </w:r>
          </w:p>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（F</w:t>
            </w:r>
            <w:r>
              <w:rPr>
                <w:rFonts w:eastAsia="方正黑体_GBK"/>
                <w:bCs/>
                <w:sz w:val="24"/>
                <w:szCs w:val="24"/>
                <w:vertAlign w:val="subscript"/>
              </w:rPr>
              <w:t>2</w:t>
            </w:r>
            <w:r>
              <w:rPr>
                <w:rFonts w:eastAsia="方正黑体_GBK"/>
                <w:bCs/>
                <w:sz w:val="24"/>
                <w:szCs w:val="24"/>
              </w:rPr>
              <w:t>）</w:t>
            </w:r>
          </w:p>
        </w:tc>
        <w:tc>
          <w:tcPr>
            <w:tcW w:w="802"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现状</w:t>
            </w:r>
          </w:p>
        </w:tc>
        <w:tc>
          <w:tcPr>
            <w:tcW w:w="327" w:type="pct"/>
            <w:vAlign w:val="center"/>
          </w:tcPr>
          <w:p>
            <w:pPr>
              <w:pStyle w:val="49"/>
              <w:adjustRightInd w:val="0"/>
              <w:snapToGrid w:val="0"/>
              <w:spacing w:line="240" w:lineRule="exact"/>
              <w:ind w:firstLine="0" w:firstLineChars="0"/>
              <w:rPr>
                <w:rFonts w:eastAsia="方正黑体_GBK"/>
                <w:bCs/>
                <w:sz w:val="24"/>
                <w:szCs w:val="24"/>
              </w:rPr>
            </w:pPr>
            <w:r>
              <w:rPr>
                <w:rFonts w:eastAsia="方正黑体_GBK"/>
                <w:bCs/>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75" w:type="pct"/>
            <w:vMerge w:val="restart"/>
            <w:vAlign w:val="center"/>
          </w:tcPr>
          <w:p>
            <w:pPr>
              <w:pStyle w:val="49"/>
              <w:adjustRightInd w:val="0"/>
              <w:snapToGrid w:val="0"/>
              <w:spacing w:line="240" w:lineRule="exact"/>
              <w:ind w:firstLine="0" w:firstLineChars="0"/>
              <w:rPr>
                <w:sz w:val="24"/>
                <w:szCs w:val="24"/>
              </w:rPr>
            </w:pPr>
            <w:r>
              <w:rPr>
                <w:sz w:val="24"/>
                <w:szCs w:val="24"/>
              </w:rPr>
              <w:t>陆运</w:t>
            </w:r>
          </w:p>
        </w:tc>
        <w:tc>
          <w:tcPr>
            <w:tcW w:w="590" w:type="pct"/>
            <w:vAlign w:val="center"/>
          </w:tcPr>
          <w:p>
            <w:pPr>
              <w:pStyle w:val="49"/>
              <w:adjustRightInd w:val="0"/>
              <w:snapToGrid w:val="0"/>
              <w:spacing w:line="240" w:lineRule="exact"/>
              <w:ind w:firstLine="0" w:firstLineChars="0"/>
              <w:rPr>
                <w:sz w:val="24"/>
                <w:szCs w:val="24"/>
              </w:rPr>
            </w:pPr>
            <w:r>
              <w:rPr>
                <w:sz w:val="24"/>
                <w:szCs w:val="24"/>
              </w:rPr>
              <w:t>无</w:t>
            </w:r>
          </w:p>
        </w:tc>
        <w:tc>
          <w:tcPr>
            <w:tcW w:w="561" w:type="pct"/>
            <w:vAlign w:val="center"/>
          </w:tcPr>
          <w:p>
            <w:pPr>
              <w:pStyle w:val="49"/>
              <w:adjustRightInd w:val="0"/>
              <w:snapToGrid w:val="0"/>
              <w:spacing w:line="240" w:lineRule="exact"/>
              <w:ind w:firstLine="0" w:firstLineChars="0"/>
              <w:rPr>
                <w:sz w:val="24"/>
                <w:szCs w:val="24"/>
              </w:rPr>
            </w:pPr>
            <w:r>
              <w:rPr>
                <w:sz w:val="24"/>
                <w:szCs w:val="24"/>
              </w:rPr>
              <w:t>0</w:t>
            </w:r>
          </w:p>
        </w:tc>
        <w:tc>
          <w:tcPr>
            <w:tcW w:w="344" w:type="pct"/>
            <w:vMerge w:val="restart"/>
            <w:vAlign w:val="center"/>
          </w:tcPr>
          <w:p>
            <w:pPr>
              <w:pStyle w:val="49"/>
              <w:adjustRightInd w:val="0"/>
              <w:snapToGrid w:val="0"/>
              <w:spacing w:line="240" w:lineRule="exact"/>
              <w:ind w:firstLine="0" w:firstLineChars="0"/>
              <w:rPr>
                <w:sz w:val="24"/>
                <w:szCs w:val="24"/>
              </w:rPr>
            </w:pPr>
            <w:r>
              <w:rPr>
                <w:sz w:val="24"/>
                <w:szCs w:val="24"/>
              </w:rPr>
              <w:t>无</w:t>
            </w:r>
          </w:p>
        </w:tc>
        <w:tc>
          <w:tcPr>
            <w:tcW w:w="239" w:type="pct"/>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176" w:type="pct"/>
            <w:vAlign w:val="center"/>
          </w:tcPr>
          <w:p>
            <w:pPr>
              <w:pStyle w:val="49"/>
              <w:adjustRightInd w:val="0"/>
              <w:snapToGrid w:val="0"/>
              <w:spacing w:line="240" w:lineRule="exact"/>
              <w:ind w:firstLine="0" w:firstLineChars="0"/>
              <w:rPr>
                <w:sz w:val="24"/>
                <w:szCs w:val="24"/>
              </w:rPr>
            </w:pPr>
            <w:r>
              <w:rPr>
                <w:sz w:val="24"/>
                <w:szCs w:val="24"/>
              </w:rPr>
              <w:t>无</w:t>
            </w:r>
          </w:p>
        </w:tc>
        <w:tc>
          <w:tcPr>
            <w:tcW w:w="682" w:type="pct"/>
            <w:vAlign w:val="center"/>
          </w:tcPr>
          <w:p>
            <w:pPr>
              <w:pStyle w:val="49"/>
              <w:adjustRightInd w:val="0"/>
              <w:snapToGrid w:val="0"/>
              <w:spacing w:line="240" w:lineRule="exact"/>
              <w:ind w:firstLine="0" w:firstLineChars="0"/>
              <w:rPr>
                <w:sz w:val="24"/>
                <w:szCs w:val="24"/>
              </w:rPr>
            </w:pPr>
            <w:r>
              <w:rPr>
                <w:sz w:val="24"/>
                <w:szCs w:val="24"/>
              </w:rPr>
              <w:t>0</w:t>
            </w:r>
          </w:p>
        </w:tc>
        <w:tc>
          <w:tcPr>
            <w:tcW w:w="802"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3</w:t>
            </w:r>
          </w:p>
        </w:tc>
        <w:tc>
          <w:tcPr>
            <w:tcW w:w="327" w:type="pct"/>
            <w:vMerge w:val="restart"/>
            <w:vAlign w:val="center"/>
          </w:tcPr>
          <w:p>
            <w:pPr>
              <w:pStyle w:val="49"/>
              <w:adjustRightInd w:val="0"/>
              <w:snapToGrid w:val="0"/>
              <w:spacing w:line="240" w:lineRule="exact"/>
              <w:ind w:firstLine="0" w:firstLineChars="0"/>
              <w:rPr>
                <w:sz w:val="24"/>
                <w:szCs w:val="24"/>
              </w:rPr>
            </w:pPr>
            <w:r>
              <w:rPr>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Align w:val="center"/>
          </w:tcPr>
          <w:p>
            <w:pPr>
              <w:pStyle w:val="49"/>
              <w:adjustRightInd w:val="0"/>
              <w:snapToGrid w:val="0"/>
              <w:spacing w:line="240" w:lineRule="exact"/>
              <w:ind w:firstLine="0" w:firstLineChars="0"/>
              <w:rPr>
                <w:sz w:val="24"/>
                <w:szCs w:val="24"/>
              </w:rPr>
            </w:pPr>
            <w:r>
              <w:rPr>
                <w:sz w:val="24"/>
                <w:szCs w:val="24"/>
              </w:rPr>
              <w:t>危险品运输或L&gt;2r</w:t>
            </w:r>
            <w:r>
              <w:rPr>
                <w:sz w:val="24"/>
                <w:szCs w:val="24"/>
                <w:vertAlign w:val="subscript"/>
              </w:rPr>
              <w:t>d</w:t>
            </w:r>
          </w:p>
        </w:tc>
        <w:tc>
          <w:tcPr>
            <w:tcW w:w="561" w:type="pct"/>
            <w:vAlign w:val="center"/>
          </w:tcPr>
          <w:p>
            <w:pPr>
              <w:pStyle w:val="49"/>
              <w:adjustRightInd w:val="0"/>
              <w:snapToGrid w:val="0"/>
              <w:spacing w:line="240" w:lineRule="exact"/>
              <w:ind w:firstLine="0" w:firstLineChars="0"/>
              <w:rPr>
                <w:sz w:val="24"/>
                <w:szCs w:val="24"/>
              </w:rPr>
            </w:pPr>
            <w:r>
              <w:rPr>
                <w:sz w:val="24"/>
                <w:szCs w:val="24"/>
              </w:rPr>
              <w:t>10</w:t>
            </w: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有路仅可行走</w:t>
            </w:r>
          </w:p>
        </w:tc>
        <w:tc>
          <w:tcPr>
            <w:tcW w:w="682" w:type="pct"/>
            <w:vAlign w:val="center"/>
          </w:tcPr>
          <w:p>
            <w:pPr>
              <w:pStyle w:val="49"/>
              <w:adjustRightInd w:val="0"/>
              <w:snapToGrid w:val="0"/>
              <w:spacing w:line="240" w:lineRule="exact"/>
              <w:ind w:firstLine="0" w:firstLineChars="0"/>
              <w:rPr>
                <w:sz w:val="24"/>
                <w:szCs w:val="24"/>
              </w:rPr>
            </w:pPr>
            <w:r>
              <w:rPr>
                <w:sz w:val="24"/>
                <w:szCs w:val="24"/>
              </w:rPr>
              <w:t>1</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Align w:val="center"/>
          </w:tcPr>
          <w:p>
            <w:pPr>
              <w:pStyle w:val="49"/>
              <w:adjustRightInd w:val="0"/>
              <w:snapToGrid w:val="0"/>
              <w:spacing w:line="240" w:lineRule="exact"/>
              <w:ind w:firstLine="0" w:firstLineChars="0"/>
              <w:rPr>
                <w:sz w:val="24"/>
                <w:szCs w:val="24"/>
              </w:rPr>
            </w:pPr>
            <w:r>
              <w:rPr>
                <w:sz w:val="24"/>
                <w:szCs w:val="24"/>
              </w:rPr>
              <w:t>L&lt;2r</w:t>
            </w:r>
            <w:r>
              <w:rPr>
                <w:sz w:val="24"/>
                <w:szCs w:val="24"/>
                <w:vertAlign w:val="subscript"/>
              </w:rPr>
              <w:t>d</w:t>
            </w:r>
          </w:p>
        </w:tc>
        <w:tc>
          <w:tcPr>
            <w:tcW w:w="561" w:type="pct"/>
            <w:vAlign w:val="center"/>
          </w:tcPr>
          <w:p>
            <w:pPr>
              <w:pStyle w:val="49"/>
              <w:adjustRightInd w:val="0"/>
              <w:snapToGrid w:val="0"/>
              <w:spacing w:line="240" w:lineRule="exact"/>
              <w:ind w:firstLine="0" w:firstLineChars="0"/>
              <w:rPr>
                <w:sz w:val="24"/>
                <w:szCs w:val="24"/>
              </w:rPr>
            </w:pPr>
            <w:r>
              <w:rPr>
                <w:sz w:val="24"/>
                <w:szCs w:val="24"/>
              </w:rPr>
              <w:t>9</w:t>
            </w: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有路但不能通行机动</w:t>
            </w:r>
          </w:p>
        </w:tc>
        <w:tc>
          <w:tcPr>
            <w:tcW w:w="682" w:type="pct"/>
            <w:vAlign w:val="center"/>
          </w:tcPr>
          <w:p>
            <w:pPr>
              <w:pStyle w:val="49"/>
              <w:adjustRightInd w:val="0"/>
              <w:snapToGrid w:val="0"/>
              <w:spacing w:line="240" w:lineRule="exact"/>
              <w:ind w:firstLine="0" w:firstLineChars="0"/>
              <w:rPr>
                <w:sz w:val="24"/>
                <w:szCs w:val="24"/>
              </w:rPr>
            </w:pPr>
            <w:r>
              <w:rPr>
                <w:sz w:val="24"/>
                <w:szCs w:val="24"/>
              </w:rPr>
              <w:t>2</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restart"/>
            <w:vAlign w:val="center"/>
          </w:tcPr>
          <w:p>
            <w:pPr>
              <w:pStyle w:val="49"/>
              <w:adjustRightInd w:val="0"/>
              <w:snapToGrid w:val="0"/>
              <w:spacing w:line="240" w:lineRule="exact"/>
              <w:ind w:firstLine="0" w:firstLineChars="0"/>
              <w:rPr>
                <w:sz w:val="24"/>
                <w:szCs w:val="24"/>
              </w:rPr>
            </w:pPr>
          </w:p>
        </w:tc>
        <w:tc>
          <w:tcPr>
            <w:tcW w:w="561" w:type="pct"/>
            <w:vMerge w:val="restart"/>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有机动车通行</w:t>
            </w:r>
          </w:p>
        </w:tc>
        <w:tc>
          <w:tcPr>
            <w:tcW w:w="682" w:type="pct"/>
            <w:vAlign w:val="center"/>
          </w:tcPr>
          <w:p>
            <w:pPr>
              <w:pStyle w:val="49"/>
              <w:adjustRightInd w:val="0"/>
              <w:snapToGrid w:val="0"/>
              <w:spacing w:line="240" w:lineRule="exact"/>
              <w:ind w:firstLine="0" w:firstLineChars="0"/>
              <w:rPr>
                <w:sz w:val="24"/>
                <w:szCs w:val="24"/>
              </w:rPr>
            </w:pPr>
            <w:r>
              <w:rPr>
                <w:sz w:val="24"/>
                <w:szCs w:val="24"/>
              </w:rPr>
              <w:t>3</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有运输路线且长度较短</w:t>
            </w:r>
          </w:p>
        </w:tc>
        <w:tc>
          <w:tcPr>
            <w:tcW w:w="682" w:type="pct"/>
            <w:vAlign w:val="center"/>
          </w:tcPr>
          <w:p>
            <w:pPr>
              <w:pStyle w:val="49"/>
              <w:adjustRightInd w:val="0"/>
              <w:snapToGrid w:val="0"/>
              <w:spacing w:line="240" w:lineRule="exact"/>
              <w:ind w:firstLine="0" w:firstLineChars="0"/>
              <w:rPr>
                <w:sz w:val="24"/>
                <w:szCs w:val="24"/>
              </w:rPr>
            </w:pPr>
            <w:r>
              <w:rPr>
                <w:sz w:val="24"/>
                <w:szCs w:val="24"/>
              </w:rPr>
              <w:t>4</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L&lt;r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sz w:val="24"/>
                <w:szCs w:val="24"/>
              </w:rPr>
              <w:t>5</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r</w:t>
            </w:r>
            <w:r>
              <w:rPr>
                <w:sz w:val="24"/>
                <w:szCs w:val="24"/>
                <w:vertAlign w:val="subscript"/>
              </w:rPr>
              <w:t>d</w:t>
            </w:r>
            <w:r>
              <w:rPr>
                <w:sz w:val="24"/>
                <w:szCs w:val="24"/>
              </w:rPr>
              <w:t>&lt;L&lt;2r</w:t>
            </w:r>
            <w:r>
              <w:rPr>
                <w:sz w:val="24"/>
                <w:szCs w:val="24"/>
                <w:vertAlign w:val="subscript"/>
              </w:rPr>
              <w:t>d</w:t>
            </w:r>
            <w:r>
              <w:rPr>
                <w:sz w:val="24"/>
                <w:szCs w:val="24"/>
              </w:rPr>
              <w:t>；或有小型桥梁</w:t>
            </w:r>
          </w:p>
        </w:tc>
        <w:tc>
          <w:tcPr>
            <w:tcW w:w="682" w:type="pct"/>
            <w:vAlign w:val="center"/>
          </w:tcPr>
          <w:p>
            <w:pPr>
              <w:pStyle w:val="49"/>
              <w:adjustRightInd w:val="0"/>
              <w:snapToGrid w:val="0"/>
              <w:spacing w:line="240" w:lineRule="exact"/>
              <w:ind w:firstLine="0" w:firstLineChars="0"/>
              <w:rPr>
                <w:sz w:val="24"/>
                <w:szCs w:val="24"/>
              </w:rPr>
            </w:pPr>
            <w:r>
              <w:rPr>
                <w:sz w:val="24"/>
                <w:szCs w:val="24"/>
              </w:rPr>
              <w:t>6</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L&gt;2r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sz w:val="24"/>
                <w:szCs w:val="24"/>
              </w:rPr>
              <w:t>7</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有危险品运输；或有单车道跨线桥</w:t>
            </w:r>
          </w:p>
        </w:tc>
        <w:tc>
          <w:tcPr>
            <w:tcW w:w="682" w:type="pct"/>
            <w:vAlign w:val="center"/>
          </w:tcPr>
          <w:p>
            <w:pPr>
              <w:pStyle w:val="49"/>
              <w:adjustRightInd w:val="0"/>
              <w:snapToGrid w:val="0"/>
              <w:spacing w:line="240" w:lineRule="exact"/>
              <w:ind w:firstLine="0" w:firstLineChars="0"/>
              <w:rPr>
                <w:sz w:val="24"/>
                <w:szCs w:val="24"/>
              </w:rPr>
            </w:pPr>
            <w:r>
              <w:rPr>
                <w:sz w:val="24"/>
                <w:szCs w:val="24"/>
              </w:rPr>
              <w:t>8</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有危险品运输且r</w:t>
            </w:r>
            <w:r>
              <w:rPr>
                <w:sz w:val="24"/>
                <w:szCs w:val="24"/>
                <w:vertAlign w:val="subscript"/>
              </w:rPr>
              <w:t>d</w:t>
            </w:r>
            <w:r>
              <w:rPr>
                <w:sz w:val="24"/>
                <w:szCs w:val="24"/>
              </w:rPr>
              <w:t>&lt;L&lt;2r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sz w:val="24"/>
                <w:szCs w:val="24"/>
              </w:rPr>
              <w:t>9</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有危险品运输且L&gt;2r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sz w:val="24"/>
                <w:szCs w:val="24"/>
              </w:rPr>
              <w:t>10</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75"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船舶</w:t>
            </w:r>
          </w:p>
        </w:tc>
        <w:tc>
          <w:tcPr>
            <w:tcW w:w="590"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无</w:t>
            </w:r>
          </w:p>
        </w:tc>
        <w:tc>
          <w:tcPr>
            <w:tcW w:w="561"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0</w:t>
            </w:r>
          </w:p>
        </w:tc>
        <w:tc>
          <w:tcPr>
            <w:tcW w:w="344"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无</w:t>
            </w:r>
          </w:p>
        </w:tc>
        <w:tc>
          <w:tcPr>
            <w:tcW w:w="239" w:type="pct"/>
            <w:vMerge w:val="restart"/>
            <w:vAlign w:val="center"/>
          </w:tcPr>
          <w:p>
            <w:pPr>
              <w:pStyle w:val="49"/>
              <w:adjustRightInd w:val="0"/>
              <w:snapToGrid w:val="0"/>
              <w:spacing w:line="240" w:lineRule="exact"/>
              <w:ind w:firstLine="0" w:firstLineChars="0"/>
              <w:rPr>
                <w:sz w:val="24"/>
                <w:szCs w:val="24"/>
              </w:rPr>
            </w:pPr>
            <w:r>
              <w:rPr>
                <w:sz w:val="24"/>
                <w:szCs w:val="24"/>
              </w:rPr>
              <w:t>0</w:t>
            </w:r>
          </w:p>
        </w:tc>
        <w:tc>
          <w:tcPr>
            <w:tcW w:w="1176" w:type="pct"/>
            <w:vAlign w:val="center"/>
          </w:tcPr>
          <w:p>
            <w:pPr>
              <w:pStyle w:val="49"/>
              <w:adjustRightInd w:val="0"/>
              <w:snapToGrid w:val="0"/>
              <w:spacing w:line="240" w:lineRule="exact"/>
              <w:ind w:firstLine="0" w:firstLineChars="0"/>
              <w:rPr>
                <w:sz w:val="24"/>
                <w:szCs w:val="24"/>
              </w:rPr>
            </w:pPr>
            <w:r>
              <w:rPr>
                <w:rFonts w:hint="eastAsia"/>
                <w:sz w:val="24"/>
                <w:szCs w:val="24"/>
              </w:rPr>
              <w:t>无</w:t>
            </w:r>
          </w:p>
        </w:tc>
        <w:tc>
          <w:tcPr>
            <w:tcW w:w="682" w:type="pct"/>
            <w:vAlign w:val="center"/>
          </w:tcPr>
          <w:p>
            <w:pPr>
              <w:pStyle w:val="49"/>
              <w:adjustRightInd w:val="0"/>
              <w:snapToGrid w:val="0"/>
              <w:spacing w:line="240" w:lineRule="exact"/>
              <w:ind w:firstLine="0" w:firstLineChars="0"/>
              <w:rPr>
                <w:sz w:val="24"/>
                <w:szCs w:val="24"/>
              </w:rPr>
            </w:pPr>
            <w:r>
              <w:rPr>
                <w:rFonts w:hint="eastAsia"/>
                <w:sz w:val="24"/>
                <w:szCs w:val="24"/>
              </w:rPr>
              <w:t>0</w:t>
            </w:r>
          </w:p>
        </w:tc>
        <w:tc>
          <w:tcPr>
            <w:tcW w:w="802"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无</w:t>
            </w:r>
          </w:p>
        </w:tc>
        <w:tc>
          <w:tcPr>
            <w:tcW w:w="327" w:type="pct"/>
            <w:vMerge w:val="restart"/>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航线L&lt;r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rFonts w:hint="eastAsia"/>
                <w:sz w:val="24"/>
                <w:szCs w:val="24"/>
              </w:rPr>
              <w:t>6</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存在</w:t>
            </w:r>
          </w:p>
        </w:tc>
        <w:tc>
          <w:tcPr>
            <w:tcW w:w="561" w:type="pct"/>
            <w:vMerge w:val="restart"/>
            <w:vAlign w:val="center"/>
          </w:tcPr>
          <w:p>
            <w:pPr>
              <w:pStyle w:val="49"/>
              <w:adjustRightInd w:val="0"/>
              <w:snapToGrid w:val="0"/>
              <w:spacing w:line="240" w:lineRule="exact"/>
              <w:ind w:firstLine="0" w:firstLineChars="0"/>
              <w:rPr>
                <w:sz w:val="24"/>
                <w:szCs w:val="24"/>
              </w:rPr>
            </w:pPr>
            <w:r>
              <w:rPr>
                <w:rFonts w:hint="eastAsia"/>
                <w:sz w:val="24"/>
                <w:szCs w:val="24"/>
              </w:rPr>
              <w:t>10</w:t>
            </w: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航线r</w:t>
            </w:r>
            <w:r>
              <w:rPr>
                <w:sz w:val="24"/>
                <w:szCs w:val="24"/>
                <w:vertAlign w:val="subscript"/>
              </w:rPr>
              <w:t>d</w:t>
            </w:r>
            <w:r>
              <w:rPr>
                <w:sz w:val="24"/>
                <w:szCs w:val="24"/>
              </w:rPr>
              <w:t>&lt;L&lt;2r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rFonts w:hint="eastAsia"/>
                <w:sz w:val="24"/>
                <w:szCs w:val="24"/>
              </w:rPr>
              <w:t>8</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75" w:type="pct"/>
            <w:vMerge w:val="continue"/>
            <w:vAlign w:val="center"/>
          </w:tcPr>
          <w:p>
            <w:pPr>
              <w:pStyle w:val="49"/>
              <w:adjustRightInd w:val="0"/>
              <w:snapToGrid w:val="0"/>
              <w:spacing w:line="240" w:lineRule="exact"/>
              <w:ind w:firstLine="0" w:firstLineChars="0"/>
              <w:rPr>
                <w:sz w:val="24"/>
                <w:szCs w:val="24"/>
              </w:rPr>
            </w:pPr>
          </w:p>
        </w:tc>
        <w:tc>
          <w:tcPr>
            <w:tcW w:w="590" w:type="pct"/>
            <w:vMerge w:val="continue"/>
            <w:vAlign w:val="center"/>
          </w:tcPr>
          <w:p>
            <w:pPr>
              <w:pStyle w:val="49"/>
              <w:adjustRightInd w:val="0"/>
              <w:snapToGrid w:val="0"/>
              <w:spacing w:line="240" w:lineRule="exact"/>
              <w:ind w:firstLine="0" w:firstLineChars="0"/>
              <w:rPr>
                <w:sz w:val="24"/>
                <w:szCs w:val="24"/>
              </w:rPr>
            </w:pPr>
          </w:p>
        </w:tc>
        <w:tc>
          <w:tcPr>
            <w:tcW w:w="561" w:type="pct"/>
            <w:vMerge w:val="continue"/>
            <w:vAlign w:val="center"/>
          </w:tcPr>
          <w:p>
            <w:pPr>
              <w:pStyle w:val="49"/>
              <w:adjustRightInd w:val="0"/>
              <w:snapToGrid w:val="0"/>
              <w:spacing w:line="240" w:lineRule="exact"/>
              <w:ind w:firstLine="0" w:firstLineChars="0"/>
              <w:rPr>
                <w:sz w:val="24"/>
                <w:szCs w:val="24"/>
              </w:rPr>
            </w:pPr>
          </w:p>
        </w:tc>
        <w:tc>
          <w:tcPr>
            <w:tcW w:w="344" w:type="pct"/>
            <w:vMerge w:val="continue"/>
            <w:vAlign w:val="center"/>
          </w:tcPr>
          <w:p>
            <w:pPr>
              <w:pStyle w:val="49"/>
              <w:adjustRightInd w:val="0"/>
              <w:snapToGrid w:val="0"/>
              <w:spacing w:line="240" w:lineRule="exact"/>
              <w:ind w:firstLine="0" w:firstLineChars="0"/>
              <w:rPr>
                <w:sz w:val="24"/>
                <w:szCs w:val="24"/>
              </w:rPr>
            </w:pPr>
          </w:p>
        </w:tc>
        <w:tc>
          <w:tcPr>
            <w:tcW w:w="239" w:type="pct"/>
            <w:vMerge w:val="continue"/>
            <w:vAlign w:val="center"/>
          </w:tcPr>
          <w:p>
            <w:pPr>
              <w:pStyle w:val="49"/>
              <w:adjustRightInd w:val="0"/>
              <w:snapToGrid w:val="0"/>
              <w:spacing w:line="240" w:lineRule="exact"/>
              <w:ind w:firstLine="0" w:firstLineChars="0"/>
              <w:rPr>
                <w:sz w:val="24"/>
                <w:szCs w:val="24"/>
              </w:rPr>
            </w:pPr>
          </w:p>
        </w:tc>
        <w:tc>
          <w:tcPr>
            <w:tcW w:w="1176" w:type="pct"/>
            <w:vAlign w:val="center"/>
          </w:tcPr>
          <w:p>
            <w:pPr>
              <w:pStyle w:val="49"/>
              <w:adjustRightInd w:val="0"/>
              <w:snapToGrid w:val="0"/>
              <w:spacing w:line="240" w:lineRule="exact"/>
              <w:ind w:firstLine="0" w:firstLineChars="0"/>
              <w:rPr>
                <w:sz w:val="24"/>
                <w:szCs w:val="24"/>
              </w:rPr>
            </w:pPr>
            <w:r>
              <w:rPr>
                <w:sz w:val="24"/>
                <w:szCs w:val="24"/>
              </w:rPr>
              <w:t>航线L&gt;2r</w:t>
            </w:r>
            <w:r>
              <w:rPr>
                <w:sz w:val="24"/>
                <w:szCs w:val="24"/>
                <w:vertAlign w:val="subscript"/>
              </w:rPr>
              <w:t>d</w:t>
            </w:r>
          </w:p>
        </w:tc>
        <w:tc>
          <w:tcPr>
            <w:tcW w:w="682" w:type="pct"/>
            <w:vAlign w:val="center"/>
          </w:tcPr>
          <w:p>
            <w:pPr>
              <w:pStyle w:val="49"/>
              <w:adjustRightInd w:val="0"/>
              <w:snapToGrid w:val="0"/>
              <w:spacing w:line="240" w:lineRule="exact"/>
              <w:ind w:firstLine="0" w:firstLineChars="0"/>
              <w:rPr>
                <w:sz w:val="24"/>
                <w:szCs w:val="24"/>
              </w:rPr>
            </w:pPr>
            <w:r>
              <w:rPr>
                <w:rFonts w:hint="eastAsia"/>
                <w:sz w:val="24"/>
                <w:szCs w:val="24"/>
              </w:rPr>
              <w:t>10</w:t>
            </w:r>
          </w:p>
        </w:tc>
        <w:tc>
          <w:tcPr>
            <w:tcW w:w="802" w:type="pct"/>
            <w:vMerge w:val="continue"/>
            <w:vAlign w:val="center"/>
          </w:tcPr>
          <w:p>
            <w:pPr>
              <w:pStyle w:val="49"/>
              <w:adjustRightInd w:val="0"/>
              <w:snapToGrid w:val="0"/>
              <w:spacing w:line="240" w:lineRule="exact"/>
              <w:ind w:firstLine="0" w:firstLineChars="0"/>
              <w:rPr>
                <w:sz w:val="24"/>
                <w:szCs w:val="24"/>
              </w:rPr>
            </w:pPr>
          </w:p>
        </w:tc>
        <w:tc>
          <w:tcPr>
            <w:tcW w:w="327" w:type="pct"/>
            <w:vMerge w:val="continue"/>
            <w:vAlign w:val="center"/>
          </w:tcPr>
          <w:p>
            <w:pPr>
              <w:pStyle w:val="49"/>
              <w:adjustRightInd w:val="0"/>
              <w:snapToGrid w:val="0"/>
              <w:spacing w:line="240" w:lineRule="exact"/>
              <w:ind w:firstLine="0" w:firstLineChars="0"/>
              <w:rPr>
                <w:sz w:val="24"/>
                <w:szCs w:val="24"/>
              </w:rPr>
            </w:pPr>
          </w:p>
        </w:tc>
      </w:tr>
    </w:tbl>
    <w:p>
      <w:pPr>
        <w:spacing w:line="260" w:lineRule="exact"/>
        <w:ind w:firstLine="412"/>
        <w:rPr>
          <w:sz w:val="21"/>
          <w:szCs w:val="21"/>
        </w:rPr>
      </w:pPr>
      <w:r>
        <w:rPr>
          <w:sz w:val="21"/>
          <w:szCs w:val="21"/>
        </w:rPr>
        <w:t>注：L为公路或铁路的路线长度；r</w:t>
      </w:r>
      <w:r>
        <w:rPr>
          <w:sz w:val="21"/>
          <w:szCs w:val="21"/>
          <w:vertAlign w:val="subscript"/>
        </w:rPr>
        <w:t>d</w:t>
      </w:r>
      <w:r>
        <w:rPr>
          <w:sz w:val="21"/>
          <w:szCs w:val="21"/>
        </w:rPr>
        <w:t>为风险源所在保护区范围的当量半径。</w:t>
      </w:r>
    </w:p>
    <w:p>
      <w:pPr>
        <w:pStyle w:val="17"/>
        <w:ind w:firstLine="352"/>
      </w:pPr>
    </w:p>
    <w:p>
      <w:pPr>
        <w:ind w:firstLine="632"/>
      </w:pPr>
      <w:r>
        <w:t>根据</w:t>
      </w:r>
      <w:r>
        <w:rPr>
          <w:rFonts w:hint="eastAsia"/>
        </w:rPr>
        <w:t>红旗水库水源地</w:t>
      </w:r>
      <w:r>
        <w:t>实际情况，按照上表对各评估指标分别进行评分，计算得到</w:t>
      </w:r>
      <w:r>
        <w:rPr>
          <w:rFonts w:hint="eastAsia"/>
        </w:rPr>
        <w:t>红旗水库水源地</w:t>
      </w:r>
      <w:r>
        <w:t>流动源评分R</w:t>
      </w:r>
      <w:r>
        <w:rPr>
          <w:rFonts w:eastAsia="方正楷体_GBK"/>
          <w:bCs/>
          <w:szCs w:val="32"/>
          <w:vertAlign w:val="subscript"/>
        </w:rPr>
        <w:t>f</w:t>
      </w:r>
      <w:r>
        <w:t>（R</w:t>
      </w:r>
      <w:r>
        <w:rPr>
          <w:rFonts w:eastAsia="方正楷体_GBK"/>
          <w:bCs/>
          <w:szCs w:val="32"/>
          <w:vertAlign w:val="subscript"/>
        </w:rPr>
        <w:t>f</w:t>
      </w:r>
      <w:r>
        <w:t>=F1+F2）为3。</w:t>
      </w:r>
    </w:p>
    <w:p>
      <w:pPr>
        <w:pStyle w:val="4"/>
        <w:ind w:firstLine="632"/>
      </w:pPr>
      <w:bookmarkStart w:id="101" w:name="_Toc116914465"/>
      <w:bookmarkStart w:id="102" w:name="_Toc126335854"/>
      <w:r>
        <w:rPr>
          <w:rFonts w:hint="eastAsia"/>
        </w:rPr>
        <w:t>4</w:t>
      </w:r>
      <w:r>
        <w:t>.3非点源项分析（R</w:t>
      </w:r>
      <w:r>
        <w:rPr>
          <w:rFonts w:hint="eastAsia"/>
          <w:vertAlign w:val="subscript"/>
        </w:rPr>
        <w:t>y</w:t>
      </w:r>
      <w:r>
        <w:t>）</w:t>
      </w:r>
      <w:bookmarkEnd w:id="101"/>
      <w:bookmarkEnd w:id="102"/>
    </w:p>
    <w:p>
      <w:pPr>
        <w:ind w:firstLine="632"/>
      </w:pPr>
      <w:r>
        <w:t>非点源评估指标及分值见表4-3。</w:t>
      </w:r>
    </w:p>
    <w:p>
      <w:pPr>
        <w:ind w:firstLine="0" w:firstLineChars="0"/>
        <w:jc w:val="center"/>
        <w:rPr>
          <w:rFonts w:eastAsia="方正黑体_GBK"/>
          <w:sz w:val="28"/>
          <w:szCs w:val="28"/>
        </w:rPr>
      </w:pPr>
      <w:r>
        <w:rPr>
          <w:rFonts w:eastAsia="方正黑体_GBK"/>
          <w:sz w:val="28"/>
          <w:szCs w:val="28"/>
        </w:rPr>
        <w:t>表4-3  非点源评价指标及评分值（R</w:t>
      </w:r>
      <w:r>
        <w:rPr>
          <w:rFonts w:hint="eastAsia" w:eastAsia="方正楷体_GBK"/>
          <w:bCs/>
          <w:szCs w:val="32"/>
          <w:vertAlign w:val="subscript"/>
        </w:rPr>
        <w:t>y</w:t>
      </w:r>
      <w:r>
        <w:rPr>
          <w:rFonts w:eastAsia="方正黑体_GBK"/>
          <w:sz w:val="28"/>
          <w:szCs w:val="28"/>
        </w:rPr>
        <w:t>）</w:t>
      </w:r>
    </w:p>
    <w:tbl>
      <w:tblPr>
        <w:tblStyle w:val="29"/>
        <w:tblW w:w="502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03"/>
        <w:gridCol w:w="1366"/>
        <w:gridCol w:w="801"/>
        <w:gridCol w:w="844"/>
        <w:gridCol w:w="718"/>
        <w:gridCol w:w="1402"/>
        <w:gridCol w:w="1197"/>
        <w:gridCol w:w="773"/>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blHeader/>
        </w:trPr>
        <w:tc>
          <w:tcPr>
            <w:tcW w:w="507" w:type="pct"/>
            <w:vMerge w:val="restart"/>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风险源</w:t>
            </w:r>
          </w:p>
        </w:tc>
        <w:tc>
          <w:tcPr>
            <w:tcW w:w="2093" w:type="pct"/>
            <w:gridSpan w:val="4"/>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一级保护区</w:t>
            </w:r>
          </w:p>
        </w:tc>
        <w:tc>
          <w:tcPr>
            <w:tcW w:w="2400" w:type="pct"/>
            <w:gridSpan w:val="4"/>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二级保护区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blHeader/>
        </w:trPr>
        <w:tc>
          <w:tcPr>
            <w:tcW w:w="507" w:type="pct"/>
            <w:vMerge w:val="continue"/>
            <w:tcBorders>
              <w:top w:val="nil"/>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p>
        </w:tc>
        <w:tc>
          <w:tcPr>
            <w:tcW w:w="767"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指标值</w:t>
            </w:r>
          </w:p>
        </w:tc>
        <w:tc>
          <w:tcPr>
            <w:tcW w:w="450"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评分值（Y</w:t>
            </w:r>
            <w:r>
              <w:rPr>
                <w:rFonts w:eastAsia="方正黑体_GBK"/>
                <w:sz w:val="24"/>
                <w:szCs w:val="24"/>
                <w:vertAlign w:val="subscript"/>
              </w:rPr>
              <w:t>1</w:t>
            </w:r>
            <w:r>
              <w:rPr>
                <w:rFonts w:eastAsia="方正黑体_GBK"/>
                <w:sz w:val="24"/>
                <w:szCs w:val="24"/>
              </w:rPr>
              <w:t>）</w:t>
            </w:r>
          </w:p>
        </w:tc>
        <w:tc>
          <w:tcPr>
            <w:tcW w:w="474"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现状</w:t>
            </w:r>
          </w:p>
        </w:tc>
        <w:tc>
          <w:tcPr>
            <w:tcW w:w="403"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得分</w:t>
            </w:r>
          </w:p>
        </w:tc>
        <w:tc>
          <w:tcPr>
            <w:tcW w:w="787"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指标值</w:t>
            </w:r>
          </w:p>
        </w:tc>
        <w:tc>
          <w:tcPr>
            <w:tcW w:w="672"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评分值（Y</w:t>
            </w:r>
            <w:r>
              <w:rPr>
                <w:rFonts w:eastAsia="方正黑体_GBK"/>
                <w:sz w:val="24"/>
                <w:szCs w:val="24"/>
                <w:vertAlign w:val="subscript"/>
              </w:rPr>
              <w:t>2</w:t>
            </w:r>
            <w:r>
              <w:rPr>
                <w:rFonts w:eastAsia="方正黑体_GBK"/>
                <w:sz w:val="24"/>
                <w:szCs w:val="24"/>
              </w:rPr>
              <w:t>）</w:t>
            </w:r>
          </w:p>
        </w:tc>
        <w:tc>
          <w:tcPr>
            <w:tcW w:w="434"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现状</w:t>
            </w:r>
          </w:p>
        </w:tc>
        <w:tc>
          <w:tcPr>
            <w:tcW w:w="507" w:type="pct"/>
            <w:tcBorders>
              <w:bottom w:val="single" w:color="auto" w:sz="4" w:space="0"/>
            </w:tcBorders>
            <w:vAlign w:val="center"/>
          </w:tcPr>
          <w:p>
            <w:pPr>
              <w:pStyle w:val="49"/>
              <w:adjustRightInd w:val="0"/>
              <w:snapToGrid w:val="0"/>
              <w:spacing w:line="240" w:lineRule="exact"/>
              <w:ind w:firstLine="0" w:firstLineChars="0"/>
              <w:rPr>
                <w:rFonts w:eastAsia="方正黑体_GBK"/>
                <w:sz w:val="24"/>
                <w:szCs w:val="24"/>
              </w:rPr>
            </w:pPr>
            <w:r>
              <w:rPr>
                <w:rFonts w:eastAsia="方正黑体_GBK"/>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507"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耕地面积所占比例</w:t>
            </w:r>
          </w:p>
        </w:tc>
        <w:tc>
          <w:tcPr>
            <w:tcW w:w="767"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无</w:t>
            </w:r>
          </w:p>
        </w:tc>
        <w:tc>
          <w:tcPr>
            <w:tcW w:w="450"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74"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无</w:t>
            </w:r>
          </w:p>
        </w:tc>
        <w:tc>
          <w:tcPr>
            <w:tcW w:w="403"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无</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34"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无</w:t>
            </w:r>
          </w:p>
        </w:tc>
        <w:tc>
          <w:tcPr>
            <w:tcW w:w="507"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&lt;5%</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2</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存在</w:t>
            </w:r>
          </w:p>
        </w:tc>
        <w:tc>
          <w:tcPr>
            <w:tcW w:w="450" w:type="pct"/>
            <w:vMerge w:val="restar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10</w:t>
            </w: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5%~10%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3</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10%~20%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4</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20%~30%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5</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30%~40%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6</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50%~60%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7</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60%~70%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8</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70%~80%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9</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&gt;80%</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10</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07"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rPr>
              <w:t>生态缓冲带</w:t>
            </w:r>
          </w:p>
        </w:tc>
        <w:tc>
          <w:tcPr>
            <w:tcW w:w="7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sz w:val="24"/>
              </w:rPr>
            </w:pPr>
            <w:r>
              <w:rPr>
                <w:sz w:val="24"/>
              </w:rPr>
              <w:t>无</w:t>
            </w:r>
          </w:p>
        </w:tc>
        <w:tc>
          <w:tcPr>
            <w:tcW w:w="450"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74"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无</w:t>
            </w:r>
          </w:p>
        </w:tc>
        <w:tc>
          <w:tcPr>
            <w:tcW w:w="403"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78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sz w:val="24"/>
              </w:rPr>
            </w:pPr>
            <w:r>
              <w:rPr>
                <w:sz w:val="24"/>
              </w:rPr>
              <w:t>无</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34" w:type="pct"/>
            <w:vMerge w:val="restart"/>
            <w:tcBorders>
              <w:top w:val="single" w:color="auto" w:sz="4" w:space="0"/>
              <w:left w:val="single" w:color="auto" w:sz="4" w:space="0"/>
              <w:right w:val="single" w:color="auto" w:sz="4" w:space="0"/>
            </w:tcBorders>
            <w:vAlign w:val="center"/>
          </w:tcPr>
          <w:p>
            <w:pPr>
              <w:adjustRightInd w:val="0"/>
              <w:snapToGrid w:val="0"/>
              <w:spacing w:line="240" w:lineRule="exact"/>
              <w:ind w:firstLine="0" w:firstLineChars="0"/>
              <w:jc w:val="center"/>
              <w:rPr>
                <w:sz w:val="24"/>
              </w:rPr>
            </w:pPr>
            <w:r>
              <w:rPr>
                <w:sz w:val="24"/>
              </w:rPr>
              <w:t>宽度</w:t>
            </w:r>
          </w:p>
          <w:p>
            <w:pPr>
              <w:pStyle w:val="49"/>
              <w:adjustRightInd w:val="0"/>
              <w:snapToGrid w:val="0"/>
              <w:spacing w:line="240" w:lineRule="exact"/>
              <w:ind w:firstLine="0" w:firstLineChars="0"/>
              <w:rPr>
                <w:sz w:val="24"/>
                <w:szCs w:val="24"/>
              </w:rPr>
            </w:pPr>
            <w:r>
              <w:rPr>
                <w:sz w:val="24"/>
              </w:rPr>
              <w:t>&gt;40m</w:t>
            </w:r>
          </w:p>
        </w:tc>
        <w:tc>
          <w:tcPr>
            <w:tcW w:w="507" w:type="pct"/>
            <w:vMerge w:val="restart"/>
            <w:tcBorders>
              <w:top w:val="single" w:color="auto" w:sz="4" w:space="0"/>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07"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sz w:val="24"/>
              </w:rPr>
            </w:pPr>
            <w:r>
              <w:rPr>
                <w:sz w:val="24"/>
              </w:rPr>
              <w:t>宽度&gt;50m</w:t>
            </w:r>
          </w:p>
        </w:tc>
        <w:tc>
          <w:tcPr>
            <w:tcW w:w="450"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74"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sz w:val="24"/>
              </w:rPr>
            </w:pPr>
            <w:r>
              <w:rPr>
                <w:sz w:val="24"/>
              </w:rPr>
              <w:t>宽度</w:t>
            </w:r>
          </w:p>
          <w:p>
            <w:pPr>
              <w:adjustRightInd w:val="0"/>
              <w:snapToGrid w:val="0"/>
              <w:spacing w:line="240" w:lineRule="exact"/>
              <w:ind w:firstLine="0" w:firstLineChars="0"/>
              <w:jc w:val="center"/>
              <w:rPr>
                <w:sz w:val="24"/>
              </w:rPr>
            </w:pPr>
            <w:r>
              <w:rPr>
                <w:sz w:val="24"/>
              </w:rPr>
              <w:t>&gt;40m</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0</w:t>
            </w:r>
          </w:p>
        </w:tc>
        <w:tc>
          <w:tcPr>
            <w:tcW w:w="434"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07" w:type="pct"/>
            <w:vMerge w:val="continue"/>
            <w:tcBorders>
              <w:left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6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rPr>
              <w:t>宽度≤50m</w:t>
            </w:r>
          </w:p>
        </w:tc>
        <w:tc>
          <w:tcPr>
            <w:tcW w:w="450"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2</w:t>
            </w:r>
          </w:p>
        </w:tc>
        <w:tc>
          <w:tcPr>
            <w:tcW w:w="474"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403"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787"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rPr>
              <w:t>宽度≤40m</w:t>
            </w:r>
          </w:p>
        </w:tc>
        <w:tc>
          <w:tcPr>
            <w:tcW w:w="672" w:type="pct"/>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r>
              <w:rPr>
                <w:sz w:val="24"/>
                <w:szCs w:val="24"/>
              </w:rPr>
              <w:t>2</w:t>
            </w:r>
          </w:p>
        </w:tc>
        <w:tc>
          <w:tcPr>
            <w:tcW w:w="434"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c>
          <w:tcPr>
            <w:tcW w:w="507" w:type="pct"/>
            <w:vMerge w:val="continue"/>
            <w:tcBorders>
              <w:left w:val="single" w:color="auto" w:sz="4" w:space="0"/>
              <w:bottom w:val="single" w:color="auto" w:sz="4" w:space="0"/>
              <w:right w:val="single" w:color="auto" w:sz="4" w:space="0"/>
            </w:tcBorders>
            <w:vAlign w:val="center"/>
          </w:tcPr>
          <w:p>
            <w:pPr>
              <w:pStyle w:val="49"/>
              <w:adjustRightInd w:val="0"/>
              <w:snapToGrid w:val="0"/>
              <w:spacing w:line="240" w:lineRule="exact"/>
              <w:ind w:firstLine="0" w:firstLineChars="0"/>
              <w:rPr>
                <w:sz w:val="24"/>
                <w:szCs w:val="24"/>
              </w:rPr>
            </w:pPr>
          </w:p>
        </w:tc>
      </w:tr>
    </w:tbl>
    <w:p>
      <w:pPr>
        <w:ind w:firstLine="632"/>
      </w:pPr>
      <w:r>
        <w:t>根据</w:t>
      </w:r>
      <w:r>
        <w:rPr>
          <w:rFonts w:hint="eastAsia"/>
        </w:rPr>
        <w:t>红旗水库水源地</w:t>
      </w:r>
      <w:r>
        <w:t>实际情况，按照上表对各评估指标分别进行评分，计算得到</w:t>
      </w:r>
      <w:r>
        <w:rPr>
          <w:rFonts w:hint="eastAsia"/>
        </w:rPr>
        <w:t>红旗水库水源地</w:t>
      </w:r>
      <w:r>
        <w:t>流动源评分R</w:t>
      </w:r>
      <w:r>
        <w:rPr>
          <w:rFonts w:eastAsia="方正楷体_GBK"/>
          <w:bCs/>
          <w:szCs w:val="32"/>
          <w:vertAlign w:val="subscript"/>
        </w:rPr>
        <w:t>y</w:t>
      </w:r>
      <w:r>
        <w:t>（R</w:t>
      </w:r>
      <w:r>
        <w:rPr>
          <w:rFonts w:eastAsia="方正楷体_GBK"/>
          <w:bCs/>
          <w:szCs w:val="32"/>
          <w:vertAlign w:val="subscript"/>
        </w:rPr>
        <w:t>y</w:t>
      </w:r>
      <w:r>
        <w:t>=Y1+Y2）为0。</w:t>
      </w:r>
    </w:p>
    <w:p>
      <w:pPr>
        <w:pStyle w:val="4"/>
        <w:ind w:firstLine="632"/>
      </w:pPr>
      <w:bookmarkStart w:id="103" w:name="_Toc1510"/>
      <w:bookmarkStart w:id="104" w:name="_Toc5175"/>
      <w:bookmarkStart w:id="105" w:name="_Toc2560"/>
      <w:bookmarkStart w:id="106" w:name="_Toc18815"/>
      <w:bookmarkStart w:id="107" w:name="_Toc116914466"/>
      <w:bookmarkStart w:id="108" w:name="_Toc126335855"/>
      <w:r>
        <w:rPr>
          <w:rFonts w:hint="eastAsia"/>
        </w:rPr>
        <w:t>4</w:t>
      </w:r>
      <w:r>
        <w:t>.4环境风险评估结果</w:t>
      </w:r>
      <w:bookmarkEnd w:id="103"/>
      <w:bookmarkEnd w:id="104"/>
      <w:bookmarkEnd w:id="105"/>
      <w:bookmarkEnd w:id="106"/>
      <w:bookmarkEnd w:id="107"/>
      <w:bookmarkEnd w:id="108"/>
    </w:p>
    <w:p>
      <w:pPr>
        <w:ind w:firstLine="632"/>
      </w:pPr>
      <w:r>
        <w:t>根据《集中式饮用水水源地环境保护指南（试行）》：</w:t>
      </w:r>
      <w:r>
        <w:rPr>
          <w:rFonts w:hint="eastAsia"/>
        </w:rPr>
        <w:t>“</w:t>
      </w:r>
      <w:r>
        <w:t>一般来说，环境风险值的可接受程度分别以Rp（或Rf、Ry）≤3作为背景值，当风险值超过此限应按照《集中式地表水饮用水水源地环境应急管理工作指南（试行）》采取风险防范措施；当7&lt;Rp（或Rf、Ry）≤9时，应采取风险预警措施；当Rp（或Rf、Ry）&gt;9时，应采取风险应急措施。</w:t>
      </w:r>
      <w:r>
        <w:rPr>
          <w:rFonts w:hint="eastAsia"/>
        </w:rPr>
        <w:t>”</w:t>
      </w:r>
      <w:r>
        <w:t>综上进行分析，</w:t>
      </w:r>
      <w:r>
        <w:rPr>
          <w:rFonts w:hint="eastAsia"/>
        </w:rPr>
        <w:t>红旗水库水源地</w:t>
      </w:r>
      <w:r>
        <w:t>固定源Rp=0，表明</w:t>
      </w:r>
      <w:r>
        <w:rPr>
          <w:rFonts w:hint="eastAsia"/>
        </w:rPr>
        <w:t>红旗水库水源地</w:t>
      </w:r>
      <w:r>
        <w:t>固定源风险在可接受风险水平内，流动源评分是Rf=3，表明应对</w:t>
      </w:r>
      <w:r>
        <w:rPr>
          <w:rFonts w:hint="eastAsia"/>
        </w:rPr>
        <w:t>红旗水库水源地</w:t>
      </w:r>
      <w:r>
        <w:t>流动源在可接受风险水平内，非点源评分Ry=0，表明</w:t>
      </w:r>
      <w:r>
        <w:rPr>
          <w:rFonts w:hint="eastAsia"/>
        </w:rPr>
        <w:t>红旗水库水源地</w:t>
      </w:r>
      <w:r>
        <w:t>非点源风险在可接受风险水平内。</w:t>
      </w:r>
    </w:p>
    <w:p>
      <w:pPr>
        <w:ind w:firstLine="632"/>
        <w:rPr>
          <w:rFonts w:eastAsia="仿宋"/>
        </w:rPr>
      </w:pPr>
      <w:r>
        <w:rPr>
          <w:rFonts w:eastAsia="仿宋"/>
        </w:rPr>
        <w:t>对各风险源进行风险评估，其风险值依次为</w:t>
      </w:r>
      <w:r>
        <w:rPr>
          <w:rFonts w:hint="eastAsia" w:eastAsia="仿宋"/>
        </w:rPr>
        <w:t>固定</w:t>
      </w:r>
      <w:r>
        <w:rPr>
          <w:rFonts w:eastAsia="仿宋"/>
        </w:rPr>
        <w:t>源风险评估评分值R</w:t>
      </w:r>
      <w:r>
        <w:rPr>
          <w:rFonts w:hint="eastAsia" w:eastAsia="仿宋"/>
        </w:rPr>
        <w:t>p</w:t>
      </w:r>
      <w:r>
        <w:rPr>
          <w:rFonts w:eastAsia="仿宋"/>
        </w:rPr>
        <w:t>=0；</w:t>
      </w:r>
      <w:r>
        <w:rPr>
          <w:rFonts w:hint="eastAsia" w:eastAsia="仿宋"/>
        </w:rPr>
        <w:t>流动</w:t>
      </w:r>
      <w:r>
        <w:rPr>
          <w:rFonts w:eastAsia="仿宋"/>
        </w:rPr>
        <w:t>源风险评估评分值R</w:t>
      </w:r>
      <w:r>
        <w:rPr>
          <w:rFonts w:hint="eastAsia" w:eastAsia="仿宋"/>
          <w:vertAlign w:val="subscript"/>
        </w:rPr>
        <w:t>f</w:t>
      </w:r>
      <w:r>
        <w:rPr>
          <w:rFonts w:eastAsia="仿宋"/>
        </w:rPr>
        <w:t>=</w:t>
      </w:r>
      <w:r>
        <w:t>3</w:t>
      </w:r>
      <w:r>
        <w:rPr>
          <w:rFonts w:eastAsia="仿宋"/>
        </w:rPr>
        <w:t>；非点源风险评估评分值R</w:t>
      </w:r>
      <w:r>
        <w:rPr>
          <w:rFonts w:eastAsia="仿宋"/>
          <w:vertAlign w:val="subscript"/>
        </w:rPr>
        <w:t>y</w:t>
      </w:r>
      <w:r>
        <w:rPr>
          <w:rFonts w:eastAsia="仿宋"/>
        </w:rPr>
        <w:t>=</w:t>
      </w:r>
      <w:r>
        <w:t>0</w:t>
      </w:r>
      <w:r>
        <w:rPr>
          <w:rFonts w:eastAsia="仿宋"/>
        </w:rPr>
        <w:t>。</w:t>
      </w:r>
      <w:r>
        <w:rPr>
          <w:rFonts w:hint="eastAsia" w:eastAsia="仿宋"/>
        </w:rPr>
        <w:t>按照上述各风险源的风险评估值、可能造成事件的后果进行风险源排序，从小到大依次为：流动源＞非点源＝固定源。</w:t>
      </w:r>
    </w:p>
    <w:p>
      <w:pPr>
        <w:pStyle w:val="3"/>
        <w:ind w:firstLine="632"/>
      </w:pPr>
      <w:bookmarkStart w:id="109" w:name="_Toc116914467"/>
      <w:bookmarkStart w:id="110" w:name="_Toc126335856"/>
      <w:r>
        <w:rPr>
          <w:rFonts w:hint="eastAsia"/>
        </w:rPr>
        <w:t>5</w:t>
      </w:r>
      <w:r>
        <w:t>应急组织指挥体系</w:t>
      </w:r>
      <w:bookmarkEnd w:id="109"/>
      <w:bookmarkEnd w:id="110"/>
    </w:p>
    <w:p>
      <w:pPr>
        <w:pStyle w:val="4"/>
        <w:ind w:firstLine="632"/>
      </w:pPr>
      <w:bookmarkStart w:id="111" w:name="_bookmark36"/>
      <w:bookmarkEnd w:id="111"/>
      <w:bookmarkStart w:id="112" w:name="_Toc116914468"/>
      <w:bookmarkStart w:id="113" w:name="_Toc126335857"/>
      <w:r>
        <w:rPr>
          <w:rFonts w:hint="eastAsia"/>
        </w:rPr>
        <w:t>5</w:t>
      </w:r>
      <w:r>
        <w:t>.1应急组织指挥机构</w:t>
      </w:r>
      <w:bookmarkEnd w:id="112"/>
      <w:r>
        <w:rPr>
          <w:rFonts w:hint="eastAsia"/>
        </w:rPr>
        <w:t>与职责</w:t>
      </w:r>
      <w:bookmarkEnd w:id="113"/>
    </w:p>
    <w:p>
      <w:pPr>
        <w:ind w:firstLine="632"/>
        <w:rPr>
          <w:color w:val="000000"/>
          <w:szCs w:val="22"/>
        </w:rPr>
      </w:pPr>
      <w:r>
        <w:rPr>
          <w:color w:val="000000"/>
          <w:szCs w:val="22"/>
        </w:rPr>
        <w:t>在重庆市</w:t>
      </w:r>
      <w:r>
        <w:rPr>
          <w:rFonts w:hint="eastAsia"/>
          <w:color w:val="000000"/>
          <w:szCs w:val="22"/>
        </w:rPr>
        <w:t>垫江县</w:t>
      </w:r>
      <w:r>
        <w:rPr>
          <w:color w:val="000000"/>
          <w:szCs w:val="22"/>
        </w:rPr>
        <w:t>突发环境事件应急指挥部（以下简称</w:t>
      </w:r>
      <w:r>
        <w:rPr>
          <w:rFonts w:hint="eastAsia"/>
          <w:color w:val="000000"/>
          <w:szCs w:val="22"/>
        </w:rPr>
        <w:t>县</w:t>
      </w:r>
      <w:r>
        <w:rPr>
          <w:color w:val="000000"/>
          <w:szCs w:val="22"/>
        </w:rPr>
        <w:t>应急指挥部）统一领导下，根据突发事件情况，成立</w:t>
      </w:r>
      <w:r>
        <w:rPr>
          <w:rFonts w:hint="eastAsia"/>
          <w:color w:val="000000"/>
          <w:szCs w:val="22"/>
        </w:rPr>
        <w:t>垫江县沙坪</w:t>
      </w:r>
      <w:r>
        <w:rPr>
          <w:color w:val="000000"/>
          <w:szCs w:val="22"/>
        </w:rPr>
        <w:t>镇</w:t>
      </w:r>
      <w:r>
        <w:rPr>
          <w:rFonts w:hint="eastAsia"/>
          <w:szCs w:val="22"/>
          <w:shd w:val="clear" w:color="auto" w:fill="FFFFFF"/>
        </w:rPr>
        <w:t>红旗水库</w:t>
      </w:r>
      <w:r>
        <w:rPr>
          <w:szCs w:val="22"/>
          <w:shd w:val="clear" w:color="auto" w:fill="FFFFFF"/>
        </w:rPr>
        <w:t>饮用水水源地突发环境事件</w:t>
      </w:r>
      <w:r>
        <w:rPr>
          <w:color w:val="000000"/>
          <w:szCs w:val="22"/>
        </w:rPr>
        <w:t>应急指挥部（以下简称</w:t>
      </w:r>
      <w:r>
        <w:rPr>
          <w:rFonts w:hint="eastAsia"/>
          <w:color w:val="000000"/>
          <w:szCs w:val="22"/>
        </w:rPr>
        <w:t>红旗水库水源地</w:t>
      </w:r>
      <w:r>
        <w:rPr>
          <w:color w:val="000000"/>
          <w:szCs w:val="22"/>
        </w:rPr>
        <w:t>应急指挥部）。</w:t>
      </w:r>
    </w:p>
    <w:p>
      <w:pPr>
        <w:ind w:firstLine="632"/>
        <w:rPr>
          <w:color w:val="000000"/>
          <w:szCs w:val="22"/>
        </w:rPr>
      </w:pPr>
      <w:r>
        <w:rPr>
          <w:color w:val="000000"/>
          <w:szCs w:val="22"/>
        </w:rPr>
        <w:t>指挥长：</w:t>
      </w:r>
      <w:r>
        <w:rPr>
          <w:rFonts w:hint="eastAsia"/>
          <w:color w:val="000000"/>
          <w:szCs w:val="22"/>
        </w:rPr>
        <w:t>沙坪镇镇长</w:t>
      </w:r>
    </w:p>
    <w:p>
      <w:pPr>
        <w:ind w:firstLine="632"/>
        <w:rPr>
          <w:color w:val="000000"/>
          <w:szCs w:val="22"/>
        </w:rPr>
      </w:pPr>
      <w:r>
        <w:rPr>
          <w:color w:val="000000"/>
          <w:szCs w:val="22"/>
        </w:rPr>
        <w:t>副指挥长：</w:t>
      </w:r>
      <w:r>
        <w:rPr>
          <w:rFonts w:hint="eastAsia"/>
          <w:color w:val="000000"/>
          <w:szCs w:val="22"/>
        </w:rPr>
        <w:t>沙坪镇</w:t>
      </w:r>
      <w:r>
        <w:rPr>
          <w:color w:val="000000"/>
          <w:szCs w:val="22"/>
        </w:rPr>
        <w:t>分管</w:t>
      </w:r>
      <w:r>
        <w:rPr>
          <w:rFonts w:hint="eastAsia"/>
          <w:color w:val="000000"/>
          <w:szCs w:val="22"/>
        </w:rPr>
        <w:t>生态环境</w:t>
      </w:r>
      <w:r>
        <w:rPr>
          <w:color w:val="000000"/>
          <w:szCs w:val="22"/>
        </w:rPr>
        <w:t>副镇长</w:t>
      </w:r>
    </w:p>
    <w:p>
      <w:pPr>
        <w:ind w:firstLine="632"/>
        <w:rPr>
          <w:color w:val="FF0000"/>
          <w:szCs w:val="22"/>
        </w:rPr>
      </w:pPr>
      <w:r>
        <w:rPr>
          <w:color w:val="000000"/>
          <w:szCs w:val="22"/>
        </w:rPr>
        <w:t>成员</w:t>
      </w:r>
      <w:r>
        <w:rPr>
          <w:rFonts w:hint="eastAsia"/>
          <w:color w:val="000000"/>
          <w:szCs w:val="22"/>
        </w:rPr>
        <w:t>单位</w:t>
      </w:r>
      <w:r>
        <w:rPr>
          <w:color w:val="000000"/>
          <w:szCs w:val="22"/>
        </w:rPr>
        <w:t>：</w:t>
      </w:r>
      <w:bookmarkStart w:id="114" w:name="_Hlk48371589"/>
      <w:r>
        <w:rPr>
          <w:rFonts w:hint="eastAsia"/>
          <w:szCs w:val="32"/>
        </w:rPr>
        <w:t>党政办公室、经济发展办公室、民政和社会事务办公室、平安建设办公室、应急管理办公室、规划建设管理环保办公室、财政办公室、农业服务中心、文化服务中心、劳动就业和社会保障服务所、综合行政执法大队、镇派出所、镇卫生院、沙坪水厂等成员组成。</w:t>
      </w:r>
    </w:p>
    <w:bookmarkEnd w:id="114"/>
    <w:p>
      <w:pPr>
        <w:ind w:firstLine="632"/>
        <w:rPr>
          <w:rFonts w:eastAsia="方正黑体_GBK"/>
          <w:sz w:val="28"/>
          <w:szCs w:val="28"/>
        </w:rPr>
      </w:pPr>
      <w:r>
        <w:rPr>
          <w:color w:val="000000"/>
          <w:szCs w:val="22"/>
        </w:rPr>
        <w:t>职责：</w:t>
      </w:r>
      <w:r>
        <w:rPr>
          <w:rFonts w:hint="eastAsia"/>
          <w:color w:val="000000"/>
          <w:szCs w:val="22"/>
        </w:rPr>
        <w:t>负责沙坪镇红旗水库水源地应急指挥部的日常工作；受理饮用水源环境污染投诉；信息收集汇总、常规饮用水源环境监测数据综合分析；遇到涉及饮用水源突发环境事件时，及时了解情况，向上级报告并提出处理建议；按照县</w:t>
      </w:r>
      <w:r>
        <w:rPr>
          <w:color w:val="000000"/>
          <w:szCs w:val="22"/>
        </w:rPr>
        <w:t>应急指挥部</w:t>
      </w:r>
      <w:r>
        <w:rPr>
          <w:rFonts w:hint="eastAsia"/>
          <w:color w:val="000000"/>
          <w:szCs w:val="22"/>
        </w:rPr>
        <w:t>下达的命令和指示，组织协调、落实本行政区域涉及饮用水源突发环境事件应急工作。</w:t>
      </w:r>
    </w:p>
    <w:p>
      <w:pPr>
        <w:pStyle w:val="4"/>
        <w:ind w:firstLine="632"/>
      </w:pPr>
      <w:bookmarkStart w:id="115" w:name="_Toc116914469"/>
      <w:bookmarkStart w:id="116" w:name="_Toc126335858"/>
      <w:r>
        <w:rPr>
          <w:rFonts w:hint="eastAsia"/>
        </w:rPr>
        <w:t>5</w:t>
      </w:r>
      <w:r>
        <w:t>.2应急</w:t>
      </w:r>
      <w:bookmarkEnd w:id="115"/>
      <w:r>
        <w:rPr>
          <w:rFonts w:hint="eastAsia"/>
        </w:rPr>
        <w:t>处置工作组与职责</w:t>
      </w:r>
      <w:bookmarkEnd w:id="116"/>
    </w:p>
    <w:p>
      <w:pPr>
        <w:ind w:firstLine="632"/>
        <w:rPr>
          <w:kern w:val="0"/>
          <w:szCs w:val="32"/>
          <w:shd w:val="clear" w:color="auto" w:fill="FFFFFF"/>
        </w:rPr>
      </w:pPr>
      <w:r>
        <w:rPr>
          <w:rFonts w:hint="eastAsia"/>
          <w:kern w:val="0"/>
          <w:szCs w:val="32"/>
          <w:shd w:val="clear" w:color="auto" w:fill="FFFFFF"/>
        </w:rPr>
        <w:t>红旗水库水源地</w:t>
      </w:r>
      <w:r>
        <w:rPr>
          <w:kern w:val="0"/>
          <w:szCs w:val="32"/>
          <w:shd w:val="clear" w:color="auto" w:fill="FFFFFF"/>
        </w:rPr>
        <w:t>应急指挥部根据工作需要设置综合协调组、现场处置组、医疗救护组、安全保卫组、善后处理组、后勤保障组、事故调查组、宣传报告组等工作组。根据事件处置工作需要，由</w:t>
      </w:r>
      <w:r>
        <w:rPr>
          <w:rFonts w:hint="eastAsia"/>
          <w:kern w:val="0"/>
          <w:szCs w:val="32"/>
          <w:shd w:val="clear" w:color="auto" w:fill="FFFFFF"/>
        </w:rPr>
        <w:t>红旗水库水源地</w:t>
      </w:r>
      <w:r>
        <w:rPr>
          <w:kern w:val="0"/>
          <w:szCs w:val="32"/>
          <w:shd w:val="clear" w:color="auto" w:fill="FFFFFF"/>
        </w:rPr>
        <w:t>应急指挥部明确相关工作组开展工作。</w:t>
      </w:r>
    </w:p>
    <w:p>
      <w:pPr>
        <w:ind w:firstLine="632"/>
        <w:rPr>
          <w:color w:val="000000"/>
          <w:szCs w:val="32"/>
        </w:rPr>
      </w:pPr>
      <w:r>
        <w:t>（1）</w:t>
      </w:r>
      <w:r>
        <w:rPr>
          <w:color w:val="000000"/>
          <w:szCs w:val="32"/>
        </w:rPr>
        <w:t>综合协调组</w:t>
      </w:r>
    </w:p>
    <w:p>
      <w:pPr>
        <w:ind w:firstLine="632"/>
      </w:pPr>
      <w:r>
        <w:rPr>
          <w:kern w:val="0"/>
          <w:szCs w:val="32"/>
          <w:shd w:val="clear" w:color="auto" w:fill="FFFFFF"/>
        </w:rPr>
        <w:t>牵头</w:t>
      </w:r>
      <w:r>
        <w:rPr>
          <w:color w:val="000000"/>
          <w:szCs w:val="32"/>
        </w:rPr>
        <w:t>单位</w:t>
      </w:r>
      <w:r>
        <w:rPr>
          <w:kern w:val="0"/>
          <w:szCs w:val="32"/>
          <w:shd w:val="clear" w:color="auto" w:fill="FFFFFF"/>
        </w:rPr>
        <w:t>：党政</w:t>
      </w:r>
      <w:r>
        <w:t>办公室</w:t>
      </w:r>
    </w:p>
    <w:p>
      <w:pPr>
        <w:ind w:firstLine="632"/>
      </w:pPr>
      <w:r>
        <w:t>成员单位：规划建设管理环保办公室、农业服务中心、</w:t>
      </w:r>
      <w:r>
        <w:rPr>
          <w:rFonts w:hint="eastAsia"/>
        </w:rPr>
        <w:t>民政和社会事务办公室</w:t>
      </w:r>
    </w:p>
    <w:p>
      <w:pPr>
        <w:ind w:firstLine="632"/>
      </w:pPr>
      <w:r>
        <w:rPr>
          <w:kern w:val="0"/>
          <w:szCs w:val="32"/>
          <w:shd w:val="clear" w:color="auto" w:fill="FFFFFF"/>
        </w:rPr>
        <w:t>职责：</w:t>
      </w:r>
      <w:r>
        <w:t>对有关情况进行汇总、传递和报告，协助指挥部领导协调各工作组。</w:t>
      </w:r>
      <w:r>
        <w:rPr>
          <w:rFonts w:hint="eastAsia"/>
        </w:rPr>
        <w:t>协调县生态环境监测站、县水利局实施应急监测。组织人员培训和应急演练。</w:t>
      </w:r>
    </w:p>
    <w:p>
      <w:pPr>
        <w:ind w:firstLine="632"/>
        <w:rPr>
          <w:color w:val="000000"/>
          <w:szCs w:val="32"/>
        </w:rPr>
      </w:pPr>
      <w:r>
        <w:rPr>
          <w:color w:val="000000"/>
          <w:szCs w:val="32"/>
        </w:rPr>
        <w:t>（2）现场处置组</w:t>
      </w:r>
    </w:p>
    <w:p>
      <w:pPr>
        <w:ind w:firstLine="632"/>
        <w:rPr>
          <w:color w:val="FF0000"/>
          <w:szCs w:val="32"/>
        </w:rPr>
      </w:pPr>
      <w:r>
        <w:rPr>
          <w:color w:val="000000"/>
          <w:szCs w:val="32"/>
        </w:rPr>
        <w:t>牵头单位：</w:t>
      </w:r>
      <w:r>
        <w:t>规划建设管理环保办公室</w:t>
      </w:r>
    </w:p>
    <w:p>
      <w:pPr>
        <w:ind w:firstLine="632"/>
      </w:pPr>
      <w:r>
        <w:t>成员单位：农业服务中心、</w:t>
      </w:r>
      <w:r>
        <w:rPr>
          <w:rFonts w:hint="eastAsia"/>
        </w:rPr>
        <w:t>镇派出所</w:t>
      </w:r>
      <w:r>
        <w:t>、</w:t>
      </w:r>
      <w:r>
        <w:rPr>
          <w:rFonts w:hint="eastAsia"/>
        </w:rPr>
        <w:t>综合行政执法大队</w:t>
      </w:r>
      <w:r>
        <w:t>、</w:t>
      </w:r>
      <w:r>
        <w:rPr>
          <w:rFonts w:hint="eastAsia"/>
        </w:rPr>
        <w:t>沙坪水厂、事发单位</w:t>
      </w:r>
    </w:p>
    <w:p>
      <w:pPr>
        <w:ind w:firstLine="632"/>
        <w:rPr>
          <w:highlight w:val="yellow"/>
        </w:rPr>
      </w:pPr>
      <w:r>
        <w:rPr>
          <w:szCs w:val="32"/>
        </w:rPr>
        <w:t>职责：负责</w:t>
      </w:r>
      <w:r>
        <w:t>制定现场处置方案并组织实施</w:t>
      </w:r>
      <w:r>
        <w:rPr>
          <w:szCs w:val="32"/>
        </w:rPr>
        <w:t>抢险救援、污染事态控制、污染物清理等工作。</w:t>
      </w:r>
    </w:p>
    <w:p>
      <w:pPr>
        <w:ind w:firstLine="632"/>
        <w:rPr>
          <w:color w:val="000000"/>
          <w:szCs w:val="32"/>
        </w:rPr>
      </w:pPr>
      <w:r>
        <w:rPr>
          <w:color w:val="000000"/>
          <w:szCs w:val="32"/>
        </w:rPr>
        <w:t>（3）医疗救护组</w:t>
      </w:r>
    </w:p>
    <w:p>
      <w:pPr>
        <w:ind w:firstLine="632"/>
        <w:rPr>
          <w:color w:val="000000"/>
          <w:szCs w:val="32"/>
        </w:rPr>
      </w:pPr>
      <w:r>
        <w:rPr>
          <w:color w:val="000000"/>
          <w:szCs w:val="32"/>
        </w:rPr>
        <w:t>牵头单位：</w:t>
      </w:r>
      <w:r>
        <w:rPr>
          <w:rFonts w:hint="eastAsia"/>
          <w:color w:val="000000"/>
          <w:szCs w:val="32"/>
        </w:rPr>
        <w:t>镇</w:t>
      </w:r>
      <w:r>
        <w:rPr>
          <w:color w:val="000000"/>
          <w:szCs w:val="32"/>
        </w:rPr>
        <w:t>卫生院</w:t>
      </w:r>
    </w:p>
    <w:p>
      <w:pPr>
        <w:ind w:firstLine="632"/>
        <w:rPr>
          <w:color w:val="000000"/>
          <w:szCs w:val="32"/>
        </w:rPr>
      </w:pPr>
      <w:r>
        <w:rPr>
          <w:color w:val="000000"/>
          <w:szCs w:val="32"/>
        </w:rPr>
        <w:t>职责：组织对伤员实施救治，对现场进行消毒防疫。</w:t>
      </w:r>
    </w:p>
    <w:p>
      <w:pPr>
        <w:ind w:firstLine="632"/>
        <w:rPr>
          <w:color w:val="000000"/>
          <w:szCs w:val="32"/>
        </w:rPr>
      </w:pPr>
      <w:r>
        <w:rPr>
          <w:color w:val="000000"/>
          <w:szCs w:val="32"/>
        </w:rPr>
        <w:t>（4）安全保卫组</w:t>
      </w:r>
    </w:p>
    <w:p>
      <w:pPr>
        <w:ind w:firstLine="632"/>
        <w:rPr>
          <w:color w:val="000000"/>
          <w:szCs w:val="32"/>
        </w:rPr>
      </w:pPr>
      <w:r>
        <w:rPr>
          <w:color w:val="000000"/>
          <w:szCs w:val="32"/>
        </w:rPr>
        <w:t>牵头单位：</w:t>
      </w:r>
      <w:r>
        <w:rPr>
          <w:rFonts w:hint="eastAsia"/>
          <w:color w:val="000000"/>
          <w:szCs w:val="32"/>
        </w:rPr>
        <w:t>镇</w:t>
      </w:r>
      <w:r>
        <w:rPr>
          <w:color w:val="000000"/>
          <w:szCs w:val="32"/>
        </w:rPr>
        <w:t>派出所</w:t>
      </w:r>
    </w:p>
    <w:p>
      <w:pPr>
        <w:ind w:firstLine="632"/>
      </w:pPr>
      <w:r>
        <w:t>成员单位：</w:t>
      </w:r>
      <w:r>
        <w:rPr>
          <w:rFonts w:hint="eastAsia"/>
        </w:rPr>
        <w:t>综合行政执法大队、应急管理办公室、平安建设办公室</w:t>
      </w:r>
    </w:p>
    <w:p>
      <w:pPr>
        <w:ind w:firstLine="632"/>
        <w:rPr>
          <w:color w:val="000000"/>
          <w:szCs w:val="32"/>
        </w:rPr>
      </w:pPr>
      <w:r>
        <w:rPr>
          <w:color w:val="000000"/>
          <w:szCs w:val="32"/>
        </w:rPr>
        <w:t>职责：负责警戒、控制事故现场及周边地区、道路，组织人员有序疏散；保护现场财产安全，保障抢险救援工作正常开展，维护社会秩序；控制事故涉嫌责任人员。</w:t>
      </w:r>
    </w:p>
    <w:p>
      <w:pPr>
        <w:ind w:firstLine="632"/>
        <w:rPr>
          <w:color w:val="000000"/>
          <w:szCs w:val="32"/>
        </w:rPr>
      </w:pPr>
      <w:r>
        <w:rPr>
          <w:color w:val="000000"/>
          <w:szCs w:val="32"/>
        </w:rPr>
        <w:t>（5）善后处理组</w:t>
      </w:r>
    </w:p>
    <w:p>
      <w:pPr>
        <w:ind w:firstLine="632"/>
        <w:rPr>
          <w:color w:val="000000"/>
          <w:szCs w:val="32"/>
        </w:rPr>
      </w:pPr>
      <w:r>
        <w:rPr>
          <w:color w:val="000000"/>
          <w:szCs w:val="32"/>
        </w:rPr>
        <w:t>牵头单位：党政办公室</w:t>
      </w:r>
    </w:p>
    <w:p>
      <w:pPr>
        <w:ind w:firstLine="632"/>
      </w:pPr>
      <w:r>
        <w:t>成员单位：规划建设管理环保办公室、农业服务中心、</w:t>
      </w:r>
      <w:r>
        <w:rPr>
          <w:rFonts w:hint="eastAsia"/>
        </w:rPr>
        <w:t>平安建设办公室、劳动就业和社会保障服务所</w:t>
      </w:r>
    </w:p>
    <w:p>
      <w:pPr>
        <w:ind w:firstLine="632"/>
        <w:rPr>
          <w:color w:val="000000"/>
          <w:szCs w:val="32"/>
        </w:rPr>
      </w:pPr>
      <w:r>
        <w:rPr>
          <w:color w:val="000000"/>
          <w:szCs w:val="32"/>
        </w:rPr>
        <w:t>职责：做好受伤人员救治、伤亡人员及其家属的安抚工作；对受污染、破坏的生态环境采取措施予以恢复；对事故影响进行评估；组织开展保险理赔工作，维护社会稳定。</w:t>
      </w:r>
    </w:p>
    <w:p>
      <w:pPr>
        <w:ind w:firstLine="632"/>
        <w:rPr>
          <w:color w:val="000000"/>
          <w:szCs w:val="32"/>
        </w:rPr>
      </w:pPr>
      <w:r>
        <w:rPr>
          <w:color w:val="000000"/>
          <w:szCs w:val="32"/>
        </w:rPr>
        <w:t>（6）后勤保障组</w:t>
      </w:r>
    </w:p>
    <w:p>
      <w:pPr>
        <w:ind w:firstLine="632"/>
        <w:rPr>
          <w:color w:val="000000"/>
          <w:szCs w:val="32"/>
        </w:rPr>
      </w:pPr>
      <w:r>
        <w:rPr>
          <w:color w:val="000000"/>
          <w:szCs w:val="32"/>
        </w:rPr>
        <w:t>牵头单位：财政</w:t>
      </w:r>
      <w:r>
        <w:rPr>
          <w:rFonts w:hint="eastAsia"/>
          <w:color w:val="000000"/>
          <w:szCs w:val="32"/>
        </w:rPr>
        <w:t>办公室</w:t>
      </w:r>
    </w:p>
    <w:p>
      <w:pPr>
        <w:ind w:firstLine="632"/>
      </w:pPr>
      <w:r>
        <w:t>成员单位：规划建设管理环保办公室、</w:t>
      </w:r>
      <w:r>
        <w:rPr>
          <w:rFonts w:hint="eastAsia"/>
        </w:rPr>
        <w:t>劳动就业和</w:t>
      </w:r>
      <w:r>
        <w:t>社会保障服务所、</w:t>
      </w:r>
      <w:r>
        <w:rPr>
          <w:rFonts w:hint="eastAsia"/>
        </w:rPr>
        <w:t>民政和社会事务办公室</w:t>
      </w:r>
    </w:p>
    <w:p>
      <w:pPr>
        <w:ind w:firstLine="632"/>
        <w:rPr>
          <w:color w:val="000000"/>
          <w:szCs w:val="32"/>
        </w:rPr>
      </w:pPr>
      <w:r>
        <w:rPr>
          <w:color w:val="000000"/>
          <w:szCs w:val="32"/>
        </w:rPr>
        <w:t>职责：</w:t>
      </w:r>
      <w:r>
        <w:t>落实现场应急物资、应急通信、交通运输、供电、供水、生活等方面的保障措施。</w:t>
      </w:r>
    </w:p>
    <w:p>
      <w:pPr>
        <w:ind w:firstLine="632"/>
        <w:rPr>
          <w:color w:val="000000"/>
          <w:szCs w:val="32"/>
        </w:rPr>
      </w:pPr>
      <w:r>
        <w:rPr>
          <w:color w:val="000000"/>
          <w:szCs w:val="32"/>
        </w:rPr>
        <w:t>（7）事故调查组</w:t>
      </w:r>
    </w:p>
    <w:p>
      <w:pPr>
        <w:ind w:firstLine="632"/>
        <w:rPr>
          <w:color w:val="000000"/>
          <w:szCs w:val="32"/>
        </w:rPr>
      </w:pPr>
      <w:r>
        <w:rPr>
          <w:color w:val="000000"/>
          <w:szCs w:val="32"/>
        </w:rPr>
        <w:t>牵头单位：</w:t>
      </w:r>
      <w:r>
        <w:t>规划建设管理环保办公室</w:t>
      </w:r>
    </w:p>
    <w:p>
      <w:pPr>
        <w:ind w:firstLine="632"/>
      </w:pPr>
      <w:r>
        <w:t>成员单位：农业服务中心、</w:t>
      </w:r>
      <w:r>
        <w:rPr>
          <w:rFonts w:hint="eastAsia"/>
        </w:rPr>
        <w:t>镇</w:t>
      </w:r>
      <w:r>
        <w:rPr>
          <w:color w:val="000000"/>
          <w:szCs w:val="32"/>
        </w:rPr>
        <w:t>卫生院、</w:t>
      </w:r>
      <w:r>
        <w:t>经济发展</w:t>
      </w:r>
      <w:r>
        <w:rPr>
          <w:rFonts w:hint="eastAsia"/>
        </w:rPr>
        <w:t>办公室</w:t>
      </w:r>
      <w:r>
        <w:t>、</w:t>
      </w:r>
      <w:r>
        <w:rPr>
          <w:rFonts w:hint="eastAsia"/>
        </w:rPr>
        <w:t>沙坪水厂</w:t>
      </w:r>
      <w:r>
        <w:t>、事发单位</w:t>
      </w:r>
    </w:p>
    <w:p>
      <w:pPr>
        <w:ind w:firstLine="632"/>
        <w:rPr>
          <w:color w:val="000000"/>
          <w:szCs w:val="32"/>
        </w:rPr>
      </w:pPr>
      <w:r>
        <w:rPr>
          <w:color w:val="000000"/>
          <w:szCs w:val="32"/>
        </w:rPr>
        <w:t>职责：查明事故发生的经过、原因、伤亡情况及经济损失；认定事故性质和责任；对事故责任人提出处理建议；提交事故调查报告；配合做好较大及以上事故的调查处理工作。</w:t>
      </w:r>
    </w:p>
    <w:p>
      <w:pPr>
        <w:ind w:firstLine="632"/>
        <w:rPr>
          <w:color w:val="000000"/>
          <w:szCs w:val="32"/>
        </w:rPr>
      </w:pPr>
      <w:r>
        <w:rPr>
          <w:color w:val="000000"/>
          <w:szCs w:val="32"/>
        </w:rPr>
        <w:t>（8）宣传报告组</w:t>
      </w:r>
    </w:p>
    <w:p>
      <w:pPr>
        <w:ind w:firstLine="632"/>
        <w:rPr>
          <w:color w:val="000000"/>
          <w:szCs w:val="32"/>
        </w:rPr>
      </w:pPr>
      <w:r>
        <w:rPr>
          <w:color w:val="000000"/>
          <w:szCs w:val="32"/>
        </w:rPr>
        <w:t>牵头单位：</w:t>
      </w:r>
      <w:r>
        <w:t>规划建设管理环保办公室</w:t>
      </w:r>
    </w:p>
    <w:p>
      <w:pPr>
        <w:ind w:firstLine="632"/>
        <w:rPr>
          <w:color w:val="FF0000"/>
        </w:rPr>
      </w:pPr>
      <w:r>
        <w:t>成员单位：文化服务中心、农业服务中心</w:t>
      </w:r>
    </w:p>
    <w:p>
      <w:pPr>
        <w:ind w:firstLine="632"/>
      </w:pPr>
      <w:r>
        <w:rPr>
          <w:color w:val="000000"/>
          <w:szCs w:val="32"/>
        </w:rPr>
        <w:t>职责：</w:t>
      </w:r>
      <w:r>
        <w:t>统一组织宣传报告应急处置工作情况</w:t>
      </w:r>
      <w:r>
        <w:rPr>
          <w:rFonts w:hint="eastAsia"/>
        </w:rPr>
        <w:t>。按规定公开水源地突发环境事件相关信息；根据饮用水水源地突发环境事件的性质、特点，告知群众应采取的防护措施。</w:t>
      </w:r>
    </w:p>
    <w:p>
      <w:pPr>
        <w:pStyle w:val="4"/>
        <w:ind w:firstLine="632"/>
        <w:sectPr>
          <w:footerReference r:id="rId16" w:type="first"/>
          <w:footerReference r:id="rId14" w:type="default"/>
          <w:footerReference r:id="rId15" w:type="even"/>
          <w:pgSz w:w="11907" w:h="16840"/>
          <w:pgMar w:top="2098" w:right="1474" w:bottom="1984" w:left="1588" w:header="851" w:footer="1474" w:gutter="0"/>
          <w:pgNumType w:start="1"/>
          <w:cols w:space="720" w:num="1"/>
          <w:titlePg/>
          <w:docGrid w:type="linesAndChars" w:linePitch="579" w:charSpace="-842"/>
        </w:sectPr>
      </w:pPr>
    </w:p>
    <w:p>
      <w:pPr>
        <w:adjustRightInd w:val="0"/>
        <w:snapToGrid w:val="0"/>
        <w:ind w:firstLine="0" w:firstLineChars="0"/>
        <w:jc w:val="center"/>
      </w:pPr>
      <w:r>
        <w:rPr>
          <w:rFonts w:eastAsia="方正黑体_GBK"/>
          <w:sz w:val="28"/>
          <w:szCs w:val="28"/>
        </w:rPr>
        <w:t>表5-1应急组织指挥部组成及工作职责一览表</w:t>
      </w:r>
    </w:p>
    <w:tbl>
      <w:tblPr>
        <w:tblStyle w:val="29"/>
        <w:tblW w:w="12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1090"/>
        <w:gridCol w:w="1417"/>
        <w:gridCol w:w="4253"/>
        <w:gridCol w:w="5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2122" w:type="dxa"/>
            <w:gridSpan w:val="2"/>
            <w:vAlign w:val="center"/>
          </w:tcPr>
          <w:p>
            <w:pPr>
              <w:spacing w:line="300" w:lineRule="exact"/>
              <w:ind w:firstLine="0" w:firstLineChars="0"/>
              <w:jc w:val="center"/>
              <w:rPr>
                <w:rFonts w:eastAsia="方正黑体_GBK"/>
                <w:sz w:val="24"/>
              </w:rPr>
            </w:pPr>
            <w:r>
              <w:rPr>
                <w:rFonts w:eastAsia="方正黑体_GBK"/>
                <w:sz w:val="24"/>
              </w:rPr>
              <w:t>应急组织指挥机构组成</w:t>
            </w:r>
          </w:p>
        </w:tc>
        <w:tc>
          <w:tcPr>
            <w:tcW w:w="1417" w:type="dxa"/>
            <w:vAlign w:val="center"/>
          </w:tcPr>
          <w:p>
            <w:pPr>
              <w:spacing w:line="300" w:lineRule="exact"/>
              <w:ind w:firstLine="0" w:firstLineChars="0"/>
              <w:jc w:val="center"/>
              <w:rPr>
                <w:rFonts w:eastAsia="方正黑体_GBK"/>
                <w:sz w:val="24"/>
              </w:rPr>
            </w:pPr>
            <w:r>
              <w:rPr>
                <w:rFonts w:hint="eastAsia" w:eastAsia="方正黑体_GBK"/>
                <w:sz w:val="24"/>
              </w:rPr>
              <w:t>牵头单位</w:t>
            </w:r>
          </w:p>
        </w:tc>
        <w:tc>
          <w:tcPr>
            <w:tcW w:w="4253" w:type="dxa"/>
            <w:vAlign w:val="center"/>
          </w:tcPr>
          <w:p>
            <w:pPr>
              <w:spacing w:line="300" w:lineRule="exact"/>
              <w:ind w:firstLine="0" w:firstLineChars="0"/>
              <w:jc w:val="center"/>
              <w:rPr>
                <w:rFonts w:eastAsia="方正黑体_GBK"/>
                <w:sz w:val="24"/>
              </w:rPr>
            </w:pPr>
            <w:r>
              <w:rPr>
                <w:rFonts w:hint="eastAsia" w:eastAsia="方正黑体_GBK"/>
                <w:sz w:val="24"/>
              </w:rPr>
              <w:t>成员单位</w:t>
            </w:r>
          </w:p>
        </w:tc>
        <w:tc>
          <w:tcPr>
            <w:tcW w:w="5197" w:type="dxa"/>
            <w:vAlign w:val="center"/>
          </w:tcPr>
          <w:p>
            <w:pPr>
              <w:spacing w:line="300" w:lineRule="exact"/>
              <w:ind w:firstLine="0" w:firstLineChars="0"/>
              <w:jc w:val="center"/>
              <w:rPr>
                <w:rFonts w:eastAsia="方正黑体_GBK"/>
                <w:sz w:val="24"/>
              </w:rPr>
            </w:pPr>
            <w:r>
              <w:rPr>
                <w:rFonts w:eastAsia="方正黑体_GBK"/>
                <w:sz w:val="24"/>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2122" w:type="dxa"/>
            <w:gridSpan w:val="2"/>
            <w:vAlign w:val="center"/>
          </w:tcPr>
          <w:p>
            <w:pPr>
              <w:spacing w:line="300" w:lineRule="exact"/>
              <w:ind w:firstLine="0" w:firstLineChars="0"/>
              <w:jc w:val="center"/>
              <w:rPr>
                <w:sz w:val="24"/>
              </w:rPr>
            </w:pPr>
            <w:r>
              <w:rPr>
                <w:rFonts w:hint="eastAsia"/>
                <w:sz w:val="24"/>
              </w:rPr>
              <w:t>指挥长</w:t>
            </w:r>
          </w:p>
        </w:tc>
        <w:tc>
          <w:tcPr>
            <w:tcW w:w="1417" w:type="dxa"/>
            <w:vAlign w:val="center"/>
          </w:tcPr>
          <w:p>
            <w:pPr>
              <w:spacing w:line="300" w:lineRule="exact"/>
              <w:ind w:firstLine="0" w:firstLineChars="0"/>
              <w:jc w:val="center"/>
              <w:rPr>
                <w:sz w:val="24"/>
              </w:rPr>
            </w:pPr>
            <w:r>
              <w:rPr>
                <w:rFonts w:hint="eastAsia"/>
                <w:sz w:val="24"/>
              </w:rPr>
              <w:t>沙坪镇镇长</w:t>
            </w:r>
          </w:p>
        </w:tc>
        <w:tc>
          <w:tcPr>
            <w:tcW w:w="4253" w:type="dxa"/>
            <w:vMerge w:val="restart"/>
            <w:vAlign w:val="center"/>
          </w:tcPr>
          <w:p>
            <w:pPr>
              <w:spacing w:line="300" w:lineRule="exact"/>
              <w:ind w:firstLine="0" w:firstLineChars="0"/>
              <w:jc w:val="center"/>
              <w:rPr>
                <w:sz w:val="24"/>
              </w:rPr>
            </w:pPr>
            <w:r>
              <w:rPr>
                <w:rFonts w:hint="eastAsia"/>
                <w:sz w:val="24"/>
              </w:rPr>
              <w:t>党政办公室、经济发展办公室、民政和社会事务办公室、平安建设办公室、应急管理办公室、规划建设管理环保办公室、财政办公室、农业服务中心、文化服务中心、劳动就业和社会保障服务所、综合行政执法大队、镇派出所、镇卫生院、太平水厂等</w:t>
            </w:r>
          </w:p>
        </w:tc>
        <w:tc>
          <w:tcPr>
            <w:tcW w:w="5197" w:type="dxa"/>
            <w:vMerge w:val="restart"/>
            <w:vAlign w:val="center"/>
          </w:tcPr>
          <w:p>
            <w:pPr>
              <w:spacing w:line="300" w:lineRule="exact"/>
              <w:ind w:firstLine="0" w:firstLineChars="0"/>
              <w:jc w:val="center"/>
              <w:rPr>
                <w:sz w:val="24"/>
              </w:rPr>
            </w:pPr>
            <w:r>
              <w:rPr>
                <w:rFonts w:hint="eastAsia"/>
                <w:sz w:val="24"/>
              </w:rPr>
              <w:t>负责沙坪镇红旗水库水源地应急指挥部的日常工作；受理饮用水源环境污染投诉；信息收集汇总、常规饮用水源环境监测数据综合分析；遇到涉及饮用水源突发环境事件时，及时了解情况，向上级报告并提出处理建议；按照县应急指挥部下达的命令和指示，组织协调、落实本行政区域涉及饮用水源突发环境事件应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2122" w:type="dxa"/>
            <w:gridSpan w:val="2"/>
            <w:vAlign w:val="center"/>
          </w:tcPr>
          <w:p>
            <w:pPr>
              <w:spacing w:line="300" w:lineRule="exact"/>
              <w:ind w:firstLine="0" w:firstLineChars="0"/>
              <w:jc w:val="center"/>
              <w:rPr>
                <w:sz w:val="24"/>
              </w:rPr>
            </w:pPr>
            <w:r>
              <w:rPr>
                <w:sz w:val="24"/>
              </w:rPr>
              <w:t>副</w:t>
            </w:r>
            <w:r>
              <w:rPr>
                <w:rFonts w:hint="eastAsia"/>
                <w:sz w:val="24"/>
              </w:rPr>
              <w:t>指挥长</w:t>
            </w:r>
          </w:p>
        </w:tc>
        <w:tc>
          <w:tcPr>
            <w:tcW w:w="1417" w:type="dxa"/>
            <w:vAlign w:val="center"/>
          </w:tcPr>
          <w:p>
            <w:pPr>
              <w:spacing w:line="300" w:lineRule="exact"/>
              <w:ind w:firstLine="0" w:firstLineChars="0"/>
              <w:jc w:val="center"/>
              <w:rPr>
                <w:sz w:val="24"/>
              </w:rPr>
            </w:pPr>
            <w:r>
              <w:rPr>
                <w:rFonts w:hint="eastAsia"/>
                <w:sz w:val="24"/>
              </w:rPr>
              <w:t>沙坪镇分管生态环境副镇长</w:t>
            </w:r>
          </w:p>
        </w:tc>
        <w:tc>
          <w:tcPr>
            <w:tcW w:w="4253" w:type="dxa"/>
            <w:vMerge w:val="continue"/>
            <w:vAlign w:val="center"/>
          </w:tcPr>
          <w:p>
            <w:pPr>
              <w:spacing w:line="300" w:lineRule="exact"/>
              <w:ind w:firstLine="0" w:firstLineChars="0"/>
              <w:jc w:val="center"/>
              <w:rPr>
                <w:sz w:val="24"/>
              </w:rPr>
            </w:pPr>
          </w:p>
        </w:tc>
        <w:tc>
          <w:tcPr>
            <w:tcW w:w="5197" w:type="dxa"/>
            <w:vMerge w:val="continue"/>
            <w:vAlign w:val="center"/>
          </w:tcPr>
          <w:p>
            <w:pPr>
              <w:spacing w:line="30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032" w:type="dxa"/>
            <w:vMerge w:val="restart"/>
            <w:vAlign w:val="center"/>
          </w:tcPr>
          <w:p>
            <w:pPr>
              <w:spacing w:line="300" w:lineRule="exact"/>
              <w:ind w:firstLine="0" w:firstLineChars="0"/>
              <w:jc w:val="center"/>
              <w:rPr>
                <w:sz w:val="24"/>
              </w:rPr>
            </w:pPr>
            <w:r>
              <w:rPr>
                <w:rFonts w:hint="eastAsia"/>
                <w:sz w:val="24"/>
              </w:rPr>
              <w:t>应急处置工作组</w:t>
            </w:r>
          </w:p>
        </w:tc>
        <w:tc>
          <w:tcPr>
            <w:tcW w:w="1090" w:type="dxa"/>
            <w:vAlign w:val="center"/>
          </w:tcPr>
          <w:p>
            <w:pPr>
              <w:spacing w:line="300" w:lineRule="exact"/>
              <w:ind w:firstLine="0" w:firstLineChars="0"/>
              <w:jc w:val="center"/>
              <w:rPr>
                <w:sz w:val="24"/>
              </w:rPr>
            </w:pPr>
            <w:bookmarkStart w:id="117" w:name="_Hlk120809478"/>
            <w:r>
              <w:rPr>
                <w:rFonts w:hint="eastAsia"/>
                <w:sz w:val="24"/>
              </w:rPr>
              <w:t>综合协调组</w:t>
            </w:r>
            <w:bookmarkEnd w:id="117"/>
          </w:p>
        </w:tc>
        <w:tc>
          <w:tcPr>
            <w:tcW w:w="1417" w:type="dxa"/>
            <w:vAlign w:val="center"/>
          </w:tcPr>
          <w:p>
            <w:pPr>
              <w:spacing w:line="300" w:lineRule="exact"/>
              <w:ind w:firstLine="0" w:firstLineChars="0"/>
              <w:jc w:val="center"/>
              <w:rPr>
                <w:sz w:val="24"/>
              </w:rPr>
            </w:pPr>
            <w:r>
              <w:rPr>
                <w:rFonts w:hint="eastAsia"/>
                <w:sz w:val="24"/>
              </w:rPr>
              <w:t>党政办公室</w:t>
            </w:r>
          </w:p>
        </w:tc>
        <w:tc>
          <w:tcPr>
            <w:tcW w:w="4253" w:type="dxa"/>
            <w:vAlign w:val="center"/>
          </w:tcPr>
          <w:p>
            <w:pPr>
              <w:spacing w:line="300" w:lineRule="exact"/>
              <w:ind w:firstLine="0" w:firstLineChars="0"/>
              <w:jc w:val="center"/>
              <w:rPr>
                <w:sz w:val="24"/>
              </w:rPr>
            </w:pPr>
            <w:r>
              <w:rPr>
                <w:rFonts w:hint="eastAsia"/>
                <w:sz w:val="24"/>
              </w:rPr>
              <w:t>规划建设管理环保办公室、农业服务中心、民政和社会事务办公室</w:t>
            </w:r>
          </w:p>
        </w:tc>
        <w:tc>
          <w:tcPr>
            <w:tcW w:w="5197" w:type="dxa"/>
            <w:vAlign w:val="center"/>
          </w:tcPr>
          <w:p>
            <w:pPr>
              <w:spacing w:line="300" w:lineRule="exact"/>
              <w:ind w:firstLine="0" w:firstLineChars="0"/>
              <w:jc w:val="center"/>
              <w:rPr>
                <w:sz w:val="24"/>
              </w:rPr>
            </w:pPr>
            <w:r>
              <w:rPr>
                <w:rFonts w:hint="eastAsia"/>
                <w:sz w:val="24"/>
              </w:rPr>
              <w:t>对有关情况进行汇总、传递和报告，协助指挥部领导协调各工作组。协调县生态环境监测站、县水利局实施应急监测。组织人员培训和应急演练。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现场</w:t>
            </w:r>
            <w:r>
              <w:rPr>
                <w:sz w:val="24"/>
              </w:rPr>
              <w:t>处置组</w:t>
            </w:r>
          </w:p>
        </w:tc>
        <w:tc>
          <w:tcPr>
            <w:tcW w:w="1417" w:type="dxa"/>
            <w:vAlign w:val="center"/>
          </w:tcPr>
          <w:p>
            <w:pPr>
              <w:spacing w:line="300" w:lineRule="exact"/>
              <w:ind w:firstLine="0" w:firstLineChars="0"/>
              <w:jc w:val="center"/>
              <w:rPr>
                <w:sz w:val="24"/>
              </w:rPr>
            </w:pPr>
            <w:r>
              <w:rPr>
                <w:rFonts w:hint="eastAsia"/>
                <w:sz w:val="24"/>
              </w:rPr>
              <w:t>规划建设管理环保办公室</w:t>
            </w:r>
          </w:p>
        </w:tc>
        <w:tc>
          <w:tcPr>
            <w:tcW w:w="4253" w:type="dxa"/>
            <w:vAlign w:val="center"/>
          </w:tcPr>
          <w:p>
            <w:pPr>
              <w:spacing w:line="300" w:lineRule="exact"/>
              <w:ind w:firstLine="0" w:firstLineChars="0"/>
              <w:jc w:val="center"/>
              <w:rPr>
                <w:sz w:val="24"/>
              </w:rPr>
            </w:pPr>
            <w:r>
              <w:rPr>
                <w:rFonts w:hint="eastAsia"/>
                <w:sz w:val="24"/>
              </w:rPr>
              <w:t>农业服务中心、镇派出所、综合行政执法大队、沙坪水厂、事发单位</w:t>
            </w:r>
          </w:p>
        </w:tc>
        <w:tc>
          <w:tcPr>
            <w:tcW w:w="5197" w:type="dxa"/>
            <w:vAlign w:val="center"/>
          </w:tcPr>
          <w:p>
            <w:pPr>
              <w:spacing w:line="300" w:lineRule="exact"/>
              <w:ind w:firstLine="0" w:firstLineChars="0"/>
              <w:jc w:val="center"/>
              <w:rPr>
                <w:sz w:val="24"/>
              </w:rPr>
            </w:pPr>
            <w:r>
              <w:rPr>
                <w:rFonts w:hint="eastAsia"/>
                <w:sz w:val="24"/>
              </w:rPr>
              <w:t>负责制定现场处置方案并组织实施抢险救援、污染事态控制、污染物清理等工作。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医疗救护组</w:t>
            </w:r>
          </w:p>
        </w:tc>
        <w:tc>
          <w:tcPr>
            <w:tcW w:w="1417" w:type="dxa"/>
            <w:vAlign w:val="center"/>
          </w:tcPr>
          <w:p>
            <w:pPr>
              <w:spacing w:line="300" w:lineRule="exact"/>
              <w:ind w:firstLine="0" w:firstLineChars="0"/>
              <w:jc w:val="center"/>
              <w:rPr>
                <w:sz w:val="24"/>
              </w:rPr>
            </w:pPr>
            <w:r>
              <w:rPr>
                <w:rFonts w:hint="eastAsia"/>
                <w:sz w:val="24"/>
              </w:rPr>
              <w:t>镇卫生院</w:t>
            </w:r>
          </w:p>
        </w:tc>
        <w:tc>
          <w:tcPr>
            <w:tcW w:w="4253" w:type="dxa"/>
            <w:vAlign w:val="center"/>
          </w:tcPr>
          <w:p>
            <w:pPr>
              <w:spacing w:line="300" w:lineRule="exact"/>
              <w:ind w:firstLine="0" w:firstLineChars="0"/>
              <w:jc w:val="center"/>
              <w:rPr>
                <w:sz w:val="24"/>
              </w:rPr>
            </w:pPr>
            <w:r>
              <w:rPr>
                <w:rFonts w:hint="eastAsia"/>
                <w:sz w:val="24"/>
              </w:rPr>
              <w:t>/</w:t>
            </w:r>
          </w:p>
        </w:tc>
        <w:tc>
          <w:tcPr>
            <w:tcW w:w="5197" w:type="dxa"/>
            <w:vAlign w:val="center"/>
          </w:tcPr>
          <w:p>
            <w:pPr>
              <w:spacing w:line="300" w:lineRule="exact"/>
              <w:ind w:firstLine="0" w:firstLineChars="0"/>
              <w:jc w:val="center"/>
              <w:rPr>
                <w:sz w:val="24"/>
              </w:rPr>
            </w:pPr>
            <w:r>
              <w:rPr>
                <w:rFonts w:hint="eastAsia"/>
                <w:sz w:val="24"/>
              </w:rPr>
              <w:t>组织对伤员实施救治，对现场进行消毒防疫。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安全保卫组</w:t>
            </w:r>
          </w:p>
        </w:tc>
        <w:tc>
          <w:tcPr>
            <w:tcW w:w="1417" w:type="dxa"/>
            <w:vAlign w:val="center"/>
          </w:tcPr>
          <w:p>
            <w:pPr>
              <w:spacing w:line="300" w:lineRule="exact"/>
              <w:ind w:firstLine="0" w:firstLineChars="0"/>
              <w:jc w:val="center"/>
              <w:rPr>
                <w:sz w:val="24"/>
              </w:rPr>
            </w:pPr>
            <w:r>
              <w:rPr>
                <w:rFonts w:hint="eastAsia"/>
                <w:sz w:val="24"/>
              </w:rPr>
              <w:t>镇派出所</w:t>
            </w:r>
          </w:p>
        </w:tc>
        <w:tc>
          <w:tcPr>
            <w:tcW w:w="4253" w:type="dxa"/>
            <w:vAlign w:val="center"/>
          </w:tcPr>
          <w:p>
            <w:pPr>
              <w:spacing w:line="300" w:lineRule="exact"/>
              <w:ind w:firstLine="0" w:firstLineChars="0"/>
              <w:jc w:val="center"/>
              <w:rPr>
                <w:sz w:val="24"/>
              </w:rPr>
            </w:pPr>
            <w:r>
              <w:rPr>
                <w:rFonts w:hint="eastAsia"/>
                <w:sz w:val="24"/>
              </w:rPr>
              <w:t>综合行政执法大队、应急管理办公室、平安建设办公室</w:t>
            </w:r>
          </w:p>
        </w:tc>
        <w:tc>
          <w:tcPr>
            <w:tcW w:w="5197" w:type="dxa"/>
            <w:vAlign w:val="center"/>
          </w:tcPr>
          <w:p>
            <w:pPr>
              <w:spacing w:line="300" w:lineRule="exact"/>
              <w:ind w:firstLine="0" w:firstLineChars="0"/>
              <w:jc w:val="center"/>
              <w:rPr>
                <w:sz w:val="24"/>
              </w:rPr>
            </w:pPr>
            <w:r>
              <w:rPr>
                <w:rFonts w:hint="eastAsia"/>
                <w:sz w:val="24"/>
              </w:rPr>
              <w:t>负责警戒、控制事故现场及周边地区、道路，组织人员有序疏散；保护现场财产安全，保障抢险救援工作正常开展，维护社会秩序；控制事故涉嫌责任人员。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善后处理组</w:t>
            </w:r>
          </w:p>
        </w:tc>
        <w:tc>
          <w:tcPr>
            <w:tcW w:w="1417" w:type="dxa"/>
            <w:vAlign w:val="center"/>
          </w:tcPr>
          <w:p>
            <w:pPr>
              <w:spacing w:line="300" w:lineRule="exact"/>
              <w:ind w:firstLine="0" w:firstLineChars="0"/>
              <w:jc w:val="center"/>
              <w:rPr>
                <w:sz w:val="24"/>
              </w:rPr>
            </w:pPr>
            <w:r>
              <w:rPr>
                <w:rFonts w:hint="eastAsia"/>
                <w:sz w:val="24"/>
              </w:rPr>
              <w:t>党政办公室</w:t>
            </w:r>
          </w:p>
        </w:tc>
        <w:tc>
          <w:tcPr>
            <w:tcW w:w="4253" w:type="dxa"/>
            <w:vAlign w:val="center"/>
          </w:tcPr>
          <w:p>
            <w:pPr>
              <w:spacing w:line="300" w:lineRule="exact"/>
              <w:ind w:firstLine="0" w:firstLineChars="0"/>
              <w:jc w:val="center"/>
              <w:rPr>
                <w:sz w:val="24"/>
              </w:rPr>
            </w:pPr>
            <w:r>
              <w:rPr>
                <w:rFonts w:hint="eastAsia"/>
                <w:sz w:val="24"/>
              </w:rPr>
              <w:t>规划建设管理环保办公室、农业服务中心、平安建设办公室、劳动就业和社会保障服务所</w:t>
            </w:r>
          </w:p>
        </w:tc>
        <w:tc>
          <w:tcPr>
            <w:tcW w:w="5197" w:type="dxa"/>
            <w:vAlign w:val="center"/>
          </w:tcPr>
          <w:p>
            <w:pPr>
              <w:spacing w:line="300" w:lineRule="exact"/>
              <w:ind w:firstLine="0" w:firstLineChars="0"/>
              <w:jc w:val="center"/>
              <w:rPr>
                <w:sz w:val="24"/>
              </w:rPr>
            </w:pPr>
            <w:r>
              <w:rPr>
                <w:rFonts w:hint="eastAsia"/>
                <w:sz w:val="24"/>
              </w:rPr>
              <w:t>做好受伤人员救治、伤亡人员及其家属的安抚工作；对受污染、破坏的生态环境采取措施予以恢复；对事故影响进行评估；组织开展保险理赔工作，维护社会稳定。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后勤保障组</w:t>
            </w:r>
          </w:p>
        </w:tc>
        <w:tc>
          <w:tcPr>
            <w:tcW w:w="1417" w:type="dxa"/>
            <w:vAlign w:val="center"/>
          </w:tcPr>
          <w:p>
            <w:pPr>
              <w:spacing w:line="300" w:lineRule="exact"/>
              <w:ind w:firstLine="0" w:firstLineChars="0"/>
              <w:jc w:val="center"/>
              <w:rPr>
                <w:sz w:val="24"/>
              </w:rPr>
            </w:pPr>
            <w:r>
              <w:rPr>
                <w:rFonts w:hint="eastAsia"/>
                <w:sz w:val="24"/>
              </w:rPr>
              <w:t>财政办公室</w:t>
            </w:r>
          </w:p>
        </w:tc>
        <w:tc>
          <w:tcPr>
            <w:tcW w:w="4253" w:type="dxa"/>
            <w:vAlign w:val="center"/>
          </w:tcPr>
          <w:p>
            <w:pPr>
              <w:spacing w:line="300" w:lineRule="exact"/>
              <w:ind w:firstLine="0" w:firstLineChars="0"/>
              <w:jc w:val="center"/>
              <w:rPr>
                <w:sz w:val="24"/>
              </w:rPr>
            </w:pPr>
            <w:r>
              <w:rPr>
                <w:rFonts w:hint="eastAsia"/>
                <w:sz w:val="24"/>
              </w:rPr>
              <w:t>规划建设管理环保办公室、劳动就业和社会保障服务所、民政和社会事务办公室</w:t>
            </w:r>
          </w:p>
        </w:tc>
        <w:tc>
          <w:tcPr>
            <w:tcW w:w="5197" w:type="dxa"/>
            <w:vAlign w:val="center"/>
          </w:tcPr>
          <w:p>
            <w:pPr>
              <w:spacing w:line="300" w:lineRule="exact"/>
              <w:ind w:firstLine="0" w:firstLineChars="0"/>
              <w:jc w:val="center"/>
              <w:rPr>
                <w:color w:val="FF0000"/>
                <w:sz w:val="24"/>
              </w:rPr>
            </w:pPr>
            <w:r>
              <w:rPr>
                <w:rFonts w:hint="eastAsia"/>
                <w:sz w:val="24"/>
              </w:rPr>
              <w:t>落实现场应急物资、应急通信、交通运输、供电、供水、生活等方面的保障措施。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事故调查组</w:t>
            </w:r>
          </w:p>
        </w:tc>
        <w:tc>
          <w:tcPr>
            <w:tcW w:w="1417" w:type="dxa"/>
            <w:vAlign w:val="center"/>
          </w:tcPr>
          <w:p>
            <w:pPr>
              <w:spacing w:line="300" w:lineRule="exact"/>
              <w:ind w:firstLine="0" w:firstLineChars="0"/>
              <w:jc w:val="center"/>
              <w:rPr>
                <w:sz w:val="24"/>
              </w:rPr>
            </w:pPr>
            <w:r>
              <w:rPr>
                <w:rFonts w:hint="eastAsia"/>
                <w:sz w:val="24"/>
              </w:rPr>
              <w:t>规划建设管理环保办公室</w:t>
            </w:r>
          </w:p>
        </w:tc>
        <w:tc>
          <w:tcPr>
            <w:tcW w:w="4253" w:type="dxa"/>
            <w:vAlign w:val="center"/>
          </w:tcPr>
          <w:p>
            <w:pPr>
              <w:spacing w:line="300" w:lineRule="exact"/>
              <w:ind w:firstLine="0" w:firstLineChars="0"/>
              <w:jc w:val="center"/>
              <w:rPr>
                <w:sz w:val="24"/>
              </w:rPr>
            </w:pPr>
            <w:r>
              <w:rPr>
                <w:rFonts w:hint="eastAsia"/>
                <w:sz w:val="24"/>
              </w:rPr>
              <w:t>农业服务中心、镇卫生院、经济发展办公室、沙坪水厂、事发单位</w:t>
            </w:r>
          </w:p>
        </w:tc>
        <w:tc>
          <w:tcPr>
            <w:tcW w:w="5197" w:type="dxa"/>
            <w:vAlign w:val="center"/>
          </w:tcPr>
          <w:p>
            <w:pPr>
              <w:spacing w:line="300" w:lineRule="exact"/>
              <w:ind w:firstLine="0" w:firstLineChars="0"/>
              <w:jc w:val="center"/>
              <w:rPr>
                <w:sz w:val="24"/>
              </w:rPr>
            </w:pPr>
            <w:r>
              <w:rPr>
                <w:rFonts w:hint="eastAsia"/>
                <w:sz w:val="24"/>
              </w:rPr>
              <w:t>查明事故发生的经过、原因、伤亡情况及经济损失；认定事故性质和责任；对事故责任人提出处理建议；提交事故调查报告；配合做好较大及以上事故的调查处理工作。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032" w:type="dxa"/>
            <w:vMerge w:val="continue"/>
            <w:vAlign w:val="center"/>
          </w:tcPr>
          <w:p>
            <w:pPr>
              <w:spacing w:line="300" w:lineRule="exact"/>
              <w:ind w:firstLine="0" w:firstLineChars="0"/>
              <w:jc w:val="center"/>
              <w:rPr>
                <w:sz w:val="24"/>
              </w:rPr>
            </w:pPr>
          </w:p>
        </w:tc>
        <w:tc>
          <w:tcPr>
            <w:tcW w:w="1090" w:type="dxa"/>
            <w:vAlign w:val="center"/>
          </w:tcPr>
          <w:p>
            <w:pPr>
              <w:spacing w:line="300" w:lineRule="exact"/>
              <w:ind w:firstLine="0" w:firstLineChars="0"/>
              <w:jc w:val="center"/>
              <w:rPr>
                <w:sz w:val="24"/>
              </w:rPr>
            </w:pPr>
            <w:r>
              <w:rPr>
                <w:rFonts w:hint="eastAsia"/>
                <w:sz w:val="24"/>
              </w:rPr>
              <w:t>宣传报告组</w:t>
            </w:r>
          </w:p>
        </w:tc>
        <w:tc>
          <w:tcPr>
            <w:tcW w:w="1417" w:type="dxa"/>
            <w:vAlign w:val="center"/>
          </w:tcPr>
          <w:p>
            <w:pPr>
              <w:spacing w:line="300" w:lineRule="exact"/>
              <w:ind w:firstLine="0" w:firstLineChars="0"/>
              <w:jc w:val="center"/>
              <w:rPr>
                <w:sz w:val="24"/>
              </w:rPr>
            </w:pPr>
            <w:r>
              <w:rPr>
                <w:rFonts w:hint="eastAsia"/>
                <w:sz w:val="24"/>
              </w:rPr>
              <w:t>规划建设管理环保办公室</w:t>
            </w:r>
          </w:p>
        </w:tc>
        <w:tc>
          <w:tcPr>
            <w:tcW w:w="4253" w:type="dxa"/>
            <w:vAlign w:val="center"/>
          </w:tcPr>
          <w:p>
            <w:pPr>
              <w:spacing w:line="300" w:lineRule="exact"/>
              <w:ind w:firstLine="0" w:firstLineChars="0"/>
              <w:jc w:val="center"/>
              <w:rPr>
                <w:sz w:val="24"/>
              </w:rPr>
            </w:pPr>
            <w:r>
              <w:rPr>
                <w:rFonts w:hint="eastAsia"/>
                <w:sz w:val="24"/>
              </w:rPr>
              <w:t>文化服务中心、农业服务中心</w:t>
            </w:r>
          </w:p>
        </w:tc>
        <w:tc>
          <w:tcPr>
            <w:tcW w:w="5197" w:type="dxa"/>
            <w:vAlign w:val="center"/>
          </w:tcPr>
          <w:p>
            <w:pPr>
              <w:spacing w:line="300" w:lineRule="exact"/>
              <w:ind w:firstLine="0" w:firstLineChars="0"/>
              <w:jc w:val="center"/>
              <w:rPr>
                <w:sz w:val="24"/>
              </w:rPr>
            </w:pPr>
            <w:r>
              <w:rPr>
                <w:rFonts w:hint="eastAsia"/>
                <w:sz w:val="24"/>
              </w:rPr>
              <w:t>统一组织宣传报告应急处置工作情况。按规定公开水源地突发环境事件相关信息；根据饮用水水源地突发环境事件的性质、特点，告知群众应采取的防护措施。</w:t>
            </w:r>
          </w:p>
        </w:tc>
      </w:tr>
    </w:tbl>
    <w:p>
      <w:pPr>
        <w:pStyle w:val="17"/>
        <w:ind w:firstLine="352"/>
      </w:pPr>
    </w:p>
    <w:p>
      <w:pPr>
        <w:pStyle w:val="17"/>
        <w:ind w:firstLine="352"/>
        <w:sectPr>
          <w:pgSz w:w="16840" w:h="11907" w:orient="landscape"/>
          <w:pgMar w:top="1588" w:right="2098" w:bottom="1474" w:left="1984" w:header="851" w:footer="1474" w:gutter="0"/>
          <w:cols w:space="720" w:num="1"/>
          <w:titlePg/>
          <w:docGrid w:type="linesAndChars" w:linePitch="579" w:charSpace="-842"/>
        </w:sectPr>
      </w:pPr>
    </w:p>
    <w:p>
      <w:pPr>
        <w:pStyle w:val="3"/>
        <w:ind w:firstLine="632"/>
      </w:pPr>
      <w:bookmarkStart w:id="118" w:name="_Toc116914470"/>
      <w:bookmarkStart w:id="119" w:name="_Toc126335859"/>
      <w:r>
        <w:rPr>
          <w:rFonts w:hint="eastAsia"/>
        </w:rPr>
        <w:t>6</w:t>
      </w:r>
      <w:r>
        <w:t>应急响应</w:t>
      </w:r>
      <w:bookmarkEnd w:id="118"/>
      <w:bookmarkEnd w:id="119"/>
    </w:p>
    <w:p>
      <w:pPr>
        <w:pStyle w:val="4"/>
        <w:ind w:firstLine="632"/>
      </w:pPr>
      <w:bookmarkStart w:id="120" w:name="_Toc126335860"/>
      <w:bookmarkStart w:id="121" w:name="_Toc116914471"/>
      <w:bookmarkStart w:id="122" w:name="_Toc44411306"/>
      <w:bookmarkStart w:id="123" w:name="_Toc44411298"/>
      <w:r>
        <w:rPr>
          <w:rFonts w:hint="eastAsia"/>
        </w:rPr>
        <w:t>6</w:t>
      </w:r>
      <w:r>
        <w:t>.1信息收集和研判</w:t>
      </w:r>
      <w:bookmarkEnd w:id="120"/>
      <w:bookmarkEnd w:id="121"/>
      <w:bookmarkEnd w:id="122"/>
    </w:p>
    <w:p>
      <w:pPr>
        <w:pStyle w:val="5"/>
        <w:ind w:firstLine="632"/>
      </w:pPr>
      <w:bookmarkStart w:id="124" w:name="_Toc116914472"/>
      <w:bookmarkStart w:id="125" w:name="_Toc533670478"/>
      <w:bookmarkStart w:id="126" w:name="_Toc533841551"/>
      <w:bookmarkStart w:id="127" w:name="_Toc44411307"/>
      <w:bookmarkStart w:id="128" w:name="_Toc533671635"/>
      <w:r>
        <w:t>6.1.1信息收集</w:t>
      </w:r>
      <w:bookmarkEnd w:id="124"/>
      <w:bookmarkEnd w:id="125"/>
      <w:bookmarkEnd w:id="126"/>
      <w:bookmarkEnd w:id="127"/>
      <w:bookmarkEnd w:id="128"/>
    </w:p>
    <w:p>
      <w:pPr>
        <w:ind w:firstLine="632"/>
        <w:rPr>
          <w:shd w:val="clear" w:color="auto" w:fill="FFFFFF"/>
        </w:rPr>
      </w:pPr>
      <w:r>
        <w:rPr>
          <w:shd w:val="clear" w:color="auto" w:fill="FFFFFF"/>
        </w:rPr>
        <w:t>信息来源包括但不限于以下途径。</w:t>
      </w:r>
    </w:p>
    <w:p>
      <w:pPr>
        <w:ind w:firstLine="632"/>
        <w:rPr>
          <w:shd w:val="clear" w:color="auto" w:fill="FFFFFF"/>
        </w:rPr>
      </w:pPr>
      <w:bookmarkStart w:id="129" w:name="_Hlk126336696"/>
      <w:r>
        <w:rPr>
          <w:rFonts w:hint="eastAsia"/>
          <w:shd w:val="clear" w:color="auto" w:fill="FFFFFF"/>
        </w:rPr>
        <w:t>（1）红旗水库</w:t>
      </w:r>
      <w:bookmarkStart w:id="130" w:name="_Hlk126597231"/>
      <w:r>
        <w:rPr>
          <w:rFonts w:hint="eastAsia"/>
          <w:shd w:val="clear" w:color="auto" w:fill="FFFFFF"/>
        </w:rPr>
        <w:t>水源地应急指挥部可通过事发单位或知情者通过电话、短信、传真、网络等方式获取信息。</w:t>
      </w:r>
    </w:p>
    <w:p>
      <w:pPr>
        <w:ind w:firstLine="632"/>
        <w:rPr>
          <w:shd w:val="clear" w:color="auto" w:fill="FFFFFF"/>
        </w:rPr>
      </w:pPr>
      <w:r>
        <w:rPr>
          <w:rFonts w:hint="eastAsia"/>
          <w:shd w:val="clear" w:color="auto" w:fill="FFFFFF"/>
        </w:rPr>
        <w:t>（2）红旗水库水源地应急指挥部可通过供水单位、政府巡查员在日常的环境保护监督过程中获取风险隐患信息。</w:t>
      </w:r>
    </w:p>
    <w:p>
      <w:pPr>
        <w:ind w:firstLine="632"/>
        <w:rPr>
          <w:shd w:val="clear" w:color="auto" w:fill="FFFFFF"/>
        </w:rPr>
      </w:pPr>
      <w:r>
        <w:rPr>
          <w:rFonts w:hint="eastAsia"/>
          <w:shd w:val="clear" w:color="auto" w:fill="FFFFFF"/>
        </w:rPr>
        <w:t>（3）红旗水库水源地应急指挥部可通过县生态环境局、县水利局、县应急管理局等日常监管渠道获取水质异常信息和主要风险源监控异常排放信息，也可以通过水文气象、地质灾害、污染源排放等获取水质异常信息。</w:t>
      </w:r>
    </w:p>
    <w:p>
      <w:pPr>
        <w:ind w:firstLine="632"/>
        <w:rPr>
          <w:shd w:val="clear" w:color="auto" w:fill="FFFFFF"/>
        </w:rPr>
      </w:pPr>
      <w:r>
        <w:rPr>
          <w:rFonts w:hint="eastAsia"/>
          <w:shd w:val="clear" w:color="auto" w:fill="FFFFFF"/>
        </w:rPr>
        <w:t>（4）红旗水库水源地应急指挥部可通过县公安局交通事故报警获取流动源事故信息。</w:t>
      </w:r>
      <w:bookmarkEnd w:id="129"/>
      <w:bookmarkEnd w:id="130"/>
    </w:p>
    <w:p>
      <w:pPr>
        <w:pStyle w:val="5"/>
        <w:ind w:firstLine="632"/>
      </w:pPr>
      <w:bookmarkStart w:id="131" w:name="_Toc533841552"/>
      <w:bookmarkStart w:id="132" w:name="_Toc44411308"/>
      <w:bookmarkStart w:id="133" w:name="_Toc533671636"/>
      <w:bookmarkStart w:id="134" w:name="_Toc116914473"/>
      <w:bookmarkStart w:id="135" w:name="_Toc533670479"/>
      <w:r>
        <w:t>6.1.2信息研判与会商</w:t>
      </w:r>
      <w:bookmarkEnd w:id="131"/>
      <w:bookmarkEnd w:id="132"/>
      <w:bookmarkEnd w:id="133"/>
      <w:bookmarkEnd w:id="134"/>
      <w:bookmarkEnd w:id="135"/>
    </w:p>
    <w:p>
      <w:pPr>
        <w:ind w:firstLine="632"/>
        <w:rPr>
          <w:shd w:val="clear" w:color="auto" w:fill="FFFFFF"/>
        </w:rPr>
      </w:pPr>
      <w:r>
        <w:rPr>
          <w:shd w:val="clear" w:color="auto" w:fill="FFFFFF"/>
        </w:rPr>
        <w:t>通过日常监管渠道首次发现水质异常或群众举报、责任单位报告等获取突发事件信息的部门，应第一时间开展以下工作：</w:t>
      </w:r>
    </w:p>
    <w:p>
      <w:pPr>
        <w:ind w:firstLine="632"/>
        <w:rPr>
          <w:shd w:val="clear" w:color="auto" w:fill="FFFFFF"/>
        </w:rPr>
      </w:pPr>
      <w:r>
        <w:rPr>
          <w:shd w:val="clear" w:color="auto" w:fill="FFFFFF"/>
        </w:rPr>
        <w:t>（1）核实信息的真实性。</w:t>
      </w:r>
    </w:p>
    <w:p>
      <w:pPr>
        <w:ind w:firstLine="632"/>
        <w:rPr>
          <w:shd w:val="clear" w:color="auto" w:fill="FFFFFF"/>
        </w:rPr>
      </w:pPr>
      <w:r>
        <w:rPr>
          <w:shd w:val="clear" w:color="auto" w:fill="FFFFFF"/>
        </w:rPr>
        <w:t>（2）进一步收集信息，必要时通报有关部门共同开展信息收集工作，并报告给</w:t>
      </w:r>
      <w:r>
        <w:rPr>
          <w:rFonts w:hint="eastAsia"/>
          <w:shd w:val="clear" w:color="auto" w:fill="FFFFFF"/>
        </w:rPr>
        <w:t>红旗水库水源地</w:t>
      </w:r>
      <w:r>
        <w:rPr>
          <w:shd w:val="clear" w:color="auto" w:fill="FFFFFF"/>
        </w:rPr>
        <w:t>应急指挥部。</w:t>
      </w:r>
    </w:p>
    <w:p>
      <w:pPr>
        <w:pStyle w:val="5"/>
        <w:ind w:firstLine="632"/>
      </w:pPr>
      <w:bookmarkStart w:id="136" w:name="_Toc116914474"/>
      <w:bookmarkStart w:id="137" w:name="_Toc44411309"/>
      <w:r>
        <w:t>6.1.3信息报告与通报</w:t>
      </w:r>
      <w:bookmarkEnd w:id="136"/>
      <w:bookmarkEnd w:id="137"/>
    </w:p>
    <w:p>
      <w:pPr>
        <w:ind w:firstLine="632"/>
      </w:pPr>
      <w:bookmarkStart w:id="138" w:name="_Toc44411310"/>
      <w:r>
        <w:t>（1）信息报告程序</w:t>
      </w:r>
      <w:bookmarkEnd w:id="138"/>
    </w:p>
    <w:p>
      <w:pPr>
        <w:ind w:firstLine="632"/>
        <w:rPr>
          <w:szCs w:val="32"/>
        </w:rPr>
      </w:pPr>
      <w:r>
        <w:rPr>
          <w:rFonts w:hint="eastAsia"/>
        </w:rPr>
        <w:t>突发环境事件发生后，涉事单位、知情者应通过利用023-74575118（沙坪镇人民政府）、023-74512345（垫江县人民政府电话），023-74688819（垫江县生态环境局电话）、110、119、122、120、</w:t>
      </w:r>
      <w:r>
        <w:t>12345</w:t>
      </w:r>
      <w:r>
        <w:rPr>
          <w:rFonts w:hint="eastAsia"/>
        </w:rPr>
        <w:t>等系统，实现联动报警。</w:t>
      </w:r>
    </w:p>
    <w:p>
      <w:pPr>
        <w:ind w:firstLine="632"/>
      </w:pPr>
      <w:r>
        <w:rPr>
          <w:rFonts w:hint="eastAsia"/>
          <w:color w:val="000000"/>
        </w:rPr>
        <w:t>红旗水库水源地</w:t>
      </w:r>
      <w:r>
        <w:t>应急</w:t>
      </w:r>
      <w:r>
        <w:rPr>
          <w:color w:val="000000"/>
        </w:rPr>
        <w:t>指挥部</w:t>
      </w:r>
      <w:r>
        <w:rPr>
          <w:shd w:val="clear" w:color="auto" w:fill="FFFFFF"/>
        </w:rPr>
        <w:t>在发现或得知水源地突发环境事件信息后，应立即进行核实，了解有关情况。并</w:t>
      </w:r>
      <w:r>
        <w:t>将预警信息发布、预警行动、事态发展和处置情况按照国家和重庆市政府规定的时限、程序和要求向</w:t>
      </w:r>
      <w:r>
        <w:rPr>
          <w:rFonts w:hint="eastAsia"/>
          <w:color w:val="000000"/>
        </w:rPr>
        <w:t>上级</w:t>
      </w:r>
      <w:r>
        <w:rPr>
          <w:color w:val="000000"/>
        </w:rPr>
        <w:t>通告，同时通报</w:t>
      </w:r>
      <w:r>
        <w:rPr>
          <w:rFonts w:hint="eastAsia"/>
          <w:color w:val="000000"/>
        </w:rPr>
        <w:t>县政府</w:t>
      </w:r>
      <w:r>
        <w:rPr>
          <w:color w:val="000000"/>
        </w:rPr>
        <w:t>有关部门</w:t>
      </w:r>
      <w:r>
        <w:rPr>
          <w:rFonts w:hint="eastAsia"/>
          <w:color w:val="000000"/>
        </w:rPr>
        <w:t>做好应急准备</w:t>
      </w:r>
      <w:r>
        <w:t>。</w:t>
      </w:r>
    </w:p>
    <w:p>
      <w:pPr>
        <w:ind w:firstLine="632"/>
      </w:pPr>
      <w:bookmarkStart w:id="139" w:name="_Toc44411311"/>
      <w:r>
        <w:t>（2）信息通报程序</w:t>
      </w:r>
      <w:bookmarkEnd w:id="139"/>
    </w:p>
    <w:p>
      <w:pPr>
        <w:ind w:firstLine="632"/>
        <w:rPr>
          <w:shd w:val="clear" w:color="auto" w:fill="FFFFFF"/>
        </w:rPr>
      </w:pPr>
      <w:bookmarkStart w:id="140" w:name="_Hlk126336735"/>
      <w:r>
        <w:rPr>
          <w:rFonts w:hint="eastAsia"/>
          <w:shd w:val="clear" w:color="auto" w:fill="FFFFFF"/>
        </w:rPr>
        <w:t>对经核实的水源地突发环境事件，红旗水库</w:t>
      </w:r>
      <w:bookmarkStart w:id="141" w:name="_Hlk126339123"/>
      <w:r>
        <w:rPr>
          <w:rFonts w:hint="eastAsia"/>
          <w:shd w:val="clear" w:color="auto" w:fill="FFFFFF"/>
        </w:rPr>
        <w:t>水源地应急指挥部应向县生态环境局、县水利局、县卫生健康委等部门通报；根据水源地突发环境事件的类型和情景，还应向县消防大队（遇火灾爆炸）、县公安局（遇火灾爆炸、道路运输事故）、县应急管理局、县农业农村委（遇大面积死鱼）等部门通报。</w:t>
      </w:r>
      <w:bookmarkEnd w:id="140"/>
      <w:bookmarkEnd w:id="141"/>
    </w:p>
    <w:p>
      <w:pPr>
        <w:pStyle w:val="5"/>
        <w:ind w:firstLine="632"/>
      </w:pPr>
      <w:bookmarkStart w:id="142" w:name="_Toc116914475"/>
      <w:bookmarkStart w:id="143" w:name="_Toc44411312"/>
      <w:r>
        <w:t>6.1.4信息报告和通报内容</w:t>
      </w:r>
      <w:bookmarkEnd w:id="142"/>
      <w:bookmarkEnd w:id="143"/>
    </w:p>
    <w:p>
      <w:pPr>
        <w:ind w:firstLine="632"/>
      </w:pPr>
      <w:bookmarkStart w:id="144" w:name="_Toc2851132"/>
      <w:bookmarkStart w:id="145" w:name="_Toc533841567"/>
      <w:bookmarkStart w:id="146" w:name="_Toc1742910"/>
      <w:bookmarkStart w:id="147" w:name="_Toc533671651"/>
      <w:bookmarkStart w:id="148" w:name="_Toc44411313"/>
      <w:bookmarkStart w:id="149" w:name="_Toc533670494"/>
      <w:r>
        <w:t>（1）信息报告</w:t>
      </w:r>
      <w:bookmarkEnd w:id="144"/>
      <w:bookmarkEnd w:id="145"/>
      <w:bookmarkEnd w:id="146"/>
      <w:bookmarkEnd w:id="147"/>
      <w:bookmarkEnd w:id="148"/>
      <w:bookmarkEnd w:id="149"/>
    </w:p>
    <w:p>
      <w:pPr>
        <w:ind w:firstLine="632"/>
        <w:rPr>
          <w:shd w:val="clear" w:color="auto" w:fill="FFFFFF"/>
        </w:rPr>
      </w:pPr>
      <w:r>
        <w:rPr>
          <w:shd w:val="clear" w:color="auto" w:fill="FFFFFF"/>
        </w:rPr>
        <w:t>按照不同的时间节点，水源地突发环境事件报告分为初报、续报和处理结果报告。初报是发现或得知突发环境事件后的首次报告，</w:t>
      </w:r>
      <w:r>
        <w:rPr>
          <w:color w:val="000000"/>
        </w:rPr>
        <w:t>从发现事件后起40分钟内上报</w:t>
      </w:r>
      <w:r>
        <w:rPr>
          <w:shd w:val="clear" w:color="auto" w:fill="FFFFFF"/>
        </w:rPr>
        <w:t>；续报是查清有关基本情况、事件发展情况后的报告，可随时报告；处理结果报告是突发环境事件处理完毕后的报告。</w:t>
      </w:r>
    </w:p>
    <w:p>
      <w:pPr>
        <w:ind w:firstLine="632"/>
        <w:rPr>
          <w:shd w:val="clear" w:color="auto" w:fill="FFFFFF"/>
        </w:rPr>
      </w:pPr>
      <w:r>
        <w:rPr>
          <w:rFonts w:eastAsia="宋体"/>
          <w:shd w:val="clear" w:color="auto" w:fill="FFFFFF"/>
        </w:rPr>
        <w:t>①</w:t>
      </w:r>
      <w:r>
        <w:rPr>
          <w:shd w:val="clear" w:color="auto" w:fill="FFFFFF"/>
        </w:rPr>
        <w:t>初报应报告水源地突发环境事件的发生时间、地点、信息来源、事件起因和性质、基本过程、主要污染物和数量、监测结果、人员伤亡情况、饮用水水源地受影响情况、事件发展趋势、处置情况、拟采取的措施以及下一步工作建议等初步情况。</w:t>
      </w:r>
    </w:p>
    <w:p>
      <w:pPr>
        <w:ind w:firstLine="632"/>
        <w:rPr>
          <w:shd w:val="clear" w:color="auto" w:fill="FFFFFF"/>
        </w:rPr>
      </w:pPr>
      <w:r>
        <w:rPr>
          <w:rFonts w:eastAsia="宋体"/>
          <w:shd w:val="clear" w:color="auto" w:fill="FFFFFF"/>
        </w:rPr>
        <w:t>②</w:t>
      </w:r>
      <w:r>
        <w:rPr>
          <w:rFonts w:hint="eastAsia"/>
          <w:shd w:val="clear" w:color="auto" w:fill="FFFFFF"/>
        </w:rPr>
        <w:t>续报应在初报的基础上，报告有关应急处置进展情况，主要报告实时监测情况，污染源排查和事故调查及各项应急措施实施等动态情况。</w:t>
      </w:r>
    </w:p>
    <w:p>
      <w:pPr>
        <w:ind w:firstLine="632"/>
        <w:rPr>
          <w:shd w:val="clear" w:color="auto" w:fill="FFFFFF"/>
        </w:rPr>
      </w:pPr>
      <w:r>
        <w:rPr>
          <w:rFonts w:eastAsia="宋体"/>
          <w:color w:val="000000"/>
          <w:szCs w:val="32"/>
        </w:rPr>
        <w:t>③</w:t>
      </w:r>
      <w:r>
        <w:rPr>
          <w:color w:val="000000"/>
          <w:szCs w:val="32"/>
        </w:rPr>
        <w:t>处置结束后1个工作日内要进行</w:t>
      </w:r>
      <w:r>
        <w:rPr>
          <w:shd w:val="clear" w:color="auto" w:fill="FFFFFF"/>
        </w:rPr>
        <w:t>处理结果报告</w:t>
      </w:r>
      <w:r>
        <w:rPr>
          <w:color w:val="000000"/>
          <w:szCs w:val="32"/>
        </w:rPr>
        <w:t>。</w:t>
      </w:r>
      <w:r>
        <w:rPr>
          <w:shd w:val="clear" w:color="auto" w:fill="FFFFFF"/>
        </w:rPr>
        <w:t>处理结果报告应在初报、续报的基础上，报告突发环境事件的</w:t>
      </w:r>
      <w:r>
        <w:rPr>
          <w:color w:val="000000"/>
          <w:szCs w:val="32"/>
        </w:rPr>
        <w:t>措施、过程、结果，潜在或间接危害及损失、社会影响、处理后的遗留问题</w:t>
      </w:r>
      <w:r>
        <w:rPr>
          <w:shd w:val="clear" w:color="auto" w:fill="FFFFFF"/>
        </w:rPr>
        <w:t>等详细情况。</w:t>
      </w:r>
    </w:p>
    <w:p>
      <w:pPr>
        <w:ind w:firstLine="632"/>
      </w:pPr>
      <w:r>
        <w:rPr>
          <w:rFonts w:hint="eastAsia"/>
        </w:rPr>
        <w:t>（2）信息报告方式</w:t>
      </w:r>
    </w:p>
    <w:p>
      <w:pPr>
        <w:ind w:firstLine="632"/>
        <w:rPr>
          <w:shd w:val="clear" w:color="auto" w:fill="FFFFFF"/>
        </w:rPr>
      </w:pPr>
      <w:r>
        <w:rPr>
          <w:rFonts w:hint="eastAsia"/>
          <w:shd w:val="clear" w:color="auto" w:fill="FFFFFF"/>
        </w:rPr>
        <w:t>信息报告应当采用电话直报和传真、网络邮寄和面呈等书面报告方式相结合的方式上报，情况紧急时，初报可通过电话报告，但应当及时补充书面报告材料。书面报告中应当说明突发环境事件报告单位、报告签发人、联系人及联系方式等内容，并尽可能提供地图、图片、视频信息以及相关多媒体资料，提高信息报送的速度和质量。</w:t>
      </w:r>
    </w:p>
    <w:p>
      <w:pPr>
        <w:ind w:firstLine="632"/>
      </w:pPr>
      <w:bookmarkStart w:id="150" w:name="_Toc533670495"/>
      <w:bookmarkStart w:id="151" w:name="_Toc2851133"/>
      <w:bookmarkStart w:id="152" w:name="_Toc1742911"/>
      <w:bookmarkStart w:id="153" w:name="_Toc533671652"/>
      <w:bookmarkStart w:id="154" w:name="_Toc533841568"/>
      <w:bookmarkStart w:id="155" w:name="_Toc44411314"/>
      <w:r>
        <w:t>（3）信息通报</w:t>
      </w:r>
      <w:bookmarkEnd w:id="150"/>
      <w:bookmarkEnd w:id="151"/>
      <w:bookmarkEnd w:id="152"/>
      <w:bookmarkEnd w:id="153"/>
      <w:bookmarkEnd w:id="154"/>
      <w:bookmarkEnd w:id="155"/>
    </w:p>
    <w:p>
      <w:pPr>
        <w:ind w:firstLine="632"/>
      </w:pPr>
      <w:r>
        <w:rPr>
          <w:rFonts w:hint="eastAsia"/>
          <w:shd w:val="clear" w:color="auto" w:fill="FFFFFF"/>
        </w:rPr>
        <w:t>红旗水库</w:t>
      </w:r>
      <w:bookmarkStart w:id="156" w:name="_Hlk126597332"/>
      <w:r>
        <w:rPr>
          <w:rFonts w:hint="eastAsia"/>
          <w:shd w:val="clear" w:color="auto" w:fill="FFFFFF"/>
        </w:rPr>
        <w:t>水源地应急指挥部应</w:t>
      </w:r>
      <w:bookmarkStart w:id="157" w:name="_Hlk126339102"/>
      <w:r>
        <w:rPr>
          <w:rFonts w:hint="eastAsia"/>
          <w:shd w:val="clear" w:color="auto" w:fill="FFFFFF"/>
        </w:rPr>
        <w:t>及时</w:t>
      </w:r>
      <w:bookmarkStart w:id="158" w:name="_Hlk126336764"/>
      <w:r>
        <w:rPr>
          <w:rFonts w:hint="eastAsia"/>
          <w:shd w:val="clear" w:color="auto" w:fill="FFFFFF"/>
        </w:rPr>
        <w:t>向</w:t>
      </w:r>
      <w:bookmarkStart w:id="159" w:name="_Hlk126597758"/>
      <w:r>
        <w:rPr>
          <w:rFonts w:hint="eastAsia"/>
          <w:shd w:val="clear" w:color="auto" w:fill="FFFFFF"/>
        </w:rPr>
        <w:t>上级应急指挥部等报告事件进展和结果。由县生态环境局按照应急联动协调机制要求，及时向同级有关部门通报，并向县政府报告事件进展和结果。</w:t>
      </w:r>
      <w:bookmarkEnd w:id="156"/>
      <w:bookmarkEnd w:id="157"/>
      <w:bookmarkEnd w:id="158"/>
      <w:bookmarkEnd w:id="159"/>
    </w:p>
    <w:p>
      <w:pPr>
        <w:pStyle w:val="4"/>
        <w:ind w:firstLine="632"/>
      </w:pPr>
      <w:bookmarkStart w:id="160" w:name="_Toc6134"/>
      <w:bookmarkStart w:id="161" w:name="_Toc500948987"/>
      <w:bookmarkStart w:id="162" w:name="_Toc116914476"/>
      <w:bookmarkStart w:id="163" w:name="_Toc44411315"/>
      <w:bookmarkStart w:id="164" w:name="_Toc126335861"/>
      <w:r>
        <w:rPr>
          <w:rFonts w:hint="eastAsia"/>
        </w:rPr>
        <w:t>6</w:t>
      </w:r>
      <w:r>
        <w:t>.2事态研判</w:t>
      </w:r>
      <w:bookmarkEnd w:id="160"/>
      <w:bookmarkEnd w:id="161"/>
      <w:bookmarkEnd w:id="162"/>
      <w:bookmarkEnd w:id="163"/>
      <w:bookmarkEnd w:id="164"/>
    </w:p>
    <w:p>
      <w:pPr>
        <w:ind w:firstLine="632"/>
      </w:pPr>
      <w:r>
        <w:t>发布预警后，由</w:t>
      </w:r>
      <w:r>
        <w:rPr>
          <w:rFonts w:hint="eastAsia"/>
        </w:rPr>
        <w:t>红旗水库水源地</w:t>
      </w:r>
      <w:r>
        <w:t>应急指挥部指挥长按照水源地应急预案中列明的副指挥长迅速</w:t>
      </w:r>
      <w:r>
        <w:rPr>
          <w:rFonts w:hint="eastAsia"/>
        </w:rPr>
        <w:t>调动</w:t>
      </w:r>
      <w:r>
        <w:t>各个工作组，跟踪开展事态研判。</w:t>
      </w:r>
    </w:p>
    <w:p>
      <w:pPr>
        <w:ind w:firstLine="632"/>
      </w:pPr>
      <w:r>
        <w:t>事态研判包括但不限于以下内容：判断污染物进入</w:t>
      </w:r>
      <w:r>
        <w:rPr>
          <w:rFonts w:hint="eastAsia"/>
        </w:rPr>
        <w:t>水库</w:t>
      </w:r>
      <w:r>
        <w:t>的数量及种类性质、事故点下游水系分布（包括清洁水情况）、距离水源地取水口的距离和可能对水源地造成的危害，以及备用水源地情况。</w:t>
      </w:r>
    </w:p>
    <w:p>
      <w:pPr>
        <w:ind w:firstLine="632"/>
      </w:pPr>
      <w:r>
        <w:t>事态研判结果作为动态调整应急响应等级、制定应急处置方案、实施应急监测、开展污染源排查与处置、实施应急处置工作的重要依据。</w:t>
      </w:r>
    </w:p>
    <w:p>
      <w:pPr>
        <w:pStyle w:val="4"/>
        <w:ind w:firstLine="632"/>
      </w:pPr>
      <w:bookmarkStart w:id="165" w:name="_Toc126335862"/>
      <w:bookmarkStart w:id="166" w:name="_Toc116914477"/>
      <w:r>
        <w:rPr>
          <w:rFonts w:hint="eastAsia"/>
        </w:rPr>
        <w:t>6</w:t>
      </w:r>
      <w:r>
        <w:t>.3预警</w:t>
      </w:r>
      <w:bookmarkEnd w:id="123"/>
      <w:bookmarkEnd w:id="165"/>
      <w:bookmarkEnd w:id="166"/>
    </w:p>
    <w:p>
      <w:pPr>
        <w:pStyle w:val="5"/>
        <w:ind w:firstLine="632"/>
      </w:pPr>
      <w:bookmarkStart w:id="167" w:name="_Toc44411299"/>
      <w:bookmarkStart w:id="168" w:name="_Toc116914478"/>
      <w:r>
        <w:t>6.3.1预警分级</w:t>
      </w:r>
      <w:bookmarkEnd w:id="167"/>
      <w:bookmarkEnd w:id="168"/>
    </w:p>
    <w:p>
      <w:pPr>
        <w:ind w:firstLine="632"/>
        <w:rPr>
          <w:color w:val="000000"/>
        </w:rPr>
      </w:pPr>
      <w:r>
        <w:rPr>
          <w:rFonts w:hint="eastAsia"/>
          <w:color w:val="000000"/>
        </w:rPr>
        <w:t>根据饮用水水源地的重要性，突发环境事件的危害性，简化预警分级，有利于事件的应急响应和及时处置，红旗水库水源地突发环境事件预警分级应与沙坪镇人民政府有关突发环境事件应急预案的预警分级相互衔接。</w:t>
      </w:r>
    </w:p>
    <w:p>
      <w:pPr>
        <w:ind w:firstLine="632"/>
        <w:rPr>
          <w:color w:val="000000"/>
        </w:rPr>
      </w:pPr>
      <w:r>
        <w:rPr>
          <w:rFonts w:hint="eastAsia"/>
          <w:color w:val="000000"/>
        </w:rPr>
        <w:t>本预案将水源地突发环境事件预警分为橙色和红色两级预警。发布预警，即应采取预警行动或同时采取应急措施。一般发布橙色预警时，仅采取预警行动；发布红色预警时，在采取预警行动的同时，应启动应急措施。</w:t>
      </w:r>
    </w:p>
    <w:p>
      <w:pPr>
        <w:ind w:firstLine="634"/>
        <w:rPr>
          <w:color w:val="000000"/>
        </w:rPr>
      </w:pPr>
      <w:r>
        <w:rPr>
          <w:rFonts w:hint="eastAsia"/>
          <w:b/>
          <w:color w:val="000000"/>
        </w:rPr>
        <w:t>橙色预警</w:t>
      </w:r>
      <w:r>
        <w:rPr>
          <w:rFonts w:hint="eastAsia"/>
          <w:color w:val="000000"/>
        </w:rPr>
        <w:t>：当污染物迁移至水源地应急预案适用的地域范围，但水源保护区或其连接水体尚未受到污染，或是污染物已进入水源保护区上游连接水体，但研判认为对水源地水质影响可能较小、可能不影响取水时，为橙色预警。</w:t>
      </w:r>
    </w:p>
    <w:p>
      <w:pPr>
        <w:ind w:firstLine="634"/>
        <w:rPr>
          <w:color w:val="000000"/>
        </w:rPr>
      </w:pPr>
      <w:r>
        <w:rPr>
          <w:rFonts w:hint="eastAsia"/>
          <w:b/>
          <w:color w:val="000000"/>
        </w:rPr>
        <w:t>红色预警</w:t>
      </w:r>
      <w:r>
        <w:rPr>
          <w:rFonts w:hint="eastAsia"/>
          <w:color w:val="000000"/>
        </w:rPr>
        <w:t>：当污染物已进入（或出现在）水源保护区或其上游连接水体，且研判认为对水源地水质影响可能较大时、可能影响取水时，为红色预警。</w:t>
      </w:r>
    </w:p>
    <w:p>
      <w:pPr>
        <w:pStyle w:val="5"/>
        <w:ind w:firstLine="632"/>
      </w:pPr>
      <w:bookmarkStart w:id="169" w:name="_Toc44411300"/>
      <w:bookmarkStart w:id="170" w:name="_Toc116914479"/>
      <w:r>
        <w:t>6.3.2</w:t>
      </w:r>
      <w:bookmarkEnd w:id="169"/>
      <w:bookmarkEnd w:id="170"/>
      <w:r>
        <w:rPr>
          <w:rFonts w:hint="eastAsia"/>
        </w:rPr>
        <w:t>预警的启动条件</w:t>
      </w:r>
    </w:p>
    <w:p>
      <w:pPr>
        <w:ind w:firstLine="632"/>
        <w:rPr>
          <w:color w:val="000000"/>
        </w:rPr>
      </w:pPr>
      <w:r>
        <w:rPr>
          <w:rFonts w:hint="eastAsia"/>
          <w:color w:val="000000"/>
        </w:rPr>
        <w:t>（1）通过信息报告发现，在水源保护范围内发生突发环境事件。</w:t>
      </w:r>
    </w:p>
    <w:p>
      <w:pPr>
        <w:ind w:firstLine="632"/>
        <w:rPr>
          <w:color w:val="000000"/>
        </w:rPr>
      </w:pPr>
      <w:r>
        <w:rPr>
          <w:rFonts w:hint="eastAsia"/>
          <w:color w:val="000000"/>
        </w:rPr>
        <w:t>（2）通过监测发现，在水源保护范围内，出现水质监测指标超标或生物综合毒性异常，经实验室监（复）测确认的。</w:t>
      </w:r>
    </w:p>
    <w:p>
      <w:pPr>
        <w:ind w:firstLine="632"/>
        <w:rPr>
          <w:color w:val="000000"/>
        </w:rPr>
      </w:pPr>
      <w:r>
        <w:rPr>
          <w:rFonts w:hint="eastAsia"/>
          <w:color w:val="000000"/>
        </w:rPr>
        <w:t>（3）通过观察发现，水源保护范围水体感官性状异常，即水体出现异常颜色或气味的。</w:t>
      </w:r>
    </w:p>
    <w:p>
      <w:pPr>
        <w:ind w:firstLine="632"/>
        <w:rPr>
          <w:color w:val="000000"/>
        </w:rPr>
      </w:pPr>
      <w:r>
        <w:rPr>
          <w:rFonts w:hint="eastAsia"/>
          <w:color w:val="000000"/>
        </w:rPr>
        <w:t>（4）通过观察发现，水源保护范围水体生态指标异常，即水面出现大面积死鱼或生物综合毒性异常并经实验室监测后确认的。</w:t>
      </w:r>
    </w:p>
    <w:p>
      <w:pPr>
        <w:pStyle w:val="5"/>
        <w:ind w:firstLine="632"/>
      </w:pPr>
      <w:bookmarkStart w:id="171" w:name="_Toc44411301"/>
      <w:bookmarkStart w:id="172" w:name="_Toc116914480"/>
      <w:r>
        <w:t>6.3.3</w:t>
      </w:r>
      <w:bookmarkEnd w:id="171"/>
      <w:bookmarkEnd w:id="172"/>
      <w:r>
        <w:rPr>
          <w:rFonts w:hint="eastAsia"/>
        </w:rPr>
        <w:t>发布预警和预警级别调整</w:t>
      </w:r>
    </w:p>
    <w:p>
      <w:pPr>
        <w:ind w:firstLine="632"/>
        <w:rPr>
          <w:color w:val="000000"/>
        </w:rPr>
      </w:pPr>
      <w:r>
        <w:rPr>
          <w:rFonts w:hint="eastAsia"/>
          <w:color w:val="000000"/>
        </w:rPr>
        <w:t>红旗水库水源地应急指挥部根据汇集、研判、上报的饮用水水源地突发环境事件信息，研判可能发生的突发环境事件级别，</w:t>
      </w:r>
      <w:bookmarkStart w:id="173" w:name="_Hlk126336880"/>
      <w:bookmarkStart w:id="174" w:name="_Hlk126597381"/>
      <w:r>
        <w:rPr>
          <w:rFonts w:hint="eastAsia"/>
          <w:color w:val="000000"/>
        </w:rPr>
        <w:t>通过电话、短信、传真等方式及时向上级应急指挥部报告，并应及时按规定报告县政府值班室（023-74512345）。</w:t>
      </w:r>
      <w:bookmarkEnd w:id="173"/>
    </w:p>
    <w:p>
      <w:pPr>
        <w:ind w:firstLine="632"/>
        <w:rPr>
          <w:color w:val="000000"/>
        </w:rPr>
      </w:pPr>
      <w:r>
        <w:rPr>
          <w:rFonts w:hint="eastAsia"/>
          <w:color w:val="000000"/>
        </w:rPr>
        <w:t>发布预警信息，通知相关应急工作组进入预警状态。</w:t>
      </w:r>
    </w:p>
    <w:p>
      <w:pPr>
        <w:ind w:firstLine="632"/>
        <w:rPr>
          <w:color w:val="000000"/>
        </w:rPr>
      </w:pPr>
      <w:r>
        <w:rPr>
          <w:rFonts w:hint="eastAsia"/>
          <w:color w:val="000000"/>
        </w:rPr>
        <w:t>橙色预警由红旗水库</w:t>
      </w:r>
      <w:bookmarkStart w:id="175" w:name="_Hlk126336898"/>
      <w:bookmarkStart w:id="176" w:name="_Hlk126339047"/>
      <w:r>
        <w:rPr>
          <w:rFonts w:hint="eastAsia"/>
          <w:color w:val="000000"/>
        </w:rPr>
        <w:t>水源地应急指挥部</w:t>
      </w:r>
      <w:bookmarkEnd w:id="175"/>
      <w:r>
        <w:rPr>
          <w:rFonts w:hint="eastAsia"/>
          <w:color w:val="000000"/>
        </w:rPr>
        <w:t>发布</w:t>
      </w:r>
      <w:bookmarkEnd w:id="176"/>
      <w:r>
        <w:rPr>
          <w:rFonts w:hint="eastAsia"/>
          <w:color w:val="000000"/>
        </w:rPr>
        <w:t>。红色预警由红旗水库</w:t>
      </w:r>
      <w:bookmarkStart w:id="177" w:name="_Hlk126339058"/>
      <w:r>
        <w:rPr>
          <w:rFonts w:hint="eastAsia"/>
          <w:color w:val="000000"/>
        </w:rPr>
        <w:t>水源地应急指挥部提出申请，报垫江县人民政府发布。</w:t>
      </w:r>
      <w:bookmarkEnd w:id="174"/>
      <w:bookmarkEnd w:id="177"/>
    </w:p>
    <w:p>
      <w:pPr>
        <w:ind w:firstLine="632"/>
        <w:rPr>
          <w:color w:val="000000"/>
        </w:rPr>
      </w:pPr>
      <w:r>
        <w:rPr>
          <w:rFonts w:hint="eastAsia"/>
          <w:color w:val="000000"/>
        </w:rPr>
        <w:t>预警信息发布后，可根据事态发展、采取措施的效果，适时调整预警级别并再次发布。</w:t>
      </w:r>
    </w:p>
    <w:p>
      <w:pPr>
        <w:ind w:firstLine="632"/>
        <w:rPr>
          <w:color w:val="000000"/>
        </w:rPr>
      </w:pPr>
      <w:r>
        <w:rPr>
          <w:rFonts w:hint="eastAsia"/>
          <w:color w:val="000000"/>
        </w:rPr>
        <w:t>预警发布的对象，应主要针对组织实施预警行动和应急处置行动的部门和单位。</w:t>
      </w:r>
    </w:p>
    <w:p>
      <w:pPr>
        <w:ind w:firstLine="632"/>
        <w:rPr>
          <w:color w:val="000000"/>
        </w:rPr>
      </w:pPr>
      <w:r>
        <w:rPr>
          <w:rFonts w:hint="eastAsia"/>
          <w:color w:val="000000"/>
        </w:rPr>
        <w:t>预警信息的发布、调整和解除可通过广播、电视、报刊、短信、网络、报警器或组织人员通知住户等方式进行，对老、幼、病、残、孕等特殊人群和警报盲区应当采取有针对性的公告方式。</w:t>
      </w:r>
    </w:p>
    <w:p>
      <w:pPr>
        <w:pStyle w:val="5"/>
        <w:ind w:firstLine="632"/>
      </w:pPr>
      <w:bookmarkStart w:id="178" w:name="_Toc44411302"/>
      <w:bookmarkStart w:id="179" w:name="_Toc116914481"/>
      <w:r>
        <w:t>6.3.4可能发布预警的条件</w:t>
      </w:r>
      <w:bookmarkEnd w:id="178"/>
      <w:bookmarkEnd w:id="179"/>
    </w:p>
    <w:p>
      <w:pPr>
        <w:ind w:firstLine="632"/>
        <w:rPr>
          <w:color w:val="000000"/>
        </w:rPr>
      </w:pPr>
      <w:r>
        <w:rPr>
          <w:color w:val="000000"/>
        </w:rPr>
        <w:t>（</w:t>
      </w:r>
      <w:r>
        <w:rPr>
          <w:rFonts w:hint="eastAsia"/>
          <w:color w:val="000000"/>
        </w:rPr>
        <w:t>1</w:t>
      </w:r>
      <w:r>
        <w:rPr>
          <w:color w:val="000000"/>
        </w:rPr>
        <w:t>）当饮用水水源地保护区、汇水区域内道路发生交通事故导致油类物质或危险化学品泄漏至饮用水水源地时；</w:t>
      </w:r>
    </w:p>
    <w:p>
      <w:pPr>
        <w:ind w:firstLine="632"/>
        <w:rPr>
          <w:color w:val="000000"/>
        </w:rPr>
      </w:pPr>
      <w:r>
        <w:rPr>
          <w:color w:val="000000"/>
        </w:rPr>
        <w:t>（</w:t>
      </w:r>
      <w:r>
        <w:rPr>
          <w:rFonts w:hint="eastAsia"/>
          <w:color w:val="000000"/>
        </w:rPr>
        <w:t>2</w:t>
      </w:r>
      <w:r>
        <w:rPr>
          <w:color w:val="000000"/>
        </w:rPr>
        <w:t>）当饮用水水源地保护区、汇水区域内农业面源污染、生活源污染突出，可能造成饮用水源地污染事故时；</w:t>
      </w:r>
    </w:p>
    <w:p>
      <w:pPr>
        <w:ind w:firstLine="632"/>
        <w:rPr>
          <w:color w:val="000000"/>
        </w:rPr>
      </w:pPr>
      <w:r>
        <w:rPr>
          <w:color w:val="000000"/>
        </w:rPr>
        <w:t>（</w:t>
      </w:r>
      <w:r>
        <w:rPr>
          <w:rFonts w:hint="eastAsia"/>
          <w:color w:val="000000"/>
        </w:rPr>
        <w:t>3</w:t>
      </w:r>
      <w:r>
        <w:rPr>
          <w:color w:val="000000"/>
        </w:rPr>
        <w:t>）当饮用水水源地水质的监测数据发生异常或超过常规监测数值时（参考标准：《地表水环境质量标准》（GB3838-2002）III类水标准）；</w:t>
      </w:r>
    </w:p>
    <w:p>
      <w:pPr>
        <w:ind w:firstLine="632"/>
        <w:rPr>
          <w:color w:val="000000"/>
        </w:rPr>
      </w:pPr>
      <w:r>
        <w:rPr>
          <w:color w:val="000000"/>
        </w:rPr>
        <w:t>（</w:t>
      </w:r>
      <w:r>
        <w:rPr>
          <w:rFonts w:hint="eastAsia"/>
          <w:color w:val="000000"/>
        </w:rPr>
        <w:t>4</w:t>
      </w:r>
      <w:r>
        <w:rPr>
          <w:color w:val="000000"/>
        </w:rPr>
        <w:t>）当水厂的取水水质监测数据异常时（参考标准：《地表水环境质量标准》（GB3838-2002）III类水标准）；</w:t>
      </w:r>
    </w:p>
    <w:p>
      <w:pPr>
        <w:ind w:firstLine="632"/>
        <w:rPr>
          <w:color w:val="000000"/>
        </w:rPr>
      </w:pPr>
      <w:r>
        <w:rPr>
          <w:color w:val="000000"/>
        </w:rPr>
        <w:t>（</w:t>
      </w:r>
      <w:r>
        <w:rPr>
          <w:rFonts w:hint="eastAsia"/>
          <w:color w:val="000000"/>
        </w:rPr>
        <w:t>5</w:t>
      </w:r>
      <w:r>
        <w:rPr>
          <w:color w:val="000000"/>
        </w:rPr>
        <w:t>）当饮用水水源地发生故意投毒等恶性事件时；</w:t>
      </w:r>
    </w:p>
    <w:p>
      <w:pPr>
        <w:ind w:firstLine="632"/>
        <w:rPr>
          <w:color w:val="000000"/>
        </w:rPr>
      </w:pPr>
      <w:r>
        <w:rPr>
          <w:color w:val="000000"/>
        </w:rPr>
        <w:t>（</w:t>
      </w:r>
      <w:r>
        <w:rPr>
          <w:rFonts w:hint="eastAsia"/>
          <w:color w:val="000000"/>
        </w:rPr>
        <w:t>6</w:t>
      </w:r>
      <w:r>
        <w:rPr>
          <w:color w:val="000000"/>
        </w:rPr>
        <w:t>）当发生暴雨、洪水、地震、水土流失等自然灾害可能引发水源地水质异常时；</w:t>
      </w:r>
    </w:p>
    <w:p>
      <w:pPr>
        <w:ind w:firstLine="632"/>
        <w:rPr>
          <w:color w:val="000000"/>
        </w:rPr>
      </w:pPr>
      <w:r>
        <w:rPr>
          <w:color w:val="000000"/>
        </w:rPr>
        <w:t>（</w:t>
      </w:r>
      <w:r>
        <w:rPr>
          <w:rFonts w:hint="eastAsia"/>
          <w:color w:val="000000"/>
        </w:rPr>
        <w:t>7</w:t>
      </w:r>
      <w:r>
        <w:rPr>
          <w:color w:val="000000"/>
        </w:rPr>
        <w:t>）当发现有污水排入、水面有异常漂浮物、取水颜色异常等；</w:t>
      </w:r>
    </w:p>
    <w:p>
      <w:pPr>
        <w:ind w:firstLine="632"/>
        <w:rPr>
          <w:color w:val="000000"/>
        </w:rPr>
      </w:pPr>
      <w:r>
        <w:rPr>
          <w:color w:val="000000"/>
        </w:rPr>
        <w:t>（</w:t>
      </w:r>
      <w:r>
        <w:rPr>
          <w:rFonts w:hint="eastAsia"/>
          <w:color w:val="000000"/>
        </w:rPr>
        <w:t>8</w:t>
      </w:r>
      <w:r>
        <w:rPr>
          <w:color w:val="000000"/>
        </w:rPr>
        <w:t>）其他需要发布预警的情况。</w:t>
      </w:r>
    </w:p>
    <w:p>
      <w:pPr>
        <w:pStyle w:val="5"/>
        <w:ind w:firstLine="632"/>
      </w:pPr>
      <w:bookmarkStart w:id="180" w:name="_Toc44411303"/>
      <w:bookmarkStart w:id="181" w:name="_Toc116914482"/>
      <w:r>
        <w:t>6.3.5预警行动</w:t>
      </w:r>
      <w:bookmarkEnd w:id="180"/>
      <w:bookmarkEnd w:id="181"/>
    </w:p>
    <w:p>
      <w:pPr>
        <w:ind w:firstLine="632"/>
        <w:rPr>
          <w:color w:val="000000"/>
        </w:rPr>
      </w:pPr>
      <w:r>
        <w:rPr>
          <w:color w:val="000000"/>
        </w:rPr>
        <w:t>进入预警状态后，应当采取以下措施：</w:t>
      </w:r>
    </w:p>
    <w:p>
      <w:pPr>
        <w:ind w:firstLine="632"/>
        <w:rPr>
          <w:color w:val="000000"/>
        </w:rPr>
      </w:pPr>
      <w:r>
        <w:rPr>
          <w:rFonts w:hint="eastAsia"/>
          <w:color w:val="000000"/>
        </w:rPr>
        <w:t>（1）</w:t>
      </w:r>
      <w:r>
        <w:rPr>
          <w:color w:val="000000"/>
        </w:rPr>
        <w:t>启动预案。下达启动水源地应急预案的命令。</w:t>
      </w:r>
    </w:p>
    <w:p>
      <w:pPr>
        <w:ind w:firstLine="632"/>
        <w:rPr>
          <w:color w:val="000000"/>
        </w:rPr>
      </w:pPr>
      <w:r>
        <w:rPr>
          <w:rFonts w:hint="eastAsia"/>
          <w:color w:val="000000"/>
        </w:rPr>
        <w:t>（2）</w:t>
      </w:r>
      <w:r>
        <w:rPr>
          <w:color w:val="000000"/>
        </w:rPr>
        <w:t>实时研判。对预警信息及突发事件进展情况进行实时分析研判，预估突发环境事件的性质、可能受影响的饮用水源、影响人群和地理范围和危害程度。</w:t>
      </w:r>
    </w:p>
    <w:p>
      <w:pPr>
        <w:ind w:firstLine="632"/>
        <w:rPr>
          <w:color w:val="000000"/>
        </w:rPr>
      </w:pPr>
      <w:r>
        <w:rPr>
          <w:rFonts w:hint="eastAsia"/>
          <w:color w:val="000000"/>
        </w:rPr>
        <w:t>（3）</w:t>
      </w:r>
      <w:r>
        <w:rPr>
          <w:color w:val="000000"/>
        </w:rPr>
        <w:t>应急准备。通知</w:t>
      </w:r>
      <w:r>
        <w:rPr>
          <w:rFonts w:hint="eastAsia"/>
          <w:color w:val="000000"/>
        </w:rPr>
        <w:t>红旗水库水源地</w:t>
      </w:r>
      <w:r>
        <w:rPr>
          <w:color w:val="000000"/>
        </w:rPr>
        <w:t>应急指挥部中的有关单位和人员做好应急准备，进入待命状态，必要时到达现场开展相关工作，做好应急准备，并调集应急物资和设备。通知水源地对应的供水单位进入待命状态，做好停止取水、深度处理、低压供水或启动备用水源等准备。开展应急监测或做好应急监测准备，密切观测饮用水水源地水质的变化，组织开展制水环节水质检查，观测水源细菌及其他微生物变化情况。</w:t>
      </w:r>
    </w:p>
    <w:p>
      <w:pPr>
        <w:ind w:firstLine="632"/>
        <w:rPr>
          <w:color w:val="000000"/>
        </w:rPr>
      </w:pPr>
      <w:r>
        <w:rPr>
          <w:rFonts w:hint="eastAsia"/>
          <w:color w:val="000000"/>
        </w:rPr>
        <w:t>（4）</w:t>
      </w:r>
      <w:r>
        <w:rPr>
          <w:color w:val="000000"/>
        </w:rPr>
        <w:t>防范处置。迅速采取有效处置措施，堵截连通水体，在水源地设置警示标志。</w:t>
      </w:r>
    </w:p>
    <w:p>
      <w:pPr>
        <w:ind w:firstLine="632"/>
        <w:rPr>
          <w:color w:val="000000"/>
        </w:rPr>
      </w:pPr>
      <w:r>
        <w:rPr>
          <w:rFonts w:hint="eastAsia"/>
          <w:color w:val="000000"/>
        </w:rPr>
        <w:t>（5）</w:t>
      </w:r>
      <w:r>
        <w:rPr>
          <w:color w:val="000000"/>
        </w:rPr>
        <w:t>启动备水。通知供水单位做好水源和清水储备工作；告知公众适当储备饮用水</w:t>
      </w:r>
      <w:r>
        <w:rPr>
          <w:rFonts w:hint="eastAsia"/>
          <w:color w:val="000000"/>
        </w:rPr>
        <w:t>。</w:t>
      </w:r>
    </w:p>
    <w:p>
      <w:pPr>
        <w:pStyle w:val="5"/>
        <w:ind w:firstLine="632"/>
      </w:pPr>
      <w:bookmarkStart w:id="182" w:name="_Toc44411304"/>
      <w:bookmarkStart w:id="183" w:name="_Toc116914483"/>
      <w:r>
        <w:t>6.3.6预警解除</w:t>
      </w:r>
      <w:bookmarkEnd w:id="182"/>
      <w:bookmarkEnd w:id="183"/>
    </w:p>
    <w:p>
      <w:pPr>
        <w:ind w:firstLine="632"/>
      </w:pPr>
      <w:r>
        <w:rPr>
          <w:rFonts w:hint="eastAsia"/>
        </w:rPr>
        <w:t>当引起预警的条件消除和各类隐患排除后，水源地水质及供水不会受到影响时，由发布预警的部门下达预警解除指令，终止已经采取的有关行动和措施。具体要求详见本预案6.8“响应终止”章节。</w:t>
      </w:r>
    </w:p>
    <w:p>
      <w:pPr>
        <w:pStyle w:val="4"/>
        <w:ind w:firstLine="632"/>
      </w:pPr>
      <w:bookmarkStart w:id="184" w:name="_Toc44411305"/>
      <w:bookmarkStart w:id="185" w:name="_Toc116914484"/>
      <w:bookmarkStart w:id="186" w:name="_Toc126335863"/>
      <w:r>
        <w:rPr>
          <w:rFonts w:hint="eastAsia"/>
        </w:rPr>
        <w:t>6</w:t>
      </w:r>
      <w:r>
        <w:t>.4分级响应</w:t>
      </w:r>
      <w:bookmarkEnd w:id="184"/>
      <w:bookmarkEnd w:id="185"/>
      <w:bookmarkEnd w:id="186"/>
    </w:p>
    <w:p>
      <w:pPr>
        <w:ind w:firstLine="632"/>
        <w:rPr>
          <w:szCs w:val="32"/>
        </w:rPr>
      </w:pPr>
      <w:r>
        <w:rPr>
          <w:color w:val="000000"/>
        </w:rPr>
        <w:t>应急处置实行属地管辖、分级响应、分级处置原则。</w:t>
      </w:r>
      <w:r>
        <w:t>当接到水源地突发环境事故报告后，应根据事件初步确认事故等级，实施水源地突发环境事件分级响应：</w:t>
      </w:r>
    </w:p>
    <w:p>
      <w:pPr>
        <w:ind w:firstLine="632" w:firstLineChars="0"/>
      </w:pPr>
      <w:r>
        <w:t>（1）为一般（</w:t>
      </w:r>
      <w:r>
        <w:rPr>
          <w:rFonts w:eastAsia="宋体"/>
        </w:rPr>
        <w:t>Ⅳ</w:t>
      </w:r>
      <w:r>
        <w:t>级）饮用水源突发环境事件时，</w:t>
      </w:r>
      <w:r>
        <w:rPr>
          <w:rFonts w:hint="eastAsia"/>
        </w:rPr>
        <w:t>沙坪镇人民</w:t>
      </w:r>
      <w:r>
        <w:t>政府立即启动《</w:t>
      </w:r>
      <w:r>
        <w:rPr>
          <w:rFonts w:hint="eastAsia"/>
        </w:rPr>
        <w:t>垫江县沙坪镇红旗</w:t>
      </w:r>
      <w:r>
        <w:rPr>
          <w:color w:val="000000"/>
          <w:szCs w:val="32"/>
        </w:rPr>
        <w:t>水库</w:t>
      </w:r>
      <w:r>
        <w:rPr>
          <w:rFonts w:hint="eastAsia"/>
          <w:color w:val="000000"/>
          <w:szCs w:val="32"/>
        </w:rPr>
        <w:t>沙坪</w:t>
      </w:r>
      <w:r>
        <w:rPr>
          <w:color w:val="000000"/>
          <w:szCs w:val="32"/>
        </w:rPr>
        <w:t>水厂水源地</w:t>
      </w:r>
      <w:r>
        <w:t>突发环境事件应急预案》，开展先期处置，并将情况报告给</w:t>
      </w:r>
      <w:r>
        <w:rPr>
          <w:rFonts w:hint="eastAsia"/>
        </w:rPr>
        <w:t>县</w:t>
      </w:r>
      <w:r>
        <w:rPr>
          <w:rFonts w:hint="eastAsia"/>
          <w:color w:val="000000"/>
        </w:rPr>
        <w:t>政府</w:t>
      </w:r>
      <w:r>
        <w:t>，同时</w:t>
      </w:r>
      <w:r>
        <w:rPr>
          <w:rFonts w:hint="eastAsia"/>
        </w:rPr>
        <w:t>抄</w:t>
      </w:r>
      <w:r>
        <w:t>报</w:t>
      </w:r>
      <w:r>
        <w:rPr>
          <w:rFonts w:hint="eastAsia"/>
        </w:rPr>
        <w:t>县</w:t>
      </w:r>
      <w:r>
        <w:t>生态环境局和</w:t>
      </w:r>
      <w:r>
        <w:rPr>
          <w:rFonts w:hint="eastAsia"/>
        </w:rPr>
        <w:t>县</w:t>
      </w:r>
      <w:r>
        <w:t>级</w:t>
      </w:r>
      <w:r>
        <w:rPr>
          <w:rFonts w:hint="eastAsia"/>
        </w:rPr>
        <w:t>其他</w:t>
      </w:r>
      <w:r>
        <w:t>有关部门。</w:t>
      </w:r>
    </w:p>
    <w:p>
      <w:pPr>
        <w:ind w:firstLine="632"/>
      </w:pPr>
      <w:r>
        <w:rPr>
          <w:rFonts w:hint="eastAsia"/>
        </w:rPr>
        <w:t>当县政府启动《垫江县突发环境事件应急预案》后，沙坪镇人民政府</w:t>
      </w:r>
      <w:r>
        <w:t>接受</w:t>
      </w:r>
      <w:r>
        <w:rPr>
          <w:rFonts w:hint="eastAsia"/>
        </w:rPr>
        <w:t>县</w:t>
      </w:r>
      <w:r>
        <w:rPr>
          <w:color w:val="000000"/>
        </w:rPr>
        <w:t>应急指挥部</w:t>
      </w:r>
      <w:r>
        <w:t>指令，继续负责或配合</w:t>
      </w:r>
      <w:r>
        <w:rPr>
          <w:rFonts w:hint="eastAsia"/>
        </w:rPr>
        <w:t>县</w:t>
      </w:r>
      <w:r>
        <w:rPr>
          <w:color w:val="000000"/>
        </w:rPr>
        <w:t>政府授权部门负责指挥、组织处置，事故责任单位和有关部门按照各自职责，分工负责，紧密配合，迅速有效开展应急救援和善后工作。必要时可直接由</w:t>
      </w:r>
      <w:r>
        <w:rPr>
          <w:rFonts w:hint="eastAsia"/>
          <w:color w:val="000000"/>
        </w:rPr>
        <w:t>县</w:t>
      </w:r>
      <w:r>
        <w:rPr>
          <w:color w:val="000000"/>
        </w:rPr>
        <w:t>政府负责组织处置。</w:t>
      </w:r>
    </w:p>
    <w:p>
      <w:pPr>
        <w:ind w:firstLine="632"/>
      </w:pPr>
      <w:r>
        <w:t>（2）</w:t>
      </w:r>
      <w:r>
        <w:rPr>
          <w:rFonts w:hint="eastAsia"/>
        </w:rPr>
        <w:t>为较大（</w:t>
      </w:r>
      <w:r>
        <w:t>Ⅲ</w:t>
      </w:r>
      <w:r>
        <w:rPr>
          <w:rFonts w:hint="eastAsia"/>
        </w:rPr>
        <w:t>级）饮用水源突发环境事件时，沙坪镇人民政府立马启动《垫江县沙坪镇红旗</w:t>
      </w:r>
      <w:r>
        <w:rPr>
          <w:color w:val="000000"/>
          <w:szCs w:val="32"/>
        </w:rPr>
        <w:t>水库</w:t>
      </w:r>
      <w:r>
        <w:rPr>
          <w:rFonts w:hint="eastAsia"/>
          <w:color w:val="000000"/>
          <w:szCs w:val="32"/>
        </w:rPr>
        <w:t>沙坪</w:t>
      </w:r>
      <w:r>
        <w:rPr>
          <w:color w:val="000000"/>
          <w:szCs w:val="32"/>
        </w:rPr>
        <w:t>水厂水源地</w:t>
      </w:r>
      <w:r>
        <w:t>突发环境事件应急预案</w:t>
      </w:r>
      <w:r>
        <w:rPr>
          <w:rFonts w:hint="eastAsia"/>
        </w:rPr>
        <w:t>》，开展先期处置，并将情况报告给县政府，同时抄报县生态环境局和县级其他有关部门。待县应急指挥部到达现场后进行指挥权移交。</w:t>
      </w:r>
    </w:p>
    <w:p>
      <w:pPr>
        <w:ind w:firstLine="632"/>
      </w:pPr>
      <w:r>
        <w:rPr>
          <w:rFonts w:hint="eastAsia"/>
        </w:rPr>
        <w:t>当县政府启动《垫江县突发环境事件应急预案》后，由县政府负责组织处置，沙坪镇人民政府、县级有关部门及事故发生单位按照各自职责，分工负责，密切配合，迅速有效开展应急救援和善后工作。</w:t>
      </w:r>
    </w:p>
    <w:p>
      <w:pPr>
        <w:ind w:firstLine="632"/>
      </w:pPr>
      <w:r>
        <w:t>（3）为重大（</w:t>
      </w:r>
      <w:r>
        <w:rPr>
          <w:rFonts w:eastAsia="宋体"/>
        </w:rPr>
        <w:t>Ⅱ</w:t>
      </w:r>
      <w:r>
        <w:t>级）和特别重大（</w:t>
      </w:r>
      <w:r>
        <w:rPr>
          <w:rFonts w:eastAsia="宋体"/>
        </w:rPr>
        <w:t>Ⅰ</w:t>
      </w:r>
      <w:r>
        <w:t>级）饮用水源突发环境事件时，</w:t>
      </w:r>
      <w:r>
        <w:rPr>
          <w:rFonts w:hint="eastAsia"/>
        </w:rPr>
        <w:t>红旗水库</w:t>
      </w:r>
      <w:bookmarkStart w:id="187" w:name="_Hlk126336958"/>
      <w:r>
        <w:rPr>
          <w:rFonts w:hint="eastAsia"/>
        </w:rPr>
        <w:t>水源地</w:t>
      </w:r>
      <w:bookmarkStart w:id="188" w:name="_Hlk126598299"/>
      <w:r>
        <w:rPr>
          <w:rFonts w:hint="eastAsia"/>
        </w:rPr>
        <w:t>应急指挥部按照县</w:t>
      </w:r>
      <w:r>
        <w:t>政府负责</w:t>
      </w:r>
      <w:r>
        <w:rPr>
          <w:rFonts w:hint="eastAsia"/>
        </w:rPr>
        <w:t>开展</w:t>
      </w:r>
      <w:r>
        <w:t>先期处置，待</w:t>
      </w:r>
      <w:r>
        <w:rPr>
          <w:rFonts w:hint="eastAsia"/>
        </w:rPr>
        <w:t>县政府或</w:t>
      </w:r>
      <w:r>
        <w:t>市政府应急处置工作组到达现场后进行指挥权移交。</w:t>
      </w:r>
      <w:bookmarkEnd w:id="187"/>
      <w:bookmarkEnd w:id="188"/>
    </w:p>
    <w:p>
      <w:pPr>
        <w:pStyle w:val="4"/>
        <w:ind w:firstLine="632"/>
      </w:pPr>
      <w:bookmarkStart w:id="189" w:name="_Toc533670497"/>
      <w:bookmarkStart w:id="190" w:name="_Toc533671654"/>
      <w:bookmarkStart w:id="191" w:name="_Toc533841570"/>
      <w:bookmarkStart w:id="192" w:name="_Toc44411316"/>
      <w:bookmarkStart w:id="193" w:name="_Toc116914485"/>
      <w:bookmarkStart w:id="194" w:name="_Toc126335864"/>
      <w:r>
        <w:rPr>
          <w:rFonts w:hint="eastAsia"/>
        </w:rPr>
        <w:t>6</w:t>
      </w:r>
      <w:r>
        <w:t>.5应急监测</w:t>
      </w:r>
      <w:bookmarkEnd w:id="189"/>
      <w:bookmarkEnd w:id="190"/>
      <w:bookmarkEnd w:id="191"/>
      <w:bookmarkEnd w:id="192"/>
      <w:bookmarkEnd w:id="193"/>
      <w:bookmarkEnd w:id="194"/>
    </w:p>
    <w:p>
      <w:pPr>
        <w:pStyle w:val="5"/>
        <w:ind w:firstLine="632"/>
      </w:pPr>
      <w:bookmarkStart w:id="195" w:name="_Toc116914486"/>
      <w:bookmarkStart w:id="196" w:name="_Toc44411317"/>
      <w:r>
        <w:t>6.5.1应急监测机构</w:t>
      </w:r>
      <w:bookmarkEnd w:id="195"/>
    </w:p>
    <w:p>
      <w:pPr>
        <w:ind w:firstLine="632"/>
      </w:pPr>
      <w:r>
        <w:rPr>
          <w:rFonts w:hint="eastAsia"/>
          <w:color w:val="000000"/>
          <w:szCs w:val="32"/>
        </w:rPr>
        <w:t>综合协调组负责协调县生态环境监测站、县水利局制定应急监测方案，县生态环境监测站加强饮用水水体、土壤等应急监测工作，县水利局加强自来水原水、出厂水、末端水等应急监测工作，</w:t>
      </w:r>
      <w:r>
        <w:rPr>
          <w:color w:val="000000"/>
          <w:szCs w:val="32"/>
        </w:rPr>
        <w:t>确定污染范围和程度，掌握污染态势，为突发环境事件应急决策提供依据。</w:t>
      </w:r>
    </w:p>
    <w:p>
      <w:pPr>
        <w:pStyle w:val="5"/>
        <w:ind w:firstLine="632"/>
      </w:pPr>
      <w:bookmarkStart w:id="197" w:name="_bookmark51"/>
      <w:bookmarkEnd w:id="197"/>
      <w:bookmarkStart w:id="198" w:name="_Toc116914487"/>
      <w:r>
        <w:t>6.5.2应急监测方案</w:t>
      </w:r>
      <w:bookmarkEnd w:id="198"/>
    </w:p>
    <w:p>
      <w:pPr>
        <w:ind w:firstLine="632"/>
      </w:pPr>
      <w:r>
        <w:rPr>
          <w:rFonts w:hint="eastAsia"/>
        </w:rPr>
        <w:t>应急监测方案内容应包括：依据的技术规范、实施人员、布点原则、采样频次和注意事项、监测结果记录和报告方式等。</w:t>
      </w:r>
    </w:p>
    <w:p>
      <w:pPr>
        <w:ind w:firstLine="632"/>
      </w:pPr>
      <w:r>
        <w:rPr>
          <w:rFonts w:hint="eastAsia"/>
        </w:rPr>
        <w:t>应急监测重点是抓住污染带前锋、峰值位置和浓度变化，对污染带移动过程形成动态监控。当污染来源不明时，应先通过应急监测确定特征污染物成分，再进行污染源排查和先期处置。</w:t>
      </w:r>
    </w:p>
    <w:p>
      <w:pPr>
        <w:ind w:firstLine="632"/>
      </w:pPr>
      <w:r>
        <w:rPr>
          <w:rFonts w:hint="eastAsia"/>
        </w:rPr>
        <w:t>应急监测原则和注意事项包括但不限于一下内容。</w:t>
      </w:r>
    </w:p>
    <w:p>
      <w:pPr>
        <w:ind w:firstLine="632"/>
      </w:pPr>
      <w:r>
        <w:rPr>
          <w:rFonts w:hint="eastAsia"/>
        </w:rPr>
        <w:t>（1）监测范围。应尽量涵盖水源地突发环境事件的污染范围，并包括事件可能影响区域和污染物本底浓度的监测区域。</w:t>
      </w:r>
    </w:p>
    <w:p>
      <w:pPr>
        <w:ind w:firstLine="632"/>
      </w:pPr>
      <w:r>
        <w:rPr>
          <w:rFonts w:hint="eastAsia"/>
        </w:rPr>
        <w:t>（2）监测布点和频次</w:t>
      </w:r>
    </w:p>
    <w:p>
      <w:pPr>
        <w:ind w:firstLine="632"/>
      </w:pPr>
      <w:r>
        <w:rPr>
          <w:rFonts w:hint="eastAsia"/>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1小时）同步采样监测方式，动态监控污染带移动过程。</w:t>
      </w:r>
    </w:p>
    <w:p>
      <w:pPr>
        <w:ind w:firstLine="632"/>
      </w:pPr>
      <w:r>
        <w:rPr>
          <w:rFonts w:hint="eastAsia"/>
        </w:rPr>
        <w:t>针对流动源、非点源突发环境事件，应对事发区域下游水域、下游水源地附近进行加密跟踪监测。</w:t>
      </w:r>
    </w:p>
    <w:p>
      <w:pPr>
        <w:ind w:firstLine="632"/>
      </w:pPr>
      <w:r>
        <w:rPr>
          <w:rFonts w:hint="eastAsia"/>
        </w:rPr>
        <w:t>（3）现场采样。制定采样计划和准备采样器材。采样量应同时满足快速监测、实验室监测和留样的需要。采样频次应考虑污染程度和现场水文条件。</w:t>
      </w:r>
    </w:p>
    <w:p>
      <w:pPr>
        <w:ind w:firstLine="632"/>
      </w:pPr>
      <w:r>
        <w:rPr>
          <w:rFonts w:hint="eastAsia"/>
        </w:rPr>
        <w:t>（4）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pPr>
        <w:ind w:firstLine="632"/>
      </w:pPr>
      <w:r>
        <w:rPr>
          <w:rFonts w:hint="eastAsia"/>
        </w:rPr>
        <w:t>（5）分析方法。具备现场监测条件的监测项目，应尽量在现场监测。必要时，备份样品送实验室监（复）测，以确认现场定性或定量监测结果的准确性。</w:t>
      </w:r>
    </w:p>
    <w:p>
      <w:pPr>
        <w:ind w:firstLine="632"/>
      </w:pPr>
      <w:r>
        <w:rPr>
          <w:rFonts w:hint="eastAsia"/>
        </w:rPr>
        <w:t>（6）监测结果与数据报告。应按照有关监测技术规范进行数据处理。监测结果可用定性、半定量或定量方式报出。监测结果可采用电话、传真、快报、简报、监测报告等形式第一时间报告现场应急指挥部。</w:t>
      </w:r>
    </w:p>
    <w:p>
      <w:pPr>
        <w:ind w:firstLine="632"/>
      </w:pPr>
      <w:r>
        <w:rPr>
          <w:rFonts w:hint="eastAsia"/>
        </w:rPr>
        <w:t>（7）监测数据的质量保证。应急监测过程中的样品采集、现场监测、实验室监测、数据统计等环节，都应有质量控制措施，并对应急监测报告实行三级审核。</w:t>
      </w:r>
    </w:p>
    <w:p>
      <w:pPr>
        <w:pStyle w:val="4"/>
        <w:ind w:firstLine="632"/>
      </w:pPr>
      <w:bookmarkStart w:id="199" w:name="_Toc116914488"/>
      <w:bookmarkStart w:id="200" w:name="_Toc126335865"/>
      <w:r>
        <w:rPr>
          <w:rFonts w:hint="eastAsia"/>
        </w:rPr>
        <w:t>6</w:t>
      </w:r>
      <w:r>
        <w:t>.6污染源排查与处置</w:t>
      </w:r>
      <w:bookmarkEnd w:id="196"/>
      <w:bookmarkEnd w:id="199"/>
      <w:bookmarkEnd w:id="200"/>
    </w:p>
    <w:p>
      <w:pPr>
        <w:pStyle w:val="5"/>
        <w:ind w:firstLine="632"/>
      </w:pPr>
      <w:bookmarkStart w:id="201" w:name="_Toc44411318"/>
      <w:bookmarkStart w:id="202" w:name="_Toc116914489"/>
      <w:r>
        <w:t>6.6.1明确排查对象</w:t>
      </w:r>
      <w:bookmarkEnd w:id="201"/>
      <w:bookmarkEnd w:id="202"/>
    </w:p>
    <w:p>
      <w:pPr>
        <w:ind w:firstLine="632"/>
        <w:rPr>
          <w:color w:val="000000"/>
        </w:rPr>
      </w:pPr>
      <w:r>
        <w:rPr>
          <w:color w:val="000000"/>
        </w:rPr>
        <w:t>事故调查组根据事件的类别、性质作具体处理。总体步骤如下：</w:t>
      </w:r>
    </w:p>
    <w:p>
      <w:pPr>
        <w:ind w:firstLine="632"/>
      </w:pPr>
      <w:r>
        <w:rPr>
          <w:color w:val="000000"/>
        </w:rPr>
        <w:t>（1）开展现场调查工作：包括污染源调查、环境监测、环境监察。通过照相、摄像、录音等方式进行取证，做好监督文书有</w:t>
      </w:r>
      <w:r>
        <w:t>关记录。</w:t>
      </w:r>
    </w:p>
    <w:p>
      <w:pPr>
        <w:ind w:firstLine="632"/>
      </w:pPr>
      <w:r>
        <w:t>（2）对未知污染物引发的饮用水水源地突发环境事件，通过事件现场的一些特征，如气味、挥发性、在水中的反应特性、颜色及对周围环境、作物的影响；或者发生中毒反应的人员或动物的特殊症状，初步判定主要污染物。</w:t>
      </w:r>
      <w:r>
        <w:rPr>
          <w:rFonts w:hint="eastAsia"/>
        </w:rPr>
        <w:t xml:space="preserve"> </w:t>
      </w:r>
    </w:p>
    <w:p>
      <w:pPr>
        <w:ind w:firstLine="632"/>
      </w:pPr>
      <w:r>
        <w:t>（3）对已知污染物突发环境事件，针对不同类型污染物的排查重点和对象如下：</w:t>
      </w:r>
    </w:p>
    <w:p>
      <w:pPr>
        <w:ind w:firstLine="632"/>
      </w:pPr>
      <w:bookmarkStart w:id="203" w:name="_Hlk120816029"/>
      <w:bookmarkStart w:id="204" w:name="_Hlk120817713"/>
      <w:r>
        <w:rPr>
          <w:rFonts w:hint="eastAsia" w:ascii="宋体" w:hAnsi="宋体" w:eastAsia="宋体" w:cs="宋体"/>
        </w:rPr>
        <w:t>①</w:t>
      </w:r>
      <w:r>
        <w:t>营养盐类污染：重点排查农田种植户，调查农药化肥施用异常情况。</w:t>
      </w:r>
    </w:p>
    <w:p>
      <w:pPr>
        <w:ind w:firstLine="632"/>
      </w:pPr>
      <w:r>
        <w:rPr>
          <w:rFonts w:hint="eastAsia"/>
        </w:rPr>
        <w:t>②细菌类污染：重点排查农村居民点，调查农村生活污染的异常情况。</w:t>
      </w:r>
    </w:p>
    <w:p>
      <w:pPr>
        <w:ind w:firstLine="632"/>
      </w:pPr>
      <w:r>
        <w:rPr>
          <w:rFonts w:hint="eastAsia"/>
        </w:rPr>
        <w:t>③</w:t>
      </w:r>
      <w:r>
        <w:t>农药类污染：重点排查果园种植园（户）、农田种植户，调查农药施用和流失的异常情况。</w:t>
      </w:r>
    </w:p>
    <w:p>
      <w:pPr>
        <w:ind w:firstLine="632"/>
      </w:pPr>
      <w:r>
        <w:rPr>
          <w:rFonts w:hint="eastAsia"/>
        </w:rPr>
        <w:t>④石油类污染：</w:t>
      </w:r>
      <w:bookmarkStart w:id="205" w:name="_Hlk121229812"/>
      <w:r>
        <w:rPr>
          <w:rFonts w:hint="eastAsia"/>
        </w:rPr>
        <w:t>重点排查运输车辆的异常情况。</w:t>
      </w:r>
      <w:bookmarkEnd w:id="203"/>
      <w:bookmarkEnd w:id="205"/>
    </w:p>
    <w:bookmarkEnd w:id="204"/>
    <w:p>
      <w:pPr>
        <w:ind w:firstLine="632"/>
        <w:rPr>
          <w:color w:val="000000"/>
        </w:rPr>
      </w:pPr>
      <w:r>
        <w:rPr>
          <w:color w:val="000000"/>
        </w:rPr>
        <w:t>（4）进一步了解事件的情况：包括污染发生的时间、地点、经过和可能原因、污染来源及可能污染物、排污量、水流路径及波及范围、目前调水和输水情况、污染暴露人群数量及分布、疾病的分布以及目前的应急处理情况等，对污染情况进行分析研判，并提出处置方案。</w:t>
      </w:r>
      <w:bookmarkStart w:id="206" w:name="_Toc395877935"/>
      <w:bookmarkStart w:id="207" w:name="_Toc396482256"/>
      <w:bookmarkStart w:id="208" w:name="_Toc395877692"/>
      <w:bookmarkStart w:id="209" w:name="_Toc398105653"/>
    </w:p>
    <w:p>
      <w:pPr>
        <w:pStyle w:val="5"/>
        <w:ind w:firstLine="632"/>
      </w:pPr>
      <w:bookmarkStart w:id="210" w:name="_Toc44411319"/>
      <w:bookmarkStart w:id="211" w:name="_Toc116914490"/>
      <w:r>
        <w:t>6.6.2切断污染源</w:t>
      </w:r>
      <w:bookmarkEnd w:id="210"/>
      <w:bookmarkEnd w:id="211"/>
    </w:p>
    <w:p>
      <w:pPr>
        <w:adjustRightInd w:val="0"/>
        <w:snapToGrid w:val="0"/>
        <w:ind w:firstLine="632"/>
        <w:rPr>
          <w:color w:val="000000"/>
          <w:szCs w:val="32"/>
        </w:rPr>
      </w:pPr>
      <w:r>
        <w:rPr>
          <w:color w:val="000000"/>
          <w:szCs w:val="32"/>
        </w:rPr>
        <w:t>现场应急处置主要采取切断污染源、收集和围堵污染物等措施：</w:t>
      </w:r>
    </w:p>
    <w:p>
      <w:pPr>
        <w:ind w:firstLine="632"/>
        <w:rPr>
          <w:color w:val="000000"/>
        </w:rPr>
      </w:pPr>
      <w:r>
        <w:rPr>
          <w:shd w:val="clear" w:color="auto" w:fill="FFFFFF"/>
        </w:rPr>
        <w:t>（1）对道路交通运输过程中发生的流动源突发事件，可启动路面系统的导流槽、应急池或紧急设置围堰、闸坝等，对污染源进行围堵并收集污染物。</w:t>
      </w:r>
      <w:r>
        <w:rPr>
          <w:color w:val="000000"/>
        </w:rPr>
        <w:t>在汛期，还应充分考虑闸坝的安全性和防洪需要。</w:t>
      </w:r>
    </w:p>
    <w:p>
      <w:pPr>
        <w:ind w:firstLine="632"/>
        <w:rPr>
          <w:shd w:val="clear" w:color="auto" w:fill="FFFFFF"/>
        </w:rPr>
      </w:pPr>
      <w:r>
        <w:rPr>
          <w:shd w:val="clear" w:color="auto" w:fill="FFFFFF"/>
        </w:rPr>
        <w:t>（2）启动应急收集系统集中收集陆域污染物，设立拦截设施，防止污染物在陆域漫延，组织有关部门对污染物进行回收处置。</w:t>
      </w:r>
    </w:p>
    <w:p>
      <w:pPr>
        <w:ind w:firstLine="632"/>
        <w:rPr>
          <w:shd w:val="clear" w:color="auto" w:fill="FFFFFF"/>
        </w:rPr>
      </w:pPr>
      <w:r>
        <w:rPr>
          <w:shd w:val="clear" w:color="auto" w:fill="FFFFFF"/>
        </w:rPr>
        <w:t>（3）根据现场事态发展对扩散至水体的污染物进行处置。</w:t>
      </w:r>
      <w:bookmarkEnd w:id="206"/>
      <w:bookmarkEnd w:id="207"/>
      <w:bookmarkEnd w:id="208"/>
      <w:bookmarkEnd w:id="209"/>
    </w:p>
    <w:p>
      <w:pPr>
        <w:pStyle w:val="4"/>
        <w:ind w:firstLine="632"/>
      </w:pPr>
      <w:bookmarkStart w:id="212" w:name="_Toc44411320"/>
      <w:bookmarkStart w:id="213" w:name="_Toc116914491"/>
      <w:bookmarkStart w:id="214" w:name="_Toc126335866"/>
      <w:r>
        <w:rPr>
          <w:rFonts w:hint="eastAsia"/>
        </w:rPr>
        <w:t>6</w:t>
      </w:r>
      <w:r>
        <w:t>.7应急处置</w:t>
      </w:r>
      <w:bookmarkEnd w:id="212"/>
      <w:bookmarkEnd w:id="213"/>
      <w:bookmarkEnd w:id="214"/>
    </w:p>
    <w:p>
      <w:pPr>
        <w:ind w:firstLine="632"/>
      </w:pPr>
      <w:r>
        <w:rPr>
          <w:rFonts w:hint="eastAsia"/>
        </w:rPr>
        <w:t>红旗水库水源地</w:t>
      </w:r>
      <w:r>
        <w:t>应急指挥部积极调动相关应急专项工作组及相关单位，积极配合应急处置工作开展，将突发环境事件影响范围降至最小，经济损失降至最低，危害降至最小。</w:t>
      </w:r>
    </w:p>
    <w:p>
      <w:pPr>
        <w:pStyle w:val="5"/>
        <w:ind w:firstLine="632"/>
      </w:pPr>
      <w:bookmarkStart w:id="215" w:name="_Toc44411321"/>
      <w:bookmarkStart w:id="216" w:name="_Toc116914492"/>
      <w:r>
        <w:t>6.7.1现场处置方案</w:t>
      </w:r>
      <w:bookmarkEnd w:id="215"/>
      <w:bookmarkEnd w:id="216"/>
    </w:p>
    <w:p>
      <w:pPr>
        <w:ind w:firstLine="632"/>
        <w:rPr>
          <w:shd w:val="clear" w:color="auto" w:fill="FFFFFF"/>
        </w:rPr>
      </w:pPr>
      <w:r>
        <w:rPr>
          <w:shd w:val="clear" w:color="auto" w:fill="FFFFFF"/>
        </w:rPr>
        <w:t>现场处置方案包括但不限于以下内容：应急监测、污染处置措施、物资调集、应急队伍和人员安排、供水单位应对等。</w:t>
      </w:r>
    </w:p>
    <w:p>
      <w:pPr>
        <w:ind w:firstLine="632"/>
        <w:rPr>
          <w:shd w:val="clear" w:color="auto" w:fill="FFFFFF"/>
        </w:rPr>
      </w:pPr>
      <w:r>
        <w:rPr>
          <w:shd w:val="clear" w:color="auto" w:fill="FFFFFF"/>
        </w:rPr>
        <w:t>根据污染源类型，水源地突发环境事件的污染处置方案，及取水口应急处置方案如下：</w:t>
      </w:r>
    </w:p>
    <w:p>
      <w:pPr>
        <w:ind w:firstLine="632"/>
        <w:rPr>
          <w:shd w:val="clear" w:color="auto" w:fill="FFFFFF"/>
        </w:rPr>
      </w:pPr>
      <w:r>
        <w:rPr>
          <w:rFonts w:hint="eastAsia"/>
          <w:shd w:val="clear" w:color="auto" w:fill="FFFFFF"/>
        </w:rPr>
        <w:t>（1）农业面源污染</w:t>
      </w:r>
    </w:p>
    <w:p>
      <w:pPr>
        <w:ind w:firstLine="632"/>
        <w:rPr>
          <w:shd w:val="clear" w:color="auto" w:fill="FFFFFF"/>
        </w:rPr>
      </w:pPr>
      <w:r>
        <w:rPr>
          <w:rFonts w:hint="eastAsia"/>
          <w:shd w:val="clear" w:color="auto" w:fill="FFFFFF"/>
        </w:rPr>
        <w:t>开展现场调查，确认污染源位置及污染物种类；开展应急监测；采取截断等措施控制污染源。</w:t>
      </w:r>
    </w:p>
    <w:p>
      <w:pPr>
        <w:ind w:firstLine="632"/>
        <w:rPr>
          <w:shd w:val="clear" w:color="auto" w:fill="FFFFFF"/>
        </w:rPr>
      </w:pPr>
      <w:r>
        <w:rPr>
          <w:rFonts w:hint="eastAsia"/>
          <w:shd w:val="clear" w:color="auto" w:fill="FFFFFF"/>
        </w:rPr>
        <w:t>（</w:t>
      </w:r>
      <w:r>
        <w:rPr>
          <w:shd w:val="clear" w:color="auto" w:fill="FFFFFF"/>
        </w:rPr>
        <w:t>2</w:t>
      </w:r>
      <w:r>
        <w:rPr>
          <w:rFonts w:hint="eastAsia"/>
          <w:shd w:val="clear" w:color="auto" w:fill="FFFFFF"/>
        </w:rPr>
        <w:t>）生活源污染（生活污水、生活垃圾污染）</w:t>
      </w:r>
    </w:p>
    <w:p>
      <w:pPr>
        <w:ind w:firstLine="632"/>
        <w:rPr>
          <w:shd w:val="clear" w:color="auto" w:fill="FFFFFF"/>
        </w:rPr>
      </w:pPr>
      <w:r>
        <w:rPr>
          <w:rFonts w:hint="eastAsia"/>
          <w:shd w:val="clear" w:color="auto" w:fill="FFFFFF"/>
        </w:rPr>
        <w:t>利用事故池或建立围堰，对生活污水进行截流，避免其继续进入饮用水源地；对收集的生活污水进行集中处理。</w:t>
      </w:r>
    </w:p>
    <w:p>
      <w:pPr>
        <w:ind w:firstLine="632"/>
        <w:rPr>
          <w:color w:val="000000"/>
        </w:rPr>
      </w:pPr>
      <w:r>
        <w:t>（3）</w:t>
      </w:r>
      <w:r>
        <w:rPr>
          <w:color w:val="000000"/>
        </w:rPr>
        <w:t>投毒、自然灾害等意外事件</w:t>
      </w:r>
    </w:p>
    <w:p>
      <w:pPr>
        <w:ind w:firstLine="632"/>
      </w:pPr>
      <w:r>
        <w:t>①根据突发水环境事件分级启动响应应急预案；</w:t>
      </w:r>
    </w:p>
    <w:p>
      <w:pPr>
        <w:ind w:firstLine="632"/>
      </w:pPr>
      <w:r>
        <w:t>②根据投毒的污染物类型，采取应急救援，如为农药类，可采取以下措施：应急人员应佩戴全身防护用具，筑坝围隔污染区，用活性炭吸收未溶的农药，收集到安全场所用碱性溶液无害化处理。对污染区用生石灰或漂白粉处置，最后用活性炭进行吸附处理。</w:t>
      </w:r>
    </w:p>
    <w:p>
      <w:pPr>
        <w:ind w:firstLine="632"/>
      </w:pPr>
      <w:r>
        <w:t>③发生自然灾害等意外事件时，开展应急监测，根据应急监测结果，判断是否需中断取水。</w:t>
      </w:r>
    </w:p>
    <w:p>
      <w:pPr>
        <w:ind w:firstLine="632"/>
      </w:pPr>
      <w:r>
        <w:t>（4）取水口应急处置方案</w:t>
      </w:r>
    </w:p>
    <w:p>
      <w:pPr>
        <w:ind w:firstLine="632"/>
      </w:pPr>
      <w:r>
        <w:t>在发生饮用水突发环境时，</w:t>
      </w:r>
      <w:r>
        <w:rPr>
          <w:rFonts w:hint="eastAsia"/>
        </w:rPr>
        <w:t>红旗水库水源地</w:t>
      </w:r>
      <w:r>
        <w:t>应急指挥部应组织有关部门通过迁移取水口，实施污染物消减工程措施，完善调水、补水、停水方案，强化在线监控，增加应急监测指标等方式，提高取水安全保障能力。</w:t>
      </w:r>
    </w:p>
    <w:p>
      <w:pPr>
        <w:pStyle w:val="5"/>
        <w:ind w:firstLine="632"/>
      </w:pPr>
      <w:bookmarkStart w:id="217" w:name="_Toc12879"/>
      <w:bookmarkStart w:id="218" w:name="_Toc116914493"/>
      <w:r>
        <w:rPr>
          <w:rFonts w:hint="eastAsia"/>
        </w:rPr>
        <w:t>6</w:t>
      </w:r>
      <w:r>
        <w:t>.7.2</w:t>
      </w:r>
      <w:r>
        <w:rPr>
          <w:rFonts w:hint="eastAsia"/>
        </w:rPr>
        <w:t>应急处置程序</w:t>
      </w:r>
      <w:bookmarkEnd w:id="217"/>
      <w:bookmarkEnd w:id="218"/>
    </w:p>
    <w:p>
      <w:pPr>
        <w:ind w:firstLine="632"/>
      </w:pPr>
      <w:r>
        <w:rPr>
          <w:rFonts w:hint="eastAsia"/>
        </w:rPr>
        <w:t>（1）应急队伍在到达现场后首先组织人员救治病人，进一步了解事件情况，包括污染发生的时间、地点和可能原因，以及污染来源和所影响的范围等。根据现场处置方案进行现场处置，组织现场抢险，尽可能减少污染物的产生，防止污染物扩散，并根据现场情况划定警戒线范围。</w:t>
      </w:r>
    </w:p>
    <w:p>
      <w:pPr>
        <w:ind w:firstLine="632"/>
      </w:pPr>
      <w:r>
        <w:rPr>
          <w:rFonts w:hint="eastAsia"/>
        </w:rPr>
        <w:t>（2）安全保卫组采取安全防范措施保护好事故现场，负责维护现场秩序和事故现场证据收集工作。</w:t>
      </w:r>
    </w:p>
    <w:p>
      <w:pPr>
        <w:ind w:firstLine="632"/>
      </w:pPr>
      <w:r>
        <w:rPr>
          <w:rFonts w:hint="eastAsia"/>
        </w:rPr>
        <w:t>（3）因人员抢救、防止事态扩大、恢复生产以及疏通交通等原因，需要移动现场物件的，应当作好标志，采取拍照、摄像、绘图等方法详细记录事故现场原貌，妥善保存现场重要痕迹、物证。</w:t>
      </w:r>
    </w:p>
    <w:p>
      <w:pPr>
        <w:ind w:firstLine="632"/>
      </w:pPr>
      <w:r>
        <w:rPr>
          <w:rFonts w:hint="eastAsia"/>
        </w:rPr>
        <w:t>（4）污染警戒区域的划定及消息发布。根据污染监测数据和现场调查，红旗水库水源地应急指挥部拟定污染警戒区域（划定禁止取水区域），发布警报决定；召开事故处理分析会，确定对外宣传统一口径，指派专人对新闻媒体发布污染事故消息。</w:t>
      </w:r>
    </w:p>
    <w:p>
      <w:pPr>
        <w:ind w:firstLine="632"/>
      </w:pPr>
      <w:bookmarkStart w:id="219" w:name="_Hlk126337081"/>
      <w:r>
        <w:rPr>
          <w:rFonts w:hint="eastAsia"/>
        </w:rPr>
        <w:t>（5）提出调查分析结论和处置方案。应急现场处置组根据现场调查和查阅有关资料并参考专家意见，提出调查分析结论，制订污染处置方案，对事故影响范围内的污染物进行处理处置，以减少污染。</w:t>
      </w:r>
    </w:p>
    <w:p>
      <w:pPr>
        <w:ind w:firstLine="632"/>
      </w:pPr>
      <w:r>
        <w:rPr>
          <w:rFonts w:hint="eastAsia"/>
        </w:rPr>
        <w:t>（6）当取水口发生污染，有义务立即通知取水单位，告知污染情况，防止造成事故的扩大。</w:t>
      </w:r>
    </w:p>
    <w:p>
      <w:pPr>
        <w:ind w:firstLine="632"/>
      </w:pPr>
      <w:r>
        <w:rPr>
          <w:rFonts w:hint="eastAsia"/>
        </w:rPr>
        <w:t>（7）污染跟踪。现场处置组协助县生态环境监测站根据监测数据和其他有关数据编制分析图表，预测污染迁移强度、速度和影响范围，及时报告污染事故处理动态和下一步对策，直至污染事故警报解除。</w:t>
      </w:r>
    </w:p>
    <w:p>
      <w:pPr>
        <w:ind w:firstLine="632"/>
      </w:pPr>
      <w:r>
        <w:rPr>
          <w:rFonts w:hint="eastAsia"/>
        </w:rPr>
        <w:t>（8）调查取证。事故调查组根据污染事故的性质，组织相关部门调查、分析事故原因。实地取证，对涉案人员做调查询问笔录，立案查处。</w:t>
      </w:r>
      <w:bookmarkEnd w:id="219"/>
    </w:p>
    <w:p>
      <w:pPr>
        <w:pStyle w:val="5"/>
        <w:ind w:firstLine="632"/>
      </w:pPr>
      <w:bookmarkStart w:id="220" w:name="_Toc44411322"/>
      <w:bookmarkStart w:id="221" w:name="_Toc116914494"/>
      <w:r>
        <w:t>6.7.3供水保障措施</w:t>
      </w:r>
      <w:bookmarkEnd w:id="220"/>
      <w:bookmarkEnd w:id="221"/>
    </w:p>
    <w:p>
      <w:pPr>
        <w:ind w:firstLine="632"/>
        <w:rPr>
          <w:color w:val="000000"/>
        </w:rPr>
      </w:pPr>
      <w:bookmarkStart w:id="222" w:name="_Toc398023203"/>
      <w:bookmarkStart w:id="223" w:name="_Toc398105655"/>
      <w:r>
        <w:rPr>
          <w:color w:val="000000"/>
        </w:rPr>
        <w:t>水质检测发现水质受到污染，应立即分析污染源性质，加强水质检测频率，迅速排查污染来源，消除污染。</w:t>
      </w:r>
    </w:p>
    <w:p>
      <w:pPr>
        <w:ind w:firstLine="632"/>
        <w:rPr>
          <w:color w:val="000000"/>
        </w:rPr>
      </w:pPr>
      <w:r>
        <w:rPr>
          <w:color w:val="000000"/>
        </w:rPr>
        <w:t>对技术可控制的水体污染实行二级或三级强化处理手段，对供水管网进行消毒处理。若污染的水源经水厂处理可达到国家水质标准，供水公司应启动取水、供水应急预案，加大处理力度和水质检测频率，降低污染物浓度和影响程度。如加入洗消剂、提高一、二次加氯量，用活性炭处理过高有机污染物、强化混凝、过滤工艺等措施，确保出厂水质达标。同时，应密切注意水源水质的变化，视水质状况减少或直至停止取用该水源水。</w:t>
      </w:r>
    </w:p>
    <w:p>
      <w:pPr>
        <w:ind w:firstLine="632"/>
      </w:pPr>
      <w:r>
        <w:rPr>
          <w:color w:val="000000"/>
        </w:rPr>
        <w:t>根据分析，若污染的水源经水厂处理不能达到国家水质标准，且危害人体健康，必须立即停止从该水源地取水。通过从备用水源地紧急取水或其他渠道提供安全饮用水，并加大宣传和引导力度，避免群众恐慌。必要时通知下游水厂停水或采取保护措施。</w:t>
      </w:r>
    </w:p>
    <w:bookmarkEnd w:id="222"/>
    <w:bookmarkEnd w:id="223"/>
    <w:p>
      <w:pPr>
        <w:pStyle w:val="5"/>
        <w:ind w:firstLine="632"/>
      </w:pPr>
      <w:bookmarkStart w:id="224" w:name="_Toc44411323"/>
      <w:bookmarkStart w:id="225" w:name="_Toc116914495"/>
      <w:r>
        <w:t>6.7.4物资调集及应急设施启用</w:t>
      </w:r>
      <w:bookmarkEnd w:id="224"/>
      <w:bookmarkEnd w:id="225"/>
    </w:p>
    <w:p>
      <w:pPr>
        <w:ind w:firstLine="632"/>
      </w:pPr>
      <w:r>
        <w:rPr>
          <w:rFonts w:hint="eastAsia"/>
        </w:rPr>
        <w:t>后勤保障</w:t>
      </w:r>
      <w:r>
        <w:t>组积极调配供水管件、应急水源、清污、除油、解毒、防酸碱、防腐蚀等试剂材料、快速检验检测设备、隔离、救援物资、防护器材等应急设备，保障事发当时居民饮水需求和安全。</w:t>
      </w:r>
    </w:p>
    <w:p>
      <w:pPr>
        <w:ind w:firstLine="632"/>
      </w:pPr>
      <w:r>
        <w:t>应急物资、装备和设施包括但不限于以下内容。</w:t>
      </w:r>
    </w:p>
    <w:p>
      <w:pPr>
        <w:ind w:firstLine="632"/>
      </w:pPr>
      <w:r>
        <w:t>（1）对水体内污染物进行打捞和拦截的物资、装备和设施，如救援打捞设备、油毡、围油栏、筑坝材料、溢出控制装备等。</w:t>
      </w:r>
    </w:p>
    <w:p>
      <w:pPr>
        <w:ind w:firstLine="632"/>
      </w:pPr>
      <w:r>
        <w:t>（2）控制和消除污染物的物资、装备和设施，如中和剂、灭火剂、解毒剂、吸收剂等。</w:t>
      </w:r>
    </w:p>
    <w:p>
      <w:pPr>
        <w:ind w:firstLine="632"/>
      </w:pPr>
      <w:r>
        <w:t>（3）移除和拦截移动源的装备和设施，如吊车、临时围堰、导流槽、应急池等。</w:t>
      </w:r>
    </w:p>
    <w:p>
      <w:pPr>
        <w:ind w:firstLine="632"/>
      </w:pPr>
      <w:r>
        <w:t>（4）雨水口垃圾清运和拦截的装备和设施，如格栅、清运车、临时设置的导流槽等。</w:t>
      </w:r>
    </w:p>
    <w:p>
      <w:pPr>
        <w:ind w:firstLine="632"/>
      </w:pPr>
      <w:r>
        <w:t>（5）对污染物进行拦截、导流、分流及降解的应急工程设施，如拦截坝、节制闸、导流渠、分流沟、前置库等。</w:t>
      </w:r>
    </w:p>
    <w:p>
      <w:pPr>
        <w:pStyle w:val="5"/>
        <w:ind w:firstLine="632"/>
      </w:pPr>
      <w:bookmarkStart w:id="226" w:name="_Toc44411324"/>
      <w:bookmarkStart w:id="227" w:name="_Toc116914496"/>
      <w:r>
        <w:t>6.7.5舆情监测与信息发布</w:t>
      </w:r>
      <w:bookmarkEnd w:id="226"/>
      <w:bookmarkEnd w:id="227"/>
    </w:p>
    <w:p>
      <w:pPr>
        <w:ind w:firstLine="632"/>
      </w:pPr>
      <w:r>
        <w:rPr>
          <w:rFonts w:hint="eastAsia"/>
        </w:rPr>
        <w:t>宣传报告组</w:t>
      </w:r>
      <w:r>
        <w:t>主动、及时、准确、客观的将突发环境事件和应对工作信息及时现场发布和上报上级部门，澄清不实信息，回应社会关切，正确引导社会舆论。</w:t>
      </w:r>
    </w:p>
    <w:p>
      <w:pPr>
        <w:pStyle w:val="4"/>
        <w:ind w:firstLine="632"/>
      </w:pPr>
      <w:bookmarkStart w:id="228" w:name="_Toc44411325"/>
      <w:bookmarkStart w:id="229" w:name="_Toc116914497"/>
      <w:bookmarkStart w:id="230" w:name="_Toc126335867"/>
      <w:r>
        <w:rPr>
          <w:rFonts w:hint="eastAsia"/>
        </w:rPr>
        <w:t>6</w:t>
      </w:r>
      <w:r>
        <w:t>.8响应终止</w:t>
      </w:r>
      <w:bookmarkEnd w:id="228"/>
      <w:bookmarkEnd w:id="229"/>
      <w:bookmarkEnd w:id="230"/>
    </w:p>
    <w:p>
      <w:pPr>
        <w:ind w:firstLine="632"/>
      </w:pPr>
      <w:r>
        <w:t>符合下列条件之一，即可结束应急响应。</w:t>
      </w:r>
    </w:p>
    <w:p>
      <w:pPr>
        <w:ind w:firstLine="632"/>
      </w:pPr>
      <w:r>
        <w:t xml:space="preserve">（1）进入水源保护区陆域范围的污染物已成功围堵，且清运至水源保护区外，未向水域扩散时。 </w:t>
      </w:r>
    </w:p>
    <w:p>
      <w:pPr>
        <w:ind w:firstLine="632"/>
      </w:pPr>
      <w:r>
        <w:t>（2）进入水源保护区水域范围的污染团已成功拦截或导流至水源保护区外，没有向取水口扩散的风险，且水质监测结果稳定达标。</w:t>
      </w:r>
    </w:p>
    <w:p>
      <w:pPr>
        <w:ind w:firstLine="632"/>
      </w:pPr>
      <w:r>
        <w:t>（3）水质监测结果尚未稳定达标，但根据专家建议可恢复正常取水时</w:t>
      </w:r>
      <w:r>
        <w:rPr>
          <w:rFonts w:hint="eastAsia"/>
        </w:rPr>
        <w:t>。</w:t>
      </w:r>
    </w:p>
    <w:p>
      <w:pPr>
        <w:ind w:firstLine="632"/>
      </w:pPr>
      <w:r>
        <w:t>现场应急指挥部提出解除意见，由</w:t>
      </w:r>
      <w:r>
        <w:rPr>
          <w:rFonts w:hint="eastAsia"/>
        </w:rPr>
        <w:t>红旗水库水源地</w:t>
      </w:r>
      <w:r>
        <w:t>应急指挥部报</w:t>
      </w:r>
      <w:r>
        <w:rPr>
          <w:rFonts w:hint="eastAsia"/>
        </w:rPr>
        <w:t>县</w:t>
      </w:r>
      <w:r>
        <w:t>政府批准后，宣布应急状态解除。</w:t>
      </w:r>
    </w:p>
    <w:p>
      <w:pPr>
        <w:pStyle w:val="3"/>
        <w:ind w:firstLine="632"/>
      </w:pPr>
      <w:bookmarkStart w:id="231" w:name="_Toc44411326"/>
      <w:bookmarkStart w:id="232" w:name="_Toc116914498"/>
      <w:bookmarkStart w:id="233" w:name="_Toc126335868"/>
      <w:r>
        <w:rPr>
          <w:rFonts w:hint="eastAsia"/>
        </w:rPr>
        <w:t>7</w:t>
      </w:r>
      <w:r>
        <w:t>后期</w:t>
      </w:r>
      <w:bookmarkEnd w:id="231"/>
      <w:r>
        <w:t>处置</w:t>
      </w:r>
      <w:bookmarkEnd w:id="232"/>
      <w:bookmarkEnd w:id="233"/>
    </w:p>
    <w:p>
      <w:pPr>
        <w:pStyle w:val="4"/>
        <w:ind w:firstLine="632"/>
      </w:pPr>
      <w:bookmarkStart w:id="234" w:name="_Toc44411327"/>
      <w:bookmarkStart w:id="235" w:name="_Toc116914499"/>
      <w:bookmarkStart w:id="236" w:name="_Toc126335869"/>
      <w:r>
        <w:rPr>
          <w:rFonts w:hint="eastAsia"/>
        </w:rPr>
        <w:t>7</w:t>
      </w:r>
      <w:r>
        <w:t>.1后期防控</w:t>
      </w:r>
      <w:bookmarkEnd w:id="234"/>
      <w:bookmarkEnd w:id="235"/>
      <w:bookmarkEnd w:id="236"/>
    </w:p>
    <w:p>
      <w:pPr>
        <w:ind w:firstLine="632"/>
      </w:pPr>
      <w:r>
        <w:t>响应终止后，</w:t>
      </w:r>
      <w:r>
        <w:rPr>
          <w:rFonts w:hint="eastAsia"/>
        </w:rPr>
        <w:t>应急现场处置</w:t>
      </w:r>
      <w:r>
        <w:t>组对造成水源地突发环境事件的环境风险物质或污染物进行妥善处置，保证环境风险物质或污染物不会造成二次污染，包括对泄漏的化学品等有害物质进行回收；部分污染物导流到水源地下游或其他区域，对区域的污染物进行清除等。</w:t>
      </w:r>
      <w:bookmarkStart w:id="237" w:name="_Hlk126337205"/>
      <w:bookmarkStart w:id="238" w:name="_Hlk126338732"/>
      <w:r>
        <w:rPr>
          <w:rFonts w:hint="eastAsia"/>
        </w:rPr>
        <w:t>并协助县生态环境局、县水利局等有关部门开展后期跟踪监测</w:t>
      </w:r>
      <w:bookmarkEnd w:id="237"/>
      <w:r>
        <w:rPr>
          <w:rFonts w:hint="eastAsia"/>
        </w:rPr>
        <w:t>。</w:t>
      </w:r>
      <w:bookmarkEnd w:id="238"/>
    </w:p>
    <w:p>
      <w:pPr>
        <w:pStyle w:val="4"/>
        <w:ind w:firstLine="632"/>
      </w:pPr>
      <w:bookmarkStart w:id="239" w:name="_Toc44411328"/>
      <w:bookmarkStart w:id="240" w:name="_Toc116914500"/>
      <w:bookmarkStart w:id="241" w:name="_Toc126335870"/>
      <w:r>
        <w:rPr>
          <w:rFonts w:hint="eastAsia"/>
        </w:rPr>
        <w:t>7</w:t>
      </w:r>
      <w:r>
        <w:t>.2事件调查</w:t>
      </w:r>
      <w:bookmarkEnd w:id="239"/>
      <w:bookmarkEnd w:id="240"/>
      <w:bookmarkEnd w:id="241"/>
    </w:p>
    <w:p>
      <w:pPr>
        <w:pStyle w:val="5"/>
        <w:ind w:firstLine="632"/>
      </w:pPr>
      <w:bookmarkStart w:id="242" w:name="_Toc490938992"/>
      <w:bookmarkStart w:id="243" w:name="_Toc44411329"/>
      <w:bookmarkStart w:id="244" w:name="_Toc116914501"/>
      <w:r>
        <w:t>7.2.1分级调查</w:t>
      </w:r>
      <w:bookmarkEnd w:id="242"/>
      <w:bookmarkEnd w:id="243"/>
      <w:bookmarkEnd w:id="244"/>
    </w:p>
    <w:p>
      <w:pPr>
        <w:ind w:firstLine="632"/>
      </w:pPr>
      <w:r>
        <w:rPr>
          <w:rFonts w:hint="eastAsia"/>
        </w:rPr>
        <w:t>一般事故由沙坪镇人民政府或县生态环境局牵头调查，确定事件调查成员单位，查明事件原因和性质，提出整改防范措施和处理建议，提交事故调查报告。事故调查实行备案制，一般事故需经县生态环境局审核后方可结案。</w:t>
      </w:r>
    </w:p>
    <w:p>
      <w:pPr>
        <w:ind w:firstLine="632"/>
      </w:pPr>
      <w:r>
        <w:rPr>
          <w:rFonts w:hint="eastAsia"/>
        </w:rPr>
        <w:t>较大事故由县政府负责牵头调查，特别重大和重大事件，由县政府按市政府要求组织相关部门协助上级部门调查。</w:t>
      </w:r>
    </w:p>
    <w:p>
      <w:pPr>
        <w:pStyle w:val="5"/>
        <w:ind w:firstLine="632"/>
      </w:pPr>
      <w:bookmarkStart w:id="245" w:name="_Toc490938993"/>
      <w:bookmarkStart w:id="246" w:name="_Toc44411330"/>
      <w:bookmarkStart w:id="247" w:name="_Toc116914502"/>
      <w:r>
        <w:rPr>
          <w:rFonts w:hint="eastAsia"/>
        </w:rPr>
        <w:t>7</w:t>
      </w:r>
      <w:r>
        <w:t>.2.2调查内容</w:t>
      </w:r>
      <w:bookmarkEnd w:id="245"/>
      <w:bookmarkEnd w:id="246"/>
      <w:bookmarkEnd w:id="247"/>
    </w:p>
    <w:p>
      <w:pPr>
        <w:ind w:firstLine="632"/>
      </w:pPr>
      <w:r>
        <w:t>按照</w:t>
      </w:r>
      <w:r>
        <w:rPr>
          <w:rFonts w:hint="eastAsia"/>
        </w:rPr>
        <w:t>生态环境部（</w:t>
      </w:r>
      <w:r>
        <w:t>原</w:t>
      </w:r>
      <w:r>
        <w:rPr>
          <w:rFonts w:hint="eastAsia"/>
        </w:rPr>
        <w:t>环境保护</w:t>
      </w:r>
      <w:r>
        <w:t>部</w:t>
      </w:r>
      <w:r>
        <w:rPr>
          <w:rFonts w:hint="eastAsia"/>
        </w:rPr>
        <w:t>）</w:t>
      </w:r>
      <w:r>
        <w:t>《突发环境事件调查处理办法》相关要求开展调查，主要内容如下：</w:t>
      </w:r>
    </w:p>
    <w:p>
      <w:pPr>
        <w:ind w:firstLine="632"/>
      </w:pPr>
      <w:r>
        <w:t>（1）事故发生单位的基本情况和事故发生的时间、地点及经过；</w:t>
      </w:r>
    </w:p>
    <w:p>
      <w:pPr>
        <w:ind w:firstLine="632"/>
      </w:pPr>
      <w:r>
        <w:t>（2）事故调查组的组成情况；</w:t>
      </w:r>
    </w:p>
    <w:p>
      <w:pPr>
        <w:ind w:firstLine="632"/>
      </w:pPr>
      <w:r>
        <w:t>（3）事故调查的简要经过；</w:t>
      </w:r>
    </w:p>
    <w:p>
      <w:pPr>
        <w:ind w:firstLine="632"/>
      </w:pPr>
      <w:r>
        <w:t>（4）人员伤亡情况和直接经济损失；</w:t>
      </w:r>
    </w:p>
    <w:p>
      <w:pPr>
        <w:ind w:firstLine="632"/>
      </w:pPr>
      <w:r>
        <w:t>（5）事故发生的直接原因、间接原因及认定依据；</w:t>
      </w:r>
    </w:p>
    <w:p>
      <w:pPr>
        <w:ind w:firstLine="632"/>
      </w:pPr>
      <w:r>
        <w:t>（6）事故性质；</w:t>
      </w:r>
    </w:p>
    <w:p>
      <w:pPr>
        <w:ind w:firstLine="632"/>
      </w:pPr>
      <w:r>
        <w:t>（7）事故责任者的责任、认定依据及对责任者的处理建议；</w:t>
      </w:r>
    </w:p>
    <w:p>
      <w:pPr>
        <w:ind w:firstLine="632"/>
      </w:pPr>
      <w:r>
        <w:t>（8）主要教训和改进工作的措施建议；</w:t>
      </w:r>
    </w:p>
    <w:p>
      <w:pPr>
        <w:ind w:firstLine="632"/>
        <w:rPr>
          <w:color w:val="000000"/>
          <w:szCs w:val="32"/>
        </w:rPr>
      </w:pPr>
      <w:r>
        <w:t>（9）其他需要报告的问题；</w:t>
      </w:r>
    </w:p>
    <w:p>
      <w:pPr>
        <w:ind w:firstLine="632"/>
      </w:pPr>
      <w:r>
        <w:t>（10）调查组全体成员签名。</w:t>
      </w:r>
    </w:p>
    <w:p>
      <w:pPr>
        <w:pStyle w:val="5"/>
        <w:ind w:firstLine="632"/>
      </w:pPr>
      <w:bookmarkStart w:id="248" w:name="_Toc44411331"/>
      <w:bookmarkStart w:id="249" w:name="_Toc116914503"/>
      <w:r>
        <w:rPr>
          <w:rFonts w:hint="eastAsia"/>
        </w:rPr>
        <w:t>7</w:t>
      </w:r>
      <w:r>
        <w:t>.2.3损害评估</w:t>
      </w:r>
      <w:bookmarkEnd w:id="248"/>
      <w:bookmarkEnd w:id="249"/>
    </w:p>
    <w:p>
      <w:pPr>
        <w:pStyle w:val="37"/>
        <w:widowControl w:val="0"/>
        <w:spacing w:line="600" w:lineRule="exact"/>
        <w:ind w:firstLine="632"/>
        <w:rPr>
          <w:color w:val="000000"/>
          <w:kern w:val="2"/>
          <w:szCs w:val="32"/>
        </w:rPr>
      </w:pPr>
      <w:bookmarkStart w:id="250" w:name="_Hlk126338481"/>
      <w:bookmarkStart w:id="251" w:name="_Hlk126337228"/>
      <w:r>
        <w:rPr>
          <w:color w:val="000000"/>
          <w:kern w:val="2"/>
          <w:szCs w:val="32"/>
        </w:rPr>
        <w:t>一般突发环境事件应急响应终止后，</w:t>
      </w:r>
      <w:r>
        <w:rPr>
          <w:rFonts w:hint="eastAsia"/>
          <w:color w:val="000000"/>
          <w:kern w:val="2"/>
          <w:szCs w:val="32"/>
        </w:rPr>
        <w:t>水源地应急指挥部</w:t>
      </w:r>
      <w:r>
        <w:rPr>
          <w:color w:val="000000"/>
          <w:kern w:val="2"/>
          <w:szCs w:val="32"/>
        </w:rPr>
        <w:t>应积极请求</w:t>
      </w:r>
      <w:r>
        <w:rPr>
          <w:rFonts w:hint="eastAsia"/>
          <w:color w:val="000000"/>
          <w:kern w:val="2"/>
          <w:szCs w:val="32"/>
        </w:rPr>
        <w:t>县生态环境局、县水利局等</w:t>
      </w:r>
      <w:r>
        <w:rPr>
          <w:color w:val="000000"/>
          <w:kern w:val="2"/>
          <w:szCs w:val="32"/>
        </w:rPr>
        <w:t>相关部门</w:t>
      </w:r>
      <w:r>
        <w:rPr>
          <w:rFonts w:hint="eastAsia"/>
          <w:color w:val="000000"/>
          <w:kern w:val="2"/>
          <w:szCs w:val="32"/>
        </w:rPr>
        <w:t>共同</w:t>
      </w:r>
      <w:r>
        <w:rPr>
          <w:color w:val="000000"/>
          <w:kern w:val="2"/>
          <w:szCs w:val="32"/>
        </w:rPr>
        <w:t>开展环境事件污染损害评估工作，并将评估结果向社会公布。评估结论作为事件调查处理定级、损害赔偿、生态环境恢复及重建的依据。</w:t>
      </w:r>
      <w:bookmarkEnd w:id="250"/>
    </w:p>
    <w:p>
      <w:pPr>
        <w:ind w:firstLine="632"/>
      </w:pPr>
      <w:bookmarkStart w:id="252" w:name="_Hlk126338472"/>
      <w:r>
        <w:rPr>
          <w:rFonts w:hint="eastAsia"/>
          <w:color w:val="000000"/>
          <w:szCs w:val="32"/>
        </w:rPr>
        <w:t>较大突发环境事件应急响应终止后，由垫江县应急指挥部牵头有关部门、涉事单位、水源地管理部门开展环境事件污染损害评估工作；并将评估结果向社会公布。评估结论作为事件调查处理定级、损害赔偿、生态环境恢复及重建的依据。</w:t>
      </w:r>
      <w:bookmarkEnd w:id="251"/>
      <w:bookmarkEnd w:id="252"/>
    </w:p>
    <w:p>
      <w:pPr>
        <w:pStyle w:val="5"/>
        <w:ind w:firstLine="632"/>
      </w:pPr>
      <w:bookmarkStart w:id="253" w:name="_Toc44411332"/>
      <w:bookmarkStart w:id="254" w:name="_Toc116914504"/>
      <w:r>
        <w:t>7.2.4善后处置</w:t>
      </w:r>
      <w:bookmarkEnd w:id="253"/>
      <w:bookmarkEnd w:id="254"/>
    </w:p>
    <w:p>
      <w:pPr>
        <w:ind w:firstLine="632"/>
      </w:pPr>
      <w:bookmarkStart w:id="255" w:name="_Hlk126338022"/>
      <w:bookmarkStart w:id="256" w:name="_Hlk126337244"/>
      <w:r>
        <w:rPr>
          <w:rFonts w:hint="eastAsia"/>
          <w:color w:val="000000"/>
          <w:szCs w:val="32"/>
        </w:rPr>
        <w:t>水源地应急指挥部按照县政府及县</w:t>
      </w:r>
      <w:r>
        <w:rPr>
          <w:color w:val="000000"/>
          <w:szCs w:val="32"/>
        </w:rPr>
        <w:t>级有关部门</w:t>
      </w:r>
      <w:r>
        <w:rPr>
          <w:rFonts w:hint="eastAsia"/>
          <w:color w:val="000000"/>
          <w:szCs w:val="32"/>
        </w:rPr>
        <w:t>规定，</w:t>
      </w:r>
      <w:r>
        <w:rPr>
          <w:color w:val="000000"/>
          <w:szCs w:val="32"/>
        </w:rPr>
        <w:t>及时组织制订补助、补偿、抚慰、抚恤、安置等工作方案；</w:t>
      </w:r>
      <w:bookmarkEnd w:id="255"/>
      <w:r>
        <w:rPr>
          <w:color w:val="000000"/>
          <w:szCs w:val="32"/>
        </w:rPr>
        <w:t>对受污染、破坏的饮用水源生态环境采取措施予以恢复，对清除污染效果进行评估；</w:t>
      </w:r>
      <w:bookmarkStart w:id="257" w:name="_Hlk126338002"/>
      <w:r>
        <w:rPr>
          <w:rFonts w:hint="eastAsia"/>
          <w:color w:val="000000"/>
          <w:szCs w:val="32"/>
        </w:rPr>
        <w:t>协助有关部门</w:t>
      </w:r>
      <w:r>
        <w:rPr>
          <w:color w:val="000000"/>
          <w:szCs w:val="32"/>
        </w:rPr>
        <w:t>督促</w:t>
      </w:r>
      <w:r>
        <w:rPr>
          <w:rFonts w:hint="eastAsia"/>
          <w:color w:val="000000"/>
          <w:szCs w:val="32"/>
        </w:rPr>
        <w:t>相关</w:t>
      </w:r>
      <w:r>
        <w:rPr>
          <w:color w:val="000000"/>
          <w:szCs w:val="32"/>
        </w:rPr>
        <w:t>保险公司切实做好保险理赔服务工作</w:t>
      </w:r>
      <w:bookmarkEnd w:id="257"/>
      <w:r>
        <w:rPr>
          <w:color w:val="000000"/>
          <w:szCs w:val="32"/>
        </w:rPr>
        <w:t>。</w:t>
      </w:r>
      <w:bookmarkEnd w:id="256"/>
    </w:p>
    <w:p>
      <w:pPr>
        <w:pStyle w:val="3"/>
        <w:ind w:firstLine="632"/>
      </w:pPr>
      <w:bookmarkStart w:id="258" w:name="_Toc44411333"/>
      <w:bookmarkStart w:id="259" w:name="_Toc116914505"/>
      <w:bookmarkStart w:id="260" w:name="_Toc126335871"/>
      <w:r>
        <w:rPr>
          <w:rFonts w:hint="eastAsia"/>
        </w:rPr>
        <w:t>8</w:t>
      </w:r>
      <w:r>
        <w:t>应急保障</w:t>
      </w:r>
      <w:bookmarkEnd w:id="258"/>
      <w:bookmarkEnd w:id="259"/>
      <w:bookmarkEnd w:id="260"/>
    </w:p>
    <w:p>
      <w:pPr>
        <w:pStyle w:val="4"/>
        <w:ind w:firstLine="632"/>
      </w:pPr>
      <w:bookmarkStart w:id="261" w:name="_Toc44411334"/>
      <w:bookmarkStart w:id="262" w:name="_Toc116914506"/>
      <w:bookmarkStart w:id="263" w:name="_Toc126335872"/>
      <w:r>
        <w:rPr>
          <w:rFonts w:hint="eastAsia"/>
        </w:rPr>
        <w:t>8</w:t>
      </w:r>
      <w:r>
        <w:t>.1通讯与信息保障</w:t>
      </w:r>
      <w:bookmarkEnd w:id="261"/>
      <w:bookmarkEnd w:id="262"/>
      <w:bookmarkEnd w:id="263"/>
    </w:p>
    <w:p>
      <w:pPr>
        <w:ind w:firstLine="632"/>
      </w:pPr>
      <w:bookmarkStart w:id="264" w:name="_Hlk126337257"/>
      <w:r>
        <w:rPr>
          <w:szCs w:val="32"/>
        </w:rPr>
        <w:t>建立常设机构和值班制度。</w:t>
      </w:r>
      <w:bookmarkStart w:id="265" w:name="_Hlk126337916"/>
      <w:r>
        <w:rPr>
          <w:rFonts w:hint="eastAsia"/>
          <w:szCs w:val="32"/>
        </w:rPr>
        <w:t>水源地</w:t>
      </w:r>
      <w:r>
        <w:rPr>
          <w:shd w:val="clear" w:color="auto" w:fill="FFFFFF"/>
        </w:rPr>
        <w:t>应急指挥部</w:t>
      </w:r>
      <w:r>
        <w:rPr>
          <w:szCs w:val="32"/>
        </w:rPr>
        <w:t>实行24小时工作值班，</w:t>
      </w:r>
      <w:r>
        <w:rPr>
          <w:color w:val="000000"/>
          <w:szCs w:val="32"/>
        </w:rPr>
        <w:t>保持电话24小时畅通，</w:t>
      </w:r>
      <w:r>
        <w:rPr>
          <w:szCs w:val="32"/>
        </w:rPr>
        <w:t>随时做好处置污染事故的准备。</w:t>
      </w:r>
      <w:bookmarkEnd w:id="264"/>
      <w:bookmarkEnd w:id="265"/>
    </w:p>
    <w:p>
      <w:pPr>
        <w:pStyle w:val="4"/>
        <w:ind w:firstLine="632"/>
      </w:pPr>
      <w:bookmarkStart w:id="266" w:name="_Toc44411335"/>
      <w:bookmarkStart w:id="267" w:name="_Toc116914507"/>
      <w:bookmarkStart w:id="268" w:name="_Toc126335873"/>
      <w:r>
        <w:rPr>
          <w:rFonts w:hint="eastAsia"/>
        </w:rPr>
        <w:t>8</w:t>
      </w:r>
      <w:r>
        <w:t>.2应急队伍保障</w:t>
      </w:r>
      <w:bookmarkEnd w:id="266"/>
      <w:bookmarkEnd w:id="267"/>
      <w:bookmarkEnd w:id="268"/>
    </w:p>
    <w:p>
      <w:pPr>
        <w:ind w:firstLine="632"/>
      </w:pPr>
      <w:r>
        <w:rPr>
          <w:rFonts w:hint="eastAsia"/>
        </w:rPr>
        <w:t>加强红旗水库水源地</w:t>
      </w:r>
      <w:r>
        <w:t>应急指挥部突发环境应急救援队伍能力建设，</w:t>
      </w:r>
      <w:r>
        <w:rPr>
          <w:rFonts w:hint="eastAsia"/>
        </w:rPr>
        <w:t>加强队伍的日常培训和应急演练。</w:t>
      </w:r>
    </w:p>
    <w:p>
      <w:pPr>
        <w:pStyle w:val="4"/>
        <w:ind w:firstLine="632"/>
      </w:pPr>
      <w:bookmarkStart w:id="269" w:name="_Toc44411336"/>
      <w:bookmarkStart w:id="270" w:name="_Toc116914508"/>
      <w:bookmarkStart w:id="271" w:name="_Toc126335874"/>
      <w:r>
        <w:rPr>
          <w:rFonts w:hint="eastAsia"/>
        </w:rPr>
        <w:t>8</w:t>
      </w:r>
      <w:r>
        <w:t>.3应急资源保障</w:t>
      </w:r>
      <w:bookmarkEnd w:id="269"/>
      <w:bookmarkEnd w:id="270"/>
      <w:bookmarkEnd w:id="271"/>
    </w:p>
    <w:p>
      <w:pPr>
        <w:ind w:firstLine="632"/>
      </w:pPr>
      <w:bookmarkStart w:id="272" w:name="_Hlk120816418"/>
      <w:bookmarkStart w:id="273" w:name="_Hlk120818065"/>
      <w:bookmarkStart w:id="274" w:name="_Hlk120816136"/>
      <w:r>
        <w:rPr>
          <w:rFonts w:hint="eastAsia"/>
          <w:color w:val="000000"/>
          <w:szCs w:val="32"/>
        </w:rPr>
        <w:t>后勤保障组相关成员单位</w:t>
      </w:r>
      <w:bookmarkEnd w:id="272"/>
      <w:r>
        <w:rPr>
          <w:color w:val="000000"/>
          <w:szCs w:val="32"/>
        </w:rPr>
        <w:t>要</w:t>
      </w:r>
      <w:bookmarkEnd w:id="273"/>
      <w:r>
        <w:rPr>
          <w:color w:val="000000"/>
          <w:szCs w:val="32"/>
        </w:rPr>
        <w:t>加强抽水、提水、输水等供水管件、应急水源、清污、除油、解毒、防酸碱、防腐蚀等试剂材料、隔离、救援物资、防护器材的储备，要加强对环境应急装备和物资储备的动态管理，将环境应急物资储备统筹纳入应急物资库建设。</w:t>
      </w:r>
      <w:bookmarkEnd w:id="274"/>
    </w:p>
    <w:p>
      <w:pPr>
        <w:pStyle w:val="4"/>
        <w:ind w:firstLine="632"/>
      </w:pPr>
      <w:bookmarkStart w:id="275" w:name="_Toc44411337"/>
      <w:bookmarkStart w:id="276" w:name="_Toc116914509"/>
      <w:bookmarkStart w:id="277" w:name="_Toc126335875"/>
      <w:r>
        <w:rPr>
          <w:rFonts w:hint="eastAsia"/>
        </w:rPr>
        <w:t>8</w:t>
      </w:r>
      <w:r>
        <w:t>.4经费保障</w:t>
      </w:r>
      <w:bookmarkEnd w:id="275"/>
      <w:bookmarkEnd w:id="276"/>
      <w:bookmarkEnd w:id="277"/>
    </w:p>
    <w:p>
      <w:pPr>
        <w:ind w:firstLine="632"/>
      </w:pPr>
      <w:bookmarkStart w:id="278" w:name="_Hlk120816981"/>
      <w:bookmarkStart w:id="279" w:name="_Hlk120816143"/>
      <w:bookmarkStart w:id="280" w:name="_Hlk120818071"/>
      <w:r>
        <w:rPr>
          <w:rFonts w:hint="eastAsia"/>
          <w:color w:val="000000"/>
          <w:szCs w:val="32"/>
        </w:rPr>
        <w:t>财政办公室负责</w:t>
      </w:r>
      <w:bookmarkEnd w:id="278"/>
      <w:r>
        <w:rPr>
          <w:rFonts w:hint="eastAsia"/>
          <w:color w:val="000000"/>
          <w:szCs w:val="32"/>
        </w:rPr>
        <w:t>保障饮用水水源地突发环境事件处置经费，应</w:t>
      </w:r>
      <w:r>
        <w:rPr>
          <w:color w:val="000000"/>
          <w:szCs w:val="32"/>
        </w:rPr>
        <w:t>积极申请</w:t>
      </w:r>
      <w:r>
        <w:rPr>
          <w:rFonts w:hint="eastAsia"/>
          <w:color w:val="000000"/>
          <w:szCs w:val="32"/>
        </w:rPr>
        <w:t>县</w:t>
      </w:r>
      <w:r>
        <w:rPr>
          <w:color w:val="000000"/>
          <w:szCs w:val="32"/>
        </w:rPr>
        <w:t>级专项资金，安排专项应急管理资金，购置充足的应急物资，确保满足饮用水水源地突发环境事件应急管理和处置需求。</w:t>
      </w:r>
      <w:bookmarkEnd w:id="279"/>
    </w:p>
    <w:bookmarkEnd w:id="280"/>
    <w:p>
      <w:pPr>
        <w:pStyle w:val="4"/>
        <w:ind w:firstLine="632"/>
      </w:pPr>
      <w:bookmarkStart w:id="281" w:name="_Toc44411338"/>
      <w:bookmarkStart w:id="282" w:name="_Toc116914510"/>
      <w:bookmarkStart w:id="283" w:name="_Toc126335876"/>
      <w:r>
        <w:rPr>
          <w:rFonts w:hint="eastAsia"/>
        </w:rPr>
        <w:t>8</w:t>
      </w:r>
      <w:r>
        <w:t>.5交通保障</w:t>
      </w:r>
      <w:bookmarkEnd w:id="281"/>
      <w:bookmarkEnd w:id="282"/>
      <w:bookmarkEnd w:id="283"/>
    </w:p>
    <w:p>
      <w:pPr>
        <w:ind w:firstLine="632"/>
      </w:pPr>
      <w:bookmarkStart w:id="284" w:name="_Hlk120816153"/>
      <w:bookmarkStart w:id="285" w:name="_Toc534622460"/>
      <w:r>
        <w:rPr>
          <w:rFonts w:hint="eastAsia"/>
        </w:rPr>
        <w:t>由后勤保障组全面统筹、协调，</w:t>
      </w:r>
      <w:bookmarkEnd w:id="284"/>
      <w:r>
        <w:t>加强应急交通管理，健全公路紧急运输保障体系，保障应急响应所需人员、物资、装备、器材等的运输。保障运送伤病员、应急救援人员、物资、装备、器材车辆的优先通行。</w:t>
      </w:r>
      <w:bookmarkEnd w:id="285"/>
    </w:p>
    <w:p>
      <w:pPr>
        <w:pStyle w:val="3"/>
        <w:ind w:firstLine="632"/>
      </w:pPr>
      <w:bookmarkStart w:id="286" w:name="_Toc44411339"/>
      <w:bookmarkStart w:id="287" w:name="_Toc116914511"/>
      <w:bookmarkStart w:id="288" w:name="_Toc126335877"/>
      <w:r>
        <w:rPr>
          <w:rFonts w:hint="eastAsia"/>
        </w:rPr>
        <w:t>9</w:t>
      </w:r>
      <w:r>
        <w:t>附则</w:t>
      </w:r>
      <w:bookmarkEnd w:id="286"/>
      <w:bookmarkEnd w:id="287"/>
      <w:bookmarkEnd w:id="288"/>
    </w:p>
    <w:p>
      <w:pPr>
        <w:pStyle w:val="4"/>
        <w:ind w:firstLine="632"/>
      </w:pPr>
      <w:bookmarkStart w:id="289" w:name="_Toc44411340"/>
      <w:bookmarkStart w:id="290" w:name="_Toc116914512"/>
      <w:bookmarkStart w:id="291" w:name="_Toc126335878"/>
      <w:r>
        <w:rPr>
          <w:rFonts w:hint="eastAsia"/>
        </w:rPr>
        <w:t>9</w:t>
      </w:r>
      <w:r>
        <w:t>.1名词术语</w:t>
      </w:r>
      <w:bookmarkEnd w:id="289"/>
      <w:bookmarkEnd w:id="290"/>
      <w:bookmarkEnd w:id="291"/>
    </w:p>
    <w:p>
      <w:pPr>
        <w:ind w:firstLine="632"/>
      </w:pPr>
      <w:r>
        <w:t>（1）集中式饮用水水源地：指进入输水管网、送到用户且具有一定取水规模（供水人口一般大于1000人）的在用、备用饮用水水源地。</w:t>
      </w:r>
    </w:p>
    <w:p>
      <w:pPr>
        <w:ind w:firstLine="632"/>
        <w:rPr>
          <w:snapToGrid w:val="0"/>
          <w:color w:val="000000"/>
          <w:kern w:val="0"/>
        </w:rPr>
      </w:pPr>
      <w:r>
        <w:t>（2）饮用水水源保护区：指重庆市人民政府或</w:t>
      </w:r>
      <w:r>
        <w:rPr>
          <w:rFonts w:hint="eastAsia"/>
        </w:rPr>
        <w:t>垫江县人民政府</w:t>
      </w:r>
      <w:r>
        <w:t>已经划定的饮用水水源地一级保护区、二级保护区和准保护</w:t>
      </w:r>
      <w:r>
        <w:rPr>
          <w:snapToGrid w:val="0"/>
          <w:color w:val="000000"/>
          <w:kern w:val="0"/>
        </w:rPr>
        <w:t>区。</w:t>
      </w:r>
    </w:p>
    <w:p>
      <w:pPr>
        <w:ind w:firstLine="632"/>
      </w:pPr>
      <w:r>
        <w:t>（3）饮用水水源管理部门：水库管理所等。</w:t>
      </w:r>
    </w:p>
    <w:p>
      <w:pPr>
        <w:ind w:firstLine="632"/>
      </w:pPr>
      <w:r>
        <w:t>（4）风险源：包括固定源、流动源、非点源。固定源是指排放有毒有害物质造成或可能造成水源水质恶化的一切工矿企业事业单位，以及运输石化、化工产品的管线；流动源是指运输危险化学品、危险废物及其他影响饮用水安全物质的车辆、船舶等交通工具；非点源是指有可能对水源地水质造成影响的没有固定污染排放点的畜禽水产养殖污水、农业灌溉尾水、生活污水等。</w:t>
      </w:r>
    </w:p>
    <w:p>
      <w:pPr>
        <w:ind w:firstLine="632"/>
      </w:pPr>
      <w:r>
        <w:t>（5）</w:t>
      </w:r>
      <w:bookmarkStart w:id="292" w:name="OLE_LINK1"/>
      <w:r>
        <w:t>连接水体：指直接或间接连接风险源和水源地的水环境介质。</w:t>
      </w:r>
      <w:bookmarkEnd w:id="292"/>
    </w:p>
    <w:p>
      <w:pPr>
        <w:ind w:firstLine="632"/>
      </w:pPr>
      <w:r>
        <w:t>（6）环境风险：由生产、储存、流通、销售、使用、处置等过程中，通过环境介质传播的，能对水源地的水质和生态环境产生破坏、损失乃至毁灭性作用等不利后果的因果条件。</w:t>
      </w:r>
    </w:p>
    <w:p>
      <w:pPr>
        <w:ind w:firstLine="632"/>
      </w:pPr>
      <w:r>
        <w:t>（7）环境应急：针对可能发生或已发生的突发环境事件需要立即采取紧急行动，以避免事件发生或减轻事件后果的状态。</w:t>
      </w:r>
    </w:p>
    <w:p>
      <w:pPr>
        <w:ind w:firstLine="632"/>
      </w:pPr>
      <w:r>
        <w:t>（8）应急监测：环境应急情况下，为发现和查明污染物质的种类、浓度、污染范围、发展变化趋势及其可能的危害等情况而进行的环境监测。包括制定应急监测方案（确定监测范围、监测点位、监测项目、监测频次、监测方法）、采样与分析、监测结果与数据处理、监测过程质量控制、监测过程总结等。</w:t>
      </w:r>
    </w:p>
    <w:p>
      <w:pPr>
        <w:pStyle w:val="4"/>
        <w:ind w:firstLine="632"/>
      </w:pPr>
      <w:bookmarkStart w:id="293" w:name="_Toc44411341"/>
      <w:bookmarkStart w:id="294" w:name="_Toc116914513"/>
      <w:bookmarkStart w:id="295" w:name="_Toc126335879"/>
      <w:r>
        <w:rPr>
          <w:rFonts w:hint="eastAsia"/>
        </w:rPr>
        <w:t>9</w:t>
      </w:r>
      <w:r>
        <w:t>.2预案解释权属</w:t>
      </w:r>
      <w:bookmarkEnd w:id="293"/>
      <w:bookmarkEnd w:id="294"/>
      <w:bookmarkEnd w:id="295"/>
    </w:p>
    <w:p>
      <w:pPr>
        <w:ind w:firstLine="632"/>
      </w:pPr>
      <w:r>
        <w:t>本预案由</w:t>
      </w:r>
      <w:r>
        <w:rPr>
          <w:rFonts w:hint="eastAsia"/>
        </w:rPr>
        <w:t>沙坪镇人民政府</w:t>
      </w:r>
      <w:r>
        <w:t>负责进行解释。</w:t>
      </w:r>
    </w:p>
    <w:p>
      <w:pPr>
        <w:pStyle w:val="4"/>
        <w:ind w:firstLine="632"/>
      </w:pPr>
      <w:bookmarkStart w:id="296" w:name="_Toc44411342"/>
      <w:bookmarkStart w:id="297" w:name="_Toc116914514"/>
      <w:bookmarkStart w:id="298" w:name="_Toc126335880"/>
      <w:r>
        <w:rPr>
          <w:rFonts w:hint="eastAsia"/>
        </w:rPr>
        <w:t>9</w:t>
      </w:r>
      <w:r>
        <w:t>.3预案演练</w:t>
      </w:r>
      <w:bookmarkEnd w:id="296"/>
      <w:bookmarkEnd w:id="297"/>
      <w:bookmarkEnd w:id="298"/>
    </w:p>
    <w:p>
      <w:pPr>
        <w:ind w:firstLine="632"/>
      </w:pPr>
      <w:r>
        <w:rPr>
          <w:rFonts w:hint="eastAsia"/>
          <w:color w:val="000000"/>
          <w:szCs w:val="32"/>
        </w:rPr>
        <w:t>红旗水库水源地</w:t>
      </w:r>
      <w:r>
        <w:rPr>
          <w:color w:val="000000"/>
          <w:szCs w:val="32"/>
        </w:rPr>
        <w:t>突发环境事件应急指挥部应根据本预案的要求，组织相关人员定期开展应急</w:t>
      </w:r>
      <w:r>
        <w:rPr>
          <w:rFonts w:hint="eastAsia"/>
          <w:color w:val="000000"/>
          <w:szCs w:val="32"/>
        </w:rPr>
        <w:t>演练</w:t>
      </w:r>
      <w:r>
        <w:rPr>
          <w:color w:val="000000"/>
          <w:szCs w:val="32"/>
        </w:rPr>
        <w:t>，按照本预案内容熟悉应急处置程序和要求，做好实施应急预案各项准备。</w:t>
      </w:r>
    </w:p>
    <w:p>
      <w:pPr>
        <w:pStyle w:val="5"/>
        <w:ind w:firstLine="632"/>
      </w:pPr>
      <w:bookmarkStart w:id="299" w:name="_Toc116914515"/>
      <w:r>
        <w:t>9.3.1演练要求</w:t>
      </w:r>
      <w:bookmarkEnd w:id="299"/>
    </w:p>
    <w:p>
      <w:pPr>
        <w:ind w:firstLine="632"/>
      </w:pPr>
      <w:r>
        <w:t>每次演练应明确目的、内容；组织人对演练进行评价，发现问题并提出相应的解决措施；安排人做好演练文字记录、图片音像资料；及时对预案进行修订完善。</w:t>
      </w:r>
    </w:p>
    <w:p>
      <w:pPr>
        <w:pStyle w:val="5"/>
        <w:ind w:firstLine="632"/>
      </w:pPr>
      <w:bookmarkStart w:id="300" w:name="_bookmark95"/>
      <w:bookmarkEnd w:id="300"/>
      <w:bookmarkStart w:id="301" w:name="_Toc116914516"/>
      <w:r>
        <w:t>9.3.2演练内容</w:t>
      </w:r>
      <w:bookmarkEnd w:id="301"/>
    </w:p>
    <w:p>
      <w:pPr>
        <w:ind w:firstLine="632"/>
      </w:pPr>
      <w:r>
        <w:t>按照应急预案内容进行演练，演练中强调各个部门的相互协调。按有关规定定期组织应急演练；并于演练结束后提书面总结。可采用不同规模的应急演练方法对应急预案的完整性和周密性进行评估，如桌面演练、功能演练和全面演练等。</w:t>
      </w:r>
    </w:p>
    <w:p>
      <w:pPr>
        <w:ind w:firstLine="632"/>
      </w:pPr>
      <w:r>
        <w:t>（1）桌面演练</w:t>
      </w:r>
    </w:p>
    <w:p>
      <w:pPr>
        <w:ind w:firstLine="632"/>
      </w:pPr>
      <w:r>
        <w:t>桌面演练是指由应急组织的代表或关键岗位人员参加的，按照应急预案及其标准工作程序，讨论紧急情况时应采取行动的演练活动。桌面演练的特点是对演练情景进行口头演练，一般是在会议室内举行</w:t>
      </w:r>
      <w:r>
        <w:rPr>
          <w:rFonts w:hint="eastAsia"/>
        </w:rPr>
        <w:t>，</w:t>
      </w:r>
      <w:r>
        <w:t>其主要目的是锻炼参演人员解决问题的能力，以及解决应急组织相互协作和职责划分的问题。</w:t>
      </w:r>
    </w:p>
    <w:p>
      <w:pPr>
        <w:ind w:firstLine="632"/>
      </w:pPr>
      <w:r>
        <w:t>桌面演练一般仅限于有限的应急响应和内部协调活动，应急人员主要来自</w:t>
      </w:r>
      <w:r>
        <w:rPr>
          <w:rFonts w:hint="eastAsia"/>
        </w:rPr>
        <w:t>垫江县人民政府</w:t>
      </w:r>
      <w:r>
        <w:t>应急组织，事后一般采取口头评论形式收集参演人员的建议，并提交一份简短的书面报告，总结演练活动和提出有关改进应急响应工作的建议。桌面演练方法成本较低，主要为功能演练和全面演练做准备。</w:t>
      </w:r>
    </w:p>
    <w:p>
      <w:pPr>
        <w:ind w:firstLine="632"/>
      </w:pPr>
      <w:r>
        <w:t>（2）走动式演练</w:t>
      </w:r>
    </w:p>
    <w:p>
      <w:pPr>
        <w:ind w:firstLine="632"/>
      </w:pPr>
      <w:r>
        <w:t>应急救援小组和应急救援预案有关响应小组实际演练他们在紧急事件出现时的应急响应功能。</w:t>
      </w:r>
    </w:p>
    <w:p>
      <w:pPr>
        <w:ind w:firstLine="632"/>
      </w:pPr>
      <w:r>
        <w:t>（3）功能演练</w:t>
      </w:r>
    </w:p>
    <w:p>
      <w:pPr>
        <w:ind w:firstLine="632"/>
      </w:pPr>
      <w:r>
        <w:t>功能演练是指针对某项应急响应功能或其中某些应急响应活动举行的演练活动。功能演练一般在应急指挥中心举行，并可同时开展现场演练，调用有限的应急设备，主要目的是针对应急响应功能，检验应急响应人员以及应急管理体系的策划和响应能力。</w:t>
      </w:r>
    </w:p>
    <w:p>
      <w:pPr>
        <w:ind w:firstLine="632"/>
      </w:pPr>
      <w:r>
        <w:t>功能演练所需的评估人员一般为4-12人，具体数量依据演练地点、现有资源和演练功能的数量而定。演练完成后，除采取口头评论形式外，还应向提交有关演练活动的书面报告，提出改进建议。</w:t>
      </w:r>
    </w:p>
    <w:p>
      <w:pPr>
        <w:ind w:firstLine="632"/>
      </w:pPr>
      <w:r>
        <w:t>（4）撤离演练</w:t>
      </w:r>
    </w:p>
    <w:p>
      <w:pPr>
        <w:ind w:firstLine="632"/>
      </w:pPr>
      <w:r>
        <w:t>员工顺着疏散路线到达一个指定的地方。在那里向所有参加测试的员工说明要经历的内容。受训所有人员应注意他们在紧急事件中可能会遇到一些危险情况。</w:t>
      </w:r>
    </w:p>
    <w:p>
      <w:pPr>
        <w:ind w:firstLine="632"/>
      </w:pPr>
      <w:r>
        <w:t>（5）全面演练</w:t>
      </w:r>
    </w:p>
    <w:p>
      <w:pPr>
        <w:ind w:firstLine="632"/>
      </w:pPr>
      <w:r>
        <w:t>全面演练指针对应急预案中全部或大部分应急响应功能，检验、评价应急组织应急运行能力的演练活动。全面演练一般要求持续几个小时，采取交互式方式进行，演练过程要求尽量真实，调用更多的应急人员和资源，并开展人员、设备及其他资源的实战性演练，以检验相互协调的应急响应能力。与功能演练类似，演练完成后，除采取口头评论、书面汇报外，还应提交正式的书面报告。</w:t>
      </w:r>
    </w:p>
    <w:p>
      <w:pPr>
        <w:pStyle w:val="5"/>
        <w:ind w:firstLine="632"/>
      </w:pPr>
      <w:bookmarkStart w:id="302" w:name="_bookmark96"/>
      <w:bookmarkEnd w:id="302"/>
      <w:bookmarkStart w:id="303" w:name="_Toc116914517"/>
      <w:r>
        <w:t>9.3.3演练程序</w:t>
      </w:r>
      <w:bookmarkEnd w:id="303"/>
    </w:p>
    <w:p>
      <w:pPr>
        <w:ind w:firstLine="632"/>
      </w:pPr>
      <w:r>
        <w:t>（1）演练前应成立演练组织小组、确定演练目的及演练目标、确定演练范围、选择演练类型、编制演练方案等。</w:t>
      </w:r>
    </w:p>
    <w:p>
      <w:pPr>
        <w:ind w:firstLine="632"/>
      </w:pPr>
      <w:r>
        <w:t>（2）演练过程应有演练记录，并应尽量避免给生产与社会生活造成干扰。</w:t>
      </w:r>
    </w:p>
    <w:p>
      <w:pPr>
        <w:ind w:firstLine="632"/>
      </w:pPr>
      <w:r>
        <w:t>（3）演练结束后应对演练进行全面总结评价，以确定演练是否达到预期目标、应急设备和资源是否充分完善、应急预案和程序中是否存在缺陷等。</w:t>
      </w:r>
    </w:p>
    <w:p>
      <w:pPr>
        <w:pStyle w:val="5"/>
        <w:ind w:firstLine="632"/>
      </w:pPr>
      <w:bookmarkStart w:id="304" w:name="_bookmark97"/>
      <w:bookmarkEnd w:id="304"/>
      <w:bookmarkStart w:id="305" w:name="_Toc116914518"/>
      <w:r>
        <w:t>9.3.4演练频次</w:t>
      </w:r>
      <w:bookmarkEnd w:id="305"/>
    </w:p>
    <w:p>
      <w:pPr>
        <w:ind w:firstLine="632"/>
      </w:pPr>
      <w:r>
        <w:rPr>
          <w:rFonts w:hint="eastAsia"/>
        </w:rPr>
        <w:t>红旗水库水源地</w:t>
      </w:r>
      <w:r>
        <w:t>突发环境</w:t>
      </w:r>
      <w:r>
        <w:rPr>
          <w:rFonts w:hint="eastAsia"/>
        </w:rPr>
        <w:t>事件</w:t>
      </w:r>
      <w:r>
        <w:t>应急预案的演练由</w:t>
      </w:r>
      <w:r>
        <w:rPr>
          <w:rFonts w:hint="eastAsia"/>
        </w:rPr>
        <w:t>沙坪镇人民政府</w:t>
      </w:r>
      <w:r>
        <w:t>组织。</w:t>
      </w:r>
    </w:p>
    <w:p>
      <w:pPr>
        <w:pStyle w:val="4"/>
        <w:ind w:firstLine="632"/>
      </w:pPr>
      <w:bookmarkStart w:id="306" w:name="_Toc44411343"/>
      <w:bookmarkStart w:id="307" w:name="_Toc116914519"/>
      <w:bookmarkStart w:id="308" w:name="_Toc126335881"/>
      <w:r>
        <w:rPr>
          <w:rFonts w:hint="eastAsia"/>
        </w:rPr>
        <w:t>9</w:t>
      </w:r>
      <w:r>
        <w:t>.4预案修订</w:t>
      </w:r>
      <w:bookmarkEnd w:id="306"/>
      <w:bookmarkEnd w:id="307"/>
      <w:bookmarkEnd w:id="308"/>
    </w:p>
    <w:p>
      <w:pPr>
        <w:ind w:firstLine="632"/>
      </w:pPr>
      <w:r>
        <w:t>本预案由</w:t>
      </w:r>
      <w:r>
        <w:rPr>
          <w:rFonts w:hint="eastAsia"/>
        </w:rPr>
        <w:t>沙坪镇人民政府</w:t>
      </w:r>
      <w:r>
        <w:t>牵头制订、发布与实施，并根据实际情况变化及时修订。本预案需及时动态更新应急指挥机构成员单位和联系方式。</w:t>
      </w:r>
    </w:p>
    <w:p>
      <w:pPr>
        <w:pStyle w:val="4"/>
        <w:ind w:firstLine="632"/>
      </w:pPr>
      <w:bookmarkStart w:id="309" w:name="_Toc44411344"/>
      <w:bookmarkStart w:id="310" w:name="_Toc116914520"/>
      <w:bookmarkStart w:id="311" w:name="_Toc126335882"/>
      <w:r>
        <w:rPr>
          <w:rFonts w:hint="eastAsia"/>
        </w:rPr>
        <w:t>9</w:t>
      </w:r>
      <w:r>
        <w:t>.5预案实施日期</w:t>
      </w:r>
      <w:bookmarkEnd w:id="309"/>
      <w:bookmarkEnd w:id="310"/>
      <w:bookmarkEnd w:id="311"/>
    </w:p>
    <w:p>
      <w:pPr>
        <w:ind w:firstLine="632"/>
        <w:sectPr>
          <w:headerReference r:id="rId17" w:type="default"/>
          <w:footerReference r:id="rId18" w:type="default"/>
          <w:pgSz w:w="11907" w:h="16840"/>
          <w:pgMar w:top="2098" w:right="1474" w:bottom="1984" w:left="1587" w:header="851" w:footer="1474" w:gutter="0"/>
          <w:cols w:space="720" w:num="1"/>
          <w:titlePg/>
          <w:docGrid w:type="linesAndChars" w:linePitch="579" w:charSpace="-842"/>
        </w:sectPr>
      </w:pPr>
      <w:r>
        <w:t>本预案自</w:t>
      </w:r>
      <w:r>
        <w:rPr>
          <w:rFonts w:hint="eastAsia"/>
        </w:rPr>
        <w:t>沙坪镇人民政府</w:t>
      </w:r>
      <w:r>
        <w:t>印发实施之日开始实施。</w:t>
      </w:r>
    </w:p>
    <w:p>
      <w:pPr>
        <w:pStyle w:val="3"/>
        <w:ind w:firstLine="632"/>
      </w:pPr>
      <w:bookmarkStart w:id="312" w:name="_Toc126335883"/>
      <w:bookmarkStart w:id="313" w:name="_Toc116914521"/>
      <w:r>
        <w:t>附表</w:t>
      </w:r>
      <w:bookmarkEnd w:id="312"/>
      <w:bookmarkEnd w:id="313"/>
    </w:p>
    <w:p>
      <w:pPr>
        <w:pStyle w:val="4"/>
        <w:ind w:firstLine="0" w:firstLineChars="0"/>
        <w:jc w:val="center"/>
        <w:rPr>
          <w:sz w:val="28"/>
        </w:rPr>
      </w:pPr>
      <w:bookmarkStart w:id="314" w:name="_Toc116914522"/>
      <w:bookmarkStart w:id="315" w:name="_Toc126335884"/>
      <w:bookmarkStart w:id="316" w:name="_Hlk120694137"/>
      <w:r>
        <w:rPr>
          <w:sz w:val="28"/>
        </w:rPr>
        <w:t xml:space="preserve">附表1  </w:t>
      </w:r>
      <w:r>
        <w:rPr>
          <w:rFonts w:hint="eastAsia"/>
          <w:sz w:val="28"/>
        </w:rPr>
        <w:t>红旗水库水源地</w:t>
      </w:r>
      <w:r>
        <w:rPr>
          <w:sz w:val="28"/>
        </w:rPr>
        <w:t>应急指挥部成员联系方式</w:t>
      </w:r>
      <w:bookmarkEnd w:id="314"/>
      <w:bookmarkEnd w:id="315"/>
    </w:p>
    <w:bookmarkEnd w:id="316"/>
    <w:tbl>
      <w:tblPr>
        <w:tblStyle w:val="29"/>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
        <w:gridCol w:w="1970"/>
        <w:gridCol w:w="1134"/>
        <w:gridCol w:w="186"/>
        <w:gridCol w:w="1374"/>
        <w:gridCol w:w="68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bookmarkStart w:id="317" w:name="_Hlk48372221"/>
            <w:r>
              <w:rPr>
                <w:rFonts w:eastAsia="方正黑体_GBK"/>
                <w:sz w:val="24"/>
              </w:rPr>
              <w:t>重庆市垫江县饮用</w:t>
            </w:r>
            <w:r>
              <w:rPr>
                <w:rFonts w:hint="eastAsia" w:eastAsia="方正黑体_GBK"/>
                <w:sz w:val="24"/>
              </w:rPr>
              <w:t>水</w:t>
            </w:r>
            <w:r>
              <w:rPr>
                <w:rFonts w:eastAsia="方正黑体_GBK"/>
                <w:sz w:val="24"/>
              </w:rPr>
              <w:t>水源地突发环境事件应急指挥部成员及通讯录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序号</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单  位</w:t>
            </w:r>
          </w:p>
        </w:tc>
        <w:tc>
          <w:tcPr>
            <w:tcW w:w="4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县政府办公室</w:t>
            </w:r>
          </w:p>
        </w:tc>
        <w:tc>
          <w:tcPr>
            <w:tcW w:w="4304" w:type="dxa"/>
            <w:gridSpan w:val="4"/>
            <w:tcBorders>
              <w:top w:val="single" w:color="auto" w:sz="4" w:space="0"/>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2</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应急</w:t>
            </w:r>
            <w:r>
              <w:rPr>
                <w:rFonts w:hint="eastAsia"/>
                <w:sz w:val="24"/>
              </w:rPr>
              <w:t>管理</w:t>
            </w:r>
            <w:r>
              <w:rPr>
                <w:sz w:val="24"/>
              </w:rPr>
              <w:t>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023-74617050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3</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生态环境局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4</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公安局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w:t>
            </w:r>
            <w:r>
              <w:rPr>
                <w:sz w:val="24"/>
              </w:rPr>
              <w:t>74515191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5</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卫生健康委</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6</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农业农村委</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7</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交通局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8</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水利局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9</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经济信息委</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10</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县商务委</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11</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发展改革委</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12</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财政局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023-74525472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13</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气象局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14</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民政局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15</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县纪委监委机关</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16</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县市场</w:t>
            </w:r>
            <w:r>
              <w:rPr>
                <w:sz w:val="24"/>
              </w:rPr>
              <w:t>监督管理局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023-74555859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17</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消防</w:t>
            </w:r>
            <w:r>
              <w:rPr>
                <w:rFonts w:hint="eastAsia"/>
                <w:sz w:val="24"/>
              </w:rPr>
              <w:t>救援大</w:t>
            </w:r>
            <w:r>
              <w:rPr>
                <w:sz w:val="24"/>
              </w:rPr>
              <w:t>队</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023-74539119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18</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县城市管理局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19</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林业局</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20</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县人武部</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023-87722760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21</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县自来水公司</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023-74512271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22</w:t>
            </w:r>
          </w:p>
        </w:tc>
        <w:tc>
          <w:tcPr>
            <w:tcW w:w="310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县供电公司</w:t>
            </w:r>
          </w:p>
        </w:tc>
        <w:tc>
          <w:tcPr>
            <w:tcW w:w="4304" w:type="dxa"/>
            <w:gridSpan w:val="4"/>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023-74667593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color w:val="000000"/>
                <w:sz w:val="24"/>
              </w:rPr>
            </w:pPr>
            <w:r>
              <w:rPr>
                <w:rFonts w:hint="eastAsia" w:eastAsia="方正黑体_GBK"/>
                <w:color w:val="000000"/>
                <w:sz w:val="24"/>
              </w:rPr>
              <w:t>垫江县</w:t>
            </w:r>
            <w:r>
              <w:rPr>
                <w:rFonts w:eastAsia="方正黑体_GBK"/>
                <w:color w:val="000000"/>
                <w:sz w:val="24"/>
              </w:rPr>
              <w:t>生态环境局应急领导小组名单及联系方式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color w:val="000000"/>
                <w:sz w:val="24"/>
              </w:rPr>
            </w:pPr>
            <w:r>
              <w:rPr>
                <w:rFonts w:hint="eastAsia" w:eastAsia="方正黑体_GBK"/>
                <w:color w:val="000000"/>
                <w:sz w:val="24"/>
              </w:rPr>
              <w:t>序号</w:t>
            </w: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color w:val="000000"/>
                <w:sz w:val="24"/>
              </w:rPr>
            </w:pPr>
            <w:r>
              <w:rPr>
                <w:rFonts w:hint="eastAsia" w:eastAsia="方正黑体_GBK"/>
                <w:color w:val="000000"/>
                <w:sz w:val="24"/>
              </w:rPr>
              <w:t>单位</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color w:val="000000"/>
                <w:sz w:val="24"/>
              </w:rPr>
            </w:pPr>
            <w:r>
              <w:rPr>
                <w:rFonts w:hint="eastAsia" w:eastAsia="方正黑体_GBK"/>
                <w:color w:val="000000"/>
                <w:sz w:val="24"/>
              </w:rPr>
              <w:t>联系人</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color w:val="000000"/>
                <w:sz w:val="24"/>
              </w:rPr>
            </w:pPr>
            <w:r>
              <w:rPr>
                <w:rFonts w:hint="eastAsia" w:eastAsia="方正黑体_GBK"/>
                <w:color w:val="00000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局举报电话</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余霞</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023-74522369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局值班电话</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伯万</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局办公室</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伯万</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行政审批科</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唐瑜</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023-74520130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水</w:t>
            </w:r>
            <w:r>
              <w:rPr>
                <w:sz w:val="24"/>
              </w:rPr>
              <w:t>污染防治科</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何川江</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生态科</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兰秀勇</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县生态</w:t>
            </w:r>
            <w:r>
              <w:rPr>
                <w:sz w:val="24"/>
              </w:rPr>
              <w:t>环境</w:t>
            </w:r>
            <w:r>
              <w:rPr>
                <w:rFonts w:hint="eastAsia"/>
                <w:sz w:val="24"/>
              </w:rPr>
              <w:t>执法</w:t>
            </w:r>
            <w:r>
              <w:rPr>
                <w:sz w:val="24"/>
              </w:rPr>
              <w:t>支队</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余霞</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023-74522369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line="300" w:lineRule="exact"/>
              <w:ind w:firstLineChars="0"/>
              <w:jc w:val="center"/>
              <w:rPr>
                <w:rFonts w:eastAsia="方正黑体_GBK"/>
                <w:color w:val="000000"/>
                <w:sz w:val="24"/>
              </w:rPr>
            </w:pPr>
          </w:p>
        </w:tc>
        <w:tc>
          <w:tcPr>
            <w:tcW w:w="330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县</w:t>
            </w:r>
            <w:r>
              <w:rPr>
                <w:sz w:val="24"/>
              </w:rPr>
              <w:t>生态环境监测站</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杨忠礼</w:t>
            </w:r>
          </w:p>
        </w:tc>
        <w:tc>
          <w:tcPr>
            <w:tcW w:w="2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023-74688489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5"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b/>
                <w:sz w:val="24"/>
              </w:rPr>
            </w:pPr>
            <w:bookmarkStart w:id="318" w:name="_Hlk120693777"/>
            <w:r>
              <w:rPr>
                <w:rFonts w:eastAsia="方正黑体_GBK"/>
                <w:color w:val="000000"/>
                <w:sz w:val="24"/>
              </w:rPr>
              <w:t>垫江县沙坪镇</w:t>
            </w:r>
            <w:r>
              <w:rPr>
                <w:rFonts w:eastAsia="方正黑体_GBK"/>
                <w:sz w:val="24"/>
                <w:shd w:val="clear" w:color="auto" w:fill="FFFFFF"/>
              </w:rPr>
              <w:t>饮用水水源地突发环境事件</w:t>
            </w:r>
            <w:r>
              <w:rPr>
                <w:rFonts w:eastAsia="方正黑体_GBK"/>
                <w:color w:val="000000"/>
                <w:sz w:val="24"/>
              </w:rPr>
              <w:t>应急指挥部</w:t>
            </w:r>
            <w:r>
              <w:rPr>
                <w:rFonts w:eastAsia="方正黑体_GBK"/>
                <w:sz w:val="24"/>
              </w:rPr>
              <w:t>成员及通讯录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序号</w:t>
            </w:r>
          </w:p>
        </w:tc>
        <w:tc>
          <w:tcPr>
            <w:tcW w:w="197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hint="eastAsia" w:eastAsia="方正黑体_GBK"/>
                <w:sz w:val="24"/>
              </w:rPr>
              <w:t>红旗水库水源地应急指挥部</w:t>
            </w:r>
            <w:r>
              <w:rPr>
                <w:rFonts w:eastAsia="方正黑体_GBK"/>
                <w:sz w:val="24"/>
              </w:rPr>
              <w:t>组成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姓名</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联系方式</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rFonts w:eastAsia="方正黑体_GBK"/>
                <w:sz w:val="24"/>
              </w:rPr>
            </w:pPr>
            <w:r>
              <w:rPr>
                <w:rFonts w:eastAsia="方正黑体_GBK"/>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指挥长</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郭言</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15095878442</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沙坪镇镇长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sz w:val="24"/>
              </w:rPr>
              <w:t>副指挥长</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高正懋</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13983341588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沙坪镇政府分管</w:t>
            </w:r>
            <w:r>
              <w:rPr>
                <w:rFonts w:hint="eastAsia"/>
                <w:sz w:val="24"/>
              </w:rPr>
              <w:t>生态环境</w:t>
            </w:r>
            <w:r>
              <w:rPr>
                <w:sz w:val="24"/>
              </w:rPr>
              <w:t>副镇长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sz w:val="24"/>
              </w:rPr>
            </w:pPr>
            <w:r>
              <w:rPr>
                <w:sz w:val="24"/>
              </w:rPr>
              <w:t>成员</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徐建国</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13896732600</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党政办公室主任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王波</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15213686449</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经济发展办公室主任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王磊</w:t>
            </w:r>
          </w:p>
        </w:tc>
        <w:tc>
          <w:tcPr>
            <w:tcW w:w="1560" w:type="dxa"/>
            <w:gridSpan w:val="2"/>
            <w:tcBorders>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13594581538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民政和</w:t>
            </w:r>
            <w:r>
              <w:rPr>
                <w:sz w:val="24"/>
              </w:rPr>
              <w:t>社会事务办公室</w:t>
            </w:r>
            <w:r>
              <w:rPr>
                <w:rFonts w:hint="eastAsia"/>
                <w:sz w:val="24"/>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冷兴明</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13709479870</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平安建设</w:t>
            </w:r>
            <w:r>
              <w:rPr>
                <w:sz w:val="24"/>
              </w:rPr>
              <w:t>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彭川</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13896637548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ascii="Calibri" w:hAnsi="Calibri" w:cs="Calibri"/>
                <w:sz w:val="24"/>
              </w:rPr>
              <w:t>规划建设管理环保办公室主任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黄勇</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13896725998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应急管理办公室主任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vAlign w:val="center"/>
          </w:tcPr>
          <w:p>
            <w:pPr>
              <w:spacing w:line="300" w:lineRule="exact"/>
              <w:ind w:firstLine="0" w:firstLineChars="0"/>
              <w:jc w:val="center"/>
              <w:rPr>
                <w:sz w:val="24"/>
              </w:rPr>
            </w:pPr>
            <w:r>
              <w:rPr>
                <w:rFonts w:hint="eastAsia"/>
                <w:sz w:val="24"/>
              </w:rPr>
              <w:t>余科红</w:t>
            </w:r>
          </w:p>
        </w:tc>
        <w:tc>
          <w:tcPr>
            <w:tcW w:w="1560" w:type="dxa"/>
            <w:gridSpan w:val="2"/>
            <w:vAlign w:val="center"/>
          </w:tcPr>
          <w:p>
            <w:pPr>
              <w:spacing w:line="300" w:lineRule="exact"/>
              <w:ind w:firstLine="0" w:firstLineChars="0"/>
              <w:jc w:val="center"/>
              <w:rPr>
                <w:sz w:val="24"/>
              </w:rPr>
            </w:pPr>
            <w:r>
              <w:rPr>
                <w:rFonts w:hint="eastAsia"/>
                <w:sz w:val="24"/>
              </w:rPr>
              <w:t>15213208687</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财政</w:t>
            </w:r>
            <w:r>
              <w:rPr>
                <w:rFonts w:hint="eastAsia"/>
                <w:sz w:val="24"/>
              </w:rPr>
              <w:t>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冷兴明</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13709479870</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综合行政执法大队队长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张东</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13983303916</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农业服务中心主任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胡杨</w:t>
            </w:r>
          </w:p>
        </w:tc>
        <w:tc>
          <w:tcPr>
            <w:tcW w:w="1560" w:type="dxa"/>
            <w:gridSpan w:val="2"/>
            <w:tcBorders>
              <w:top w:val="single" w:color="auto" w:sz="4" w:space="0"/>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13896616663</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sz w:val="24"/>
              </w:rPr>
              <w:t>文化服务中心主任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王磊</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135945815381</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ascii="Calibri" w:hAnsi="Calibri" w:cs="Calibri"/>
                <w:sz w:val="24"/>
              </w:rPr>
              <w:t>劳动就业和</w:t>
            </w:r>
            <w:r>
              <w:rPr>
                <w:rFonts w:ascii="Calibri" w:hAnsi="Calibri" w:cs="Calibri"/>
                <w:sz w:val="24"/>
              </w:rPr>
              <w:t>社会保障服务所所长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熊军</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13896756898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镇卫生院院长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高粱</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13896781123</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镇派出所所长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杨成强</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187238550518</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ascii="Calibri" w:hAnsi="Calibri" w:cs="Calibri"/>
                <w:sz w:val="24"/>
              </w:rPr>
              <w:t>东印村</w:t>
            </w:r>
            <w:r>
              <w:rPr>
                <w:rFonts w:ascii="Calibri" w:hAnsi="Calibri" w:cs="Calibri"/>
                <w:sz w:val="24"/>
              </w:rPr>
              <w:t>村长（水源地所在村）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赵厂长</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13896625196</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rFonts w:ascii="Calibri" w:hAnsi="Calibri" w:cs="Calibri"/>
                <w:sz w:val="24"/>
              </w:rPr>
            </w:pPr>
            <w:r>
              <w:rPr>
                <w:rFonts w:hint="eastAsia"/>
                <w:sz w:val="24"/>
              </w:rPr>
              <w:t>沙坪水厂厂长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gridSpan w:val="2"/>
            <w:tcBorders>
              <w:top w:val="single" w:color="auto" w:sz="4" w:space="0"/>
              <w:left w:val="single" w:color="auto" w:sz="4" w:space="0"/>
              <w:bottom w:val="single" w:color="auto" w:sz="4" w:space="0"/>
              <w:right w:val="single" w:color="auto" w:sz="4" w:space="0"/>
            </w:tcBorders>
            <w:vAlign w:val="center"/>
          </w:tcPr>
          <w:p>
            <w:pPr>
              <w:numPr>
                <w:ilvl w:val="0"/>
                <w:numId w:val="2"/>
              </w:numPr>
              <w:spacing w:line="300" w:lineRule="exact"/>
              <w:ind w:left="420" w:firstLineChars="0"/>
              <w:jc w:val="center"/>
              <w:rPr>
                <w:sz w:val="24"/>
              </w:rPr>
            </w:pPr>
          </w:p>
        </w:tc>
        <w:tc>
          <w:tcPr>
            <w:tcW w:w="1970" w:type="dxa"/>
            <w:vMerge w:val="continue"/>
            <w:tcBorders>
              <w:left w:val="single" w:color="auto" w:sz="4" w:space="0"/>
              <w:right w:val="single" w:color="auto" w:sz="4" w:space="0"/>
            </w:tcBorders>
            <w:vAlign w:val="center"/>
          </w:tcPr>
          <w:p>
            <w:pPr>
              <w:spacing w:line="300" w:lineRule="exact"/>
              <w:ind w:firstLine="0" w:firstLineChars="0"/>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 w:val="24"/>
              </w:rPr>
            </w:pPr>
            <w:r>
              <w:rPr>
                <w:rFonts w:hint="eastAsia"/>
                <w:sz w:val="24"/>
              </w:rPr>
              <w:t>董世强</w:t>
            </w:r>
          </w:p>
        </w:tc>
        <w:tc>
          <w:tcPr>
            <w:tcW w:w="1560" w:type="dxa"/>
            <w:gridSpan w:val="2"/>
            <w:tcBorders>
              <w:left w:val="single" w:color="auto" w:sz="4" w:space="0"/>
              <w:right w:val="single" w:color="auto" w:sz="4" w:space="0"/>
            </w:tcBorders>
            <w:vAlign w:val="center"/>
          </w:tcPr>
          <w:p>
            <w:pPr>
              <w:spacing w:line="300" w:lineRule="exact"/>
              <w:ind w:firstLine="0" w:firstLineChars="0"/>
              <w:jc w:val="center"/>
              <w:rPr>
                <w:sz w:val="24"/>
              </w:rPr>
            </w:pPr>
            <w:r>
              <w:rPr>
                <w:rFonts w:hint="eastAsia"/>
                <w:sz w:val="24"/>
              </w:rPr>
              <w:t>13896669199</w:t>
            </w:r>
          </w:p>
        </w:tc>
        <w:tc>
          <w:tcPr>
            <w:tcW w:w="2744" w:type="dxa"/>
            <w:gridSpan w:val="2"/>
            <w:tcBorders>
              <w:left w:val="single" w:color="auto" w:sz="4" w:space="0"/>
              <w:right w:val="single" w:color="auto" w:sz="4" w:space="0"/>
            </w:tcBorders>
            <w:vAlign w:val="center"/>
          </w:tcPr>
          <w:p>
            <w:pPr>
              <w:spacing w:line="300" w:lineRule="exact"/>
              <w:ind w:firstLine="0" w:firstLineChars="0"/>
              <w:jc w:val="center"/>
              <w:rPr>
                <w:rFonts w:ascii="Calibri" w:hAnsi="Calibri" w:cs="Calibri"/>
                <w:sz w:val="24"/>
              </w:rPr>
            </w:pPr>
            <w:r>
              <w:rPr>
                <w:rFonts w:hint="eastAsia"/>
                <w:sz w:val="24"/>
              </w:rPr>
              <w:t>玉河水厂厂长</w:t>
            </w:r>
          </w:p>
        </w:tc>
      </w:tr>
      <w:bookmarkEnd w:id="317"/>
      <w:bookmarkEnd w:id="318"/>
    </w:tbl>
    <w:p>
      <w:pPr>
        <w:ind w:firstLine="632"/>
      </w:pPr>
    </w:p>
    <w:p>
      <w:pPr>
        <w:pStyle w:val="17"/>
        <w:ind w:firstLine="352"/>
        <w:sectPr>
          <w:pgSz w:w="11907" w:h="16840"/>
          <w:pgMar w:top="2098" w:right="1474" w:bottom="1984" w:left="1587" w:header="851" w:footer="1474" w:gutter="0"/>
          <w:cols w:space="720" w:num="1"/>
          <w:titlePg/>
          <w:docGrid w:type="linesAndChars" w:linePitch="579" w:charSpace="-842"/>
        </w:sectPr>
      </w:pPr>
    </w:p>
    <w:p>
      <w:pPr>
        <w:pStyle w:val="4"/>
        <w:ind w:firstLine="0" w:firstLineChars="0"/>
        <w:jc w:val="center"/>
        <w:rPr>
          <w:sz w:val="28"/>
        </w:rPr>
      </w:pPr>
      <w:bookmarkStart w:id="319" w:name="_Toc32211"/>
      <w:bookmarkStart w:id="320" w:name="_Toc116914524"/>
      <w:bookmarkStart w:id="321" w:name="_Toc126335885"/>
      <w:r>
        <w:rPr>
          <w:rFonts w:hint="eastAsia"/>
          <w:sz w:val="28"/>
        </w:rPr>
        <w:t>附表</w:t>
      </w:r>
      <w:r>
        <w:rPr>
          <w:sz w:val="28"/>
        </w:rPr>
        <w:t>2</w:t>
      </w:r>
      <w:r>
        <w:rPr>
          <w:rFonts w:hint="eastAsia"/>
          <w:sz w:val="28"/>
        </w:rPr>
        <w:t xml:space="preserve">  垫江县应急物资储备情况</w:t>
      </w:r>
      <w:bookmarkEnd w:id="319"/>
      <w:bookmarkEnd w:id="320"/>
      <w:bookmarkEnd w:id="321"/>
    </w:p>
    <w:tbl>
      <w:tblPr>
        <w:tblStyle w:val="30"/>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187"/>
        <w:gridCol w:w="899"/>
        <w:gridCol w:w="998"/>
        <w:gridCol w:w="829"/>
        <w:gridCol w:w="1523"/>
        <w:gridCol w:w="927"/>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0"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序号</w:t>
            </w:r>
          </w:p>
        </w:tc>
        <w:tc>
          <w:tcPr>
            <w:tcW w:w="2187"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物资名称</w:t>
            </w:r>
          </w:p>
        </w:tc>
        <w:tc>
          <w:tcPr>
            <w:tcW w:w="899"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数量</w:t>
            </w:r>
          </w:p>
        </w:tc>
        <w:tc>
          <w:tcPr>
            <w:tcW w:w="998"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备注</w:t>
            </w:r>
          </w:p>
        </w:tc>
        <w:tc>
          <w:tcPr>
            <w:tcW w:w="829"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序号</w:t>
            </w:r>
          </w:p>
        </w:tc>
        <w:tc>
          <w:tcPr>
            <w:tcW w:w="1523"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物资名称</w:t>
            </w:r>
          </w:p>
        </w:tc>
        <w:tc>
          <w:tcPr>
            <w:tcW w:w="927"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数量</w:t>
            </w:r>
          </w:p>
        </w:tc>
        <w:tc>
          <w:tcPr>
            <w:tcW w:w="823" w:type="dxa"/>
            <w:vAlign w:val="center"/>
          </w:tcPr>
          <w:p>
            <w:pPr>
              <w:widowControl/>
              <w:spacing w:line="300" w:lineRule="exact"/>
              <w:ind w:firstLine="0" w:firstLineChars="0"/>
              <w:jc w:val="center"/>
              <w:textAlignment w:val="center"/>
              <w:rPr>
                <w:rFonts w:eastAsia="方正黑体_GBK"/>
                <w:bCs/>
                <w:sz w:val="24"/>
              </w:rPr>
            </w:pPr>
            <w:r>
              <w:rPr>
                <w:rFonts w:eastAsia="方正黑体_GBK"/>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b/>
                <w:bCs/>
                <w:sz w:val="24"/>
              </w:rPr>
            </w:pPr>
            <w:r>
              <w:rPr>
                <w:b/>
                <w:bCs/>
                <w:sz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w:t>
            </w:r>
          </w:p>
        </w:tc>
        <w:tc>
          <w:tcPr>
            <w:tcW w:w="2187" w:type="dxa"/>
            <w:vAlign w:val="center"/>
          </w:tcPr>
          <w:p>
            <w:pPr>
              <w:widowControl/>
              <w:spacing w:line="300" w:lineRule="exact"/>
              <w:ind w:firstLine="0" w:firstLineChars="0"/>
              <w:jc w:val="center"/>
              <w:textAlignment w:val="center"/>
              <w:rPr>
                <w:sz w:val="24"/>
              </w:rPr>
            </w:pPr>
            <w:r>
              <w:rPr>
                <w:sz w:val="24"/>
              </w:rPr>
              <w:t>救生衣</w:t>
            </w:r>
          </w:p>
        </w:tc>
        <w:tc>
          <w:tcPr>
            <w:tcW w:w="899" w:type="dxa"/>
            <w:vAlign w:val="center"/>
          </w:tcPr>
          <w:p>
            <w:pPr>
              <w:widowControl/>
              <w:spacing w:line="300" w:lineRule="exact"/>
              <w:ind w:firstLine="0" w:firstLineChars="0"/>
              <w:jc w:val="center"/>
              <w:textAlignment w:val="center"/>
              <w:rPr>
                <w:sz w:val="24"/>
              </w:rPr>
            </w:pPr>
            <w:r>
              <w:rPr>
                <w:sz w:val="24"/>
              </w:rPr>
              <w:t>5套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w:t>
            </w:r>
          </w:p>
        </w:tc>
        <w:tc>
          <w:tcPr>
            <w:tcW w:w="1523" w:type="dxa"/>
            <w:vAlign w:val="center"/>
          </w:tcPr>
          <w:p>
            <w:pPr>
              <w:widowControl/>
              <w:spacing w:line="300" w:lineRule="exact"/>
              <w:ind w:firstLine="0" w:firstLineChars="0"/>
              <w:jc w:val="center"/>
              <w:textAlignment w:val="center"/>
              <w:rPr>
                <w:sz w:val="24"/>
              </w:rPr>
            </w:pPr>
            <w:r>
              <w:rPr>
                <w:sz w:val="24"/>
              </w:rPr>
              <w:t>笔记本电脑</w:t>
            </w:r>
          </w:p>
        </w:tc>
        <w:tc>
          <w:tcPr>
            <w:tcW w:w="927" w:type="dxa"/>
            <w:vAlign w:val="center"/>
          </w:tcPr>
          <w:p>
            <w:pPr>
              <w:widowControl/>
              <w:spacing w:line="300" w:lineRule="exact"/>
              <w:ind w:firstLine="0" w:firstLineChars="0"/>
              <w:jc w:val="center"/>
              <w:textAlignment w:val="center"/>
              <w:rPr>
                <w:sz w:val="24"/>
              </w:rPr>
            </w:pPr>
            <w:r>
              <w:rPr>
                <w:sz w:val="24"/>
              </w:rPr>
              <w:t>3台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w:t>
            </w:r>
          </w:p>
        </w:tc>
        <w:tc>
          <w:tcPr>
            <w:tcW w:w="2187" w:type="dxa"/>
            <w:vAlign w:val="center"/>
          </w:tcPr>
          <w:p>
            <w:pPr>
              <w:widowControl/>
              <w:spacing w:line="300" w:lineRule="exact"/>
              <w:ind w:firstLine="0" w:firstLineChars="0"/>
              <w:jc w:val="center"/>
              <w:textAlignment w:val="center"/>
              <w:rPr>
                <w:sz w:val="24"/>
              </w:rPr>
            </w:pPr>
            <w:r>
              <w:rPr>
                <w:sz w:val="24"/>
              </w:rPr>
              <w:t>华德安单警执法视频记录仪</w:t>
            </w:r>
          </w:p>
        </w:tc>
        <w:tc>
          <w:tcPr>
            <w:tcW w:w="899" w:type="dxa"/>
            <w:vAlign w:val="center"/>
          </w:tcPr>
          <w:p>
            <w:pPr>
              <w:widowControl/>
              <w:spacing w:line="300" w:lineRule="exact"/>
              <w:ind w:firstLine="0" w:firstLineChars="0"/>
              <w:jc w:val="center"/>
              <w:textAlignment w:val="center"/>
              <w:rPr>
                <w:sz w:val="24"/>
              </w:rPr>
            </w:pPr>
            <w:r>
              <w:rPr>
                <w:sz w:val="24"/>
              </w:rPr>
              <w:t>7台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w:t>
            </w:r>
          </w:p>
        </w:tc>
        <w:tc>
          <w:tcPr>
            <w:tcW w:w="1523" w:type="dxa"/>
            <w:vAlign w:val="center"/>
          </w:tcPr>
          <w:p>
            <w:pPr>
              <w:widowControl/>
              <w:spacing w:line="300" w:lineRule="exact"/>
              <w:ind w:firstLine="0" w:firstLineChars="0"/>
              <w:jc w:val="center"/>
              <w:textAlignment w:val="center"/>
              <w:rPr>
                <w:sz w:val="24"/>
              </w:rPr>
            </w:pPr>
            <w:r>
              <w:rPr>
                <w:sz w:val="24"/>
              </w:rPr>
              <w:t>移动商务打印机</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w:t>
            </w:r>
          </w:p>
        </w:tc>
        <w:tc>
          <w:tcPr>
            <w:tcW w:w="2187" w:type="dxa"/>
            <w:vAlign w:val="center"/>
          </w:tcPr>
          <w:p>
            <w:pPr>
              <w:widowControl/>
              <w:spacing w:line="300" w:lineRule="exact"/>
              <w:ind w:firstLine="0" w:firstLineChars="0"/>
              <w:jc w:val="center"/>
              <w:textAlignment w:val="center"/>
              <w:rPr>
                <w:sz w:val="24"/>
              </w:rPr>
            </w:pPr>
            <w:r>
              <w:rPr>
                <w:sz w:val="24"/>
              </w:rPr>
              <w:t>索尼N50DCR-DVD805E摄像机</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w:t>
            </w:r>
          </w:p>
        </w:tc>
        <w:tc>
          <w:tcPr>
            <w:tcW w:w="1523" w:type="dxa"/>
            <w:vAlign w:val="center"/>
          </w:tcPr>
          <w:p>
            <w:pPr>
              <w:widowControl/>
              <w:spacing w:line="300" w:lineRule="exact"/>
              <w:ind w:firstLine="0" w:firstLineChars="0"/>
              <w:jc w:val="center"/>
              <w:textAlignment w:val="center"/>
              <w:rPr>
                <w:sz w:val="24"/>
              </w:rPr>
            </w:pPr>
            <w:r>
              <w:rPr>
                <w:sz w:val="24"/>
              </w:rPr>
              <w:t>移动执法小平台</w:t>
            </w:r>
          </w:p>
        </w:tc>
        <w:tc>
          <w:tcPr>
            <w:tcW w:w="927" w:type="dxa"/>
            <w:vAlign w:val="center"/>
          </w:tcPr>
          <w:p>
            <w:pPr>
              <w:widowControl/>
              <w:spacing w:line="300" w:lineRule="exact"/>
              <w:ind w:firstLine="0" w:firstLineChars="0"/>
              <w:jc w:val="center"/>
              <w:textAlignment w:val="center"/>
              <w:rPr>
                <w:sz w:val="24"/>
              </w:rPr>
            </w:pPr>
            <w:r>
              <w:rPr>
                <w:sz w:val="24"/>
              </w:rPr>
              <w:t>1个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w:t>
            </w:r>
          </w:p>
        </w:tc>
        <w:tc>
          <w:tcPr>
            <w:tcW w:w="2187" w:type="dxa"/>
            <w:vAlign w:val="center"/>
          </w:tcPr>
          <w:p>
            <w:pPr>
              <w:widowControl/>
              <w:spacing w:line="300" w:lineRule="exact"/>
              <w:ind w:firstLine="0" w:firstLineChars="0"/>
              <w:jc w:val="center"/>
              <w:textAlignment w:val="center"/>
              <w:rPr>
                <w:sz w:val="24"/>
              </w:rPr>
            </w:pPr>
            <w:r>
              <w:rPr>
                <w:sz w:val="24"/>
              </w:rPr>
              <w:t>原状取土钻</w:t>
            </w:r>
          </w:p>
        </w:tc>
        <w:tc>
          <w:tcPr>
            <w:tcW w:w="899" w:type="dxa"/>
            <w:vAlign w:val="center"/>
          </w:tcPr>
          <w:p>
            <w:pPr>
              <w:widowControl/>
              <w:spacing w:line="300" w:lineRule="exact"/>
              <w:ind w:firstLine="0" w:firstLineChars="0"/>
              <w:jc w:val="center"/>
              <w:textAlignment w:val="center"/>
              <w:rPr>
                <w:sz w:val="24"/>
              </w:rPr>
            </w:pPr>
            <w:r>
              <w:rPr>
                <w:sz w:val="24"/>
              </w:rPr>
              <w:t>4把</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w:t>
            </w:r>
          </w:p>
        </w:tc>
        <w:tc>
          <w:tcPr>
            <w:tcW w:w="1523" w:type="dxa"/>
            <w:vAlign w:val="center"/>
          </w:tcPr>
          <w:p>
            <w:pPr>
              <w:widowControl/>
              <w:spacing w:line="300" w:lineRule="exact"/>
              <w:ind w:firstLine="0" w:firstLineChars="0"/>
              <w:jc w:val="center"/>
              <w:textAlignment w:val="center"/>
              <w:rPr>
                <w:sz w:val="24"/>
              </w:rPr>
            </w:pPr>
            <w:r>
              <w:rPr>
                <w:sz w:val="24"/>
              </w:rPr>
              <w:t>可视电话T-49G</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9</w:t>
            </w:r>
          </w:p>
        </w:tc>
        <w:tc>
          <w:tcPr>
            <w:tcW w:w="2187" w:type="dxa"/>
            <w:vAlign w:val="center"/>
          </w:tcPr>
          <w:p>
            <w:pPr>
              <w:widowControl/>
              <w:spacing w:line="300" w:lineRule="exact"/>
              <w:ind w:firstLine="0" w:firstLineChars="0"/>
              <w:jc w:val="center"/>
              <w:textAlignment w:val="center"/>
              <w:rPr>
                <w:sz w:val="24"/>
              </w:rPr>
            </w:pPr>
            <w:r>
              <w:rPr>
                <w:sz w:val="24"/>
              </w:rPr>
              <w:t>瓶式深水采样器</w:t>
            </w:r>
          </w:p>
        </w:tc>
        <w:tc>
          <w:tcPr>
            <w:tcW w:w="899" w:type="dxa"/>
            <w:vAlign w:val="center"/>
          </w:tcPr>
          <w:p>
            <w:pPr>
              <w:widowControl/>
              <w:spacing w:line="300" w:lineRule="exact"/>
              <w:ind w:firstLine="0" w:firstLineChars="0"/>
              <w:jc w:val="center"/>
              <w:textAlignment w:val="center"/>
              <w:rPr>
                <w:sz w:val="24"/>
              </w:rPr>
            </w:pPr>
            <w:r>
              <w:rPr>
                <w:sz w:val="24"/>
              </w:rPr>
              <w:t>4台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10</w:t>
            </w:r>
          </w:p>
        </w:tc>
        <w:tc>
          <w:tcPr>
            <w:tcW w:w="1523" w:type="dxa"/>
            <w:vAlign w:val="center"/>
          </w:tcPr>
          <w:p>
            <w:pPr>
              <w:widowControl/>
              <w:spacing w:line="300" w:lineRule="exact"/>
              <w:ind w:firstLine="0" w:firstLineChars="0"/>
              <w:jc w:val="center"/>
              <w:textAlignment w:val="center"/>
              <w:rPr>
                <w:sz w:val="24"/>
              </w:rPr>
            </w:pPr>
            <w:r>
              <w:rPr>
                <w:sz w:val="24"/>
              </w:rPr>
              <w:t>激光打印机G3Q68A</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11</w:t>
            </w:r>
          </w:p>
        </w:tc>
        <w:tc>
          <w:tcPr>
            <w:tcW w:w="2187" w:type="dxa"/>
            <w:vAlign w:val="center"/>
          </w:tcPr>
          <w:p>
            <w:pPr>
              <w:widowControl/>
              <w:spacing w:line="300" w:lineRule="exact"/>
              <w:ind w:firstLine="0" w:firstLineChars="0"/>
              <w:jc w:val="center"/>
              <w:textAlignment w:val="center"/>
              <w:rPr>
                <w:sz w:val="24"/>
              </w:rPr>
            </w:pPr>
            <w:r>
              <w:rPr>
                <w:sz w:val="24"/>
              </w:rPr>
              <w:t>医用X射线防护裙</w:t>
            </w:r>
          </w:p>
        </w:tc>
        <w:tc>
          <w:tcPr>
            <w:tcW w:w="899" w:type="dxa"/>
            <w:vAlign w:val="center"/>
          </w:tcPr>
          <w:p>
            <w:pPr>
              <w:widowControl/>
              <w:spacing w:line="300" w:lineRule="exact"/>
              <w:ind w:firstLine="0" w:firstLineChars="0"/>
              <w:jc w:val="center"/>
              <w:textAlignment w:val="center"/>
              <w:rPr>
                <w:sz w:val="24"/>
              </w:rPr>
            </w:pPr>
            <w:r>
              <w:rPr>
                <w:sz w:val="24"/>
              </w:rPr>
              <w:t>1套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12</w:t>
            </w:r>
          </w:p>
        </w:tc>
        <w:tc>
          <w:tcPr>
            <w:tcW w:w="1523" w:type="dxa"/>
            <w:vAlign w:val="center"/>
          </w:tcPr>
          <w:p>
            <w:pPr>
              <w:widowControl/>
              <w:spacing w:line="300" w:lineRule="exact"/>
              <w:ind w:firstLine="0" w:firstLineChars="0"/>
              <w:jc w:val="center"/>
              <w:textAlignment w:val="center"/>
              <w:rPr>
                <w:sz w:val="24"/>
              </w:rPr>
            </w:pPr>
            <w:r>
              <w:rPr>
                <w:sz w:val="24"/>
              </w:rPr>
              <w:t>高清布控球HDS-EP</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13</w:t>
            </w:r>
          </w:p>
        </w:tc>
        <w:tc>
          <w:tcPr>
            <w:tcW w:w="2187" w:type="dxa"/>
            <w:vAlign w:val="center"/>
          </w:tcPr>
          <w:p>
            <w:pPr>
              <w:widowControl/>
              <w:spacing w:line="300" w:lineRule="exact"/>
              <w:ind w:firstLine="0" w:firstLineChars="0"/>
              <w:jc w:val="center"/>
              <w:textAlignment w:val="center"/>
              <w:rPr>
                <w:sz w:val="24"/>
              </w:rPr>
            </w:pPr>
            <w:r>
              <w:rPr>
                <w:sz w:val="24"/>
              </w:rPr>
              <w:t>惠普旧打印机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14</w:t>
            </w:r>
          </w:p>
        </w:tc>
        <w:tc>
          <w:tcPr>
            <w:tcW w:w="1523" w:type="dxa"/>
            <w:vAlign w:val="center"/>
          </w:tcPr>
          <w:p>
            <w:pPr>
              <w:widowControl/>
              <w:spacing w:line="300" w:lineRule="exact"/>
              <w:ind w:firstLine="0" w:firstLineChars="0"/>
              <w:jc w:val="center"/>
              <w:textAlignment w:val="center"/>
              <w:rPr>
                <w:sz w:val="24"/>
              </w:rPr>
            </w:pPr>
            <w:r>
              <w:rPr>
                <w:sz w:val="24"/>
              </w:rPr>
              <w:t>环境监测安全帽</w:t>
            </w:r>
          </w:p>
        </w:tc>
        <w:tc>
          <w:tcPr>
            <w:tcW w:w="927" w:type="dxa"/>
            <w:vAlign w:val="center"/>
          </w:tcPr>
          <w:p>
            <w:pPr>
              <w:widowControl/>
              <w:spacing w:line="300" w:lineRule="exact"/>
              <w:ind w:firstLine="0" w:firstLineChars="0"/>
              <w:jc w:val="center"/>
              <w:textAlignment w:val="center"/>
              <w:rPr>
                <w:sz w:val="24"/>
              </w:rPr>
            </w:pPr>
            <w:r>
              <w:rPr>
                <w:sz w:val="24"/>
              </w:rPr>
              <w:t>10顶</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15</w:t>
            </w:r>
          </w:p>
        </w:tc>
        <w:tc>
          <w:tcPr>
            <w:tcW w:w="2187" w:type="dxa"/>
            <w:vAlign w:val="center"/>
          </w:tcPr>
          <w:p>
            <w:pPr>
              <w:widowControl/>
              <w:spacing w:line="300" w:lineRule="exact"/>
              <w:ind w:firstLine="0" w:firstLineChars="0"/>
              <w:jc w:val="center"/>
              <w:textAlignment w:val="center"/>
              <w:rPr>
                <w:sz w:val="24"/>
              </w:rPr>
            </w:pPr>
            <w:r>
              <w:rPr>
                <w:sz w:val="24"/>
              </w:rPr>
              <w:t>铝箔采样袋</w:t>
            </w:r>
          </w:p>
        </w:tc>
        <w:tc>
          <w:tcPr>
            <w:tcW w:w="899" w:type="dxa"/>
            <w:vAlign w:val="center"/>
          </w:tcPr>
          <w:p>
            <w:pPr>
              <w:widowControl/>
              <w:spacing w:line="300" w:lineRule="exact"/>
              <w:ind w:firstLine="0" w:firstLineChars="0"/>
              <w:jc w:val="center"/>
              <w:textAlignment w:val="center"/>
              <w:rPr>
                <w:sz w:val="24"/>
              </w:rPr>
            </w:pPr>
            <w:r>
              <w:rPr>
                <w:sz w:val="24"/>
              </w:rPr>
              <w:t>80个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16</w:t>
            </w:r>
          </w:p>
        </w:tc>
        <w:tc>
          <w:tcPr>
            <w:tcW w:w="1523" w:type="dxa"/>
            <w:vAlign w:val="center"/>
          </w:tcPr>
          <w:p>
            <w:pPr>
              <w:widowControl/>
              <w:spacing w:line="300" w:lineRule="exact"/>
              <w:ind w:firstLine="0" w:firstLineChars="0"/>
              <w:jc w:val="center"/>
              <w:textAlignment w:val="center"/>
              <w:rPr>
                <w:sz w:val="24"/>
              </w:rPr>
            </w:pPr>
            <w:r>
              <w:rPr>
                <w:sz w:val="24"/>
              </w:rPr>
              <w:t>荣耀畅玩平板</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17</w:t>
            </w:r>
          </w:p>
        </w:tc>
        <w:tc>
          <w:tcPr>
            <w:tcW w:w="2187" w:type="dxa"/>
            <w:vAlign w:val="center"/>
          </w:tcPr>
          <w:p>
            <w:pPr>
              <w:widowControl/>
              <w:spacing w:line="300" w:lineRule="exact"/>
              <w:ind w:firstLine="0" w:firstLineChars="0"/>
              <w:jc w:val="center"/>
              <w:textAlignment w:val="center"/>
              <w:rPr>
                <w:sz w:val="24"/>
              </w:rPr>
            </w:pPr>
            <w:r>
              <w:rPr>
                <w:sz w:val="24"/>
              </w:rPr>
              <w:t>光电测烟望远镜</w:t>
            </w:r>
          </w:p>
        </w:tc>
        <w:tc>
          <w:tcPr>
            <w:tcW w:w="899" w:type="dxa"/>
            <w:vAlign w:val="center"/>
          </w:tcPr>
          <w:p>
            <w:pPr>
              <w:widowControl/>
              <w:spacing w:line="300" w:lineRule="exact"/>
              <w:ind w:firstLine="0" w:firstLineChars="0"/>
              <w:jc w:val="center"/>
              <w:textAlignment w:val="center"/>
              <w:rPr>
                <w:sz w:val="24"/>
              </w:rPr>
            </w:pPr>
            <w:r>
              <w:rPr>
                <w:sz w:val="24"/>
              </w:rPr>
              <w:t>1套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18</w:t>
            </w:r>
          </w:p>
        </w:tc>
        <w:tc>
          <w:tcPr>
            <w:tcW w:w="1523" w:type="dxa"/>
            <w:vAlign w:val="center"/>
          </w:tcPr>
          <w:p>
            <w:pPr>
              <w:widowControl/>
              <w:spacing w:line="300" w:lineRule="exact"/>
              <w:ind w:firstLine="0" w:firstLineChars="0"/>
              <w:jc w:val="center"/>
              <w:textAlignment w:val="center"/>
              <w:rPr>
                <w:sz w:val="24"/>
              </w:rPr>
            </w:pPr>
            <w:r>
              <w:rPr>
                <w:sz w:val="24"/>
              </w:rPr>
              <w:t>防护服</w:t>
            </w:r>
          </w:p>
        </w:tc>
        <w:tc>
          <w:tcPr>
            <w:tcW w:w="927" w:type="dxa"/>
            <w:vAlign w:val="center"/>
          </w:tcPr>
          <w:p>
            <w:pPr>
              <w:widowControl/>
              <w:spacing w:line="300" w:lineRule="exact"/>
              <w:ind w:firstLine="0" w:firstLineChars="0"/>
              <w:jc w:val="center"/>
              <w:textAlignment w:val="center"/>
              <w:rPr>
                <w:sz w:val="24"/>
              </w:rPr>
            </w:pPr>
            <w:r>
              <w:rPr>
                <w:sz w:val="24"/>
              </w:rPr>
              <w:t>17套</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19</w:t>
            </w:r>
          </w:p>
        </w:tc>
        <w:tc>
          <w:tcPr>
            <w:tcW w:w="2187" w:type="dxa"/>
            <w:vAlign w:val="center"/>
          </w:tcPr>
          <w:p>
            <w:pPr>
              <w:widowControl/>
              <w:spacing w:line="300" w:lineRule="exact"/>
              <w:ind w:firstLine="0" w:firstLineChars="0"/>
              <w:jc w:val="center"/>
              <w:textAlignment w:val="center"/>
              <w:rPr>
                <w:sz w:val="24"/>
              </w:rPr>
            </w:pPr>
            <w:r>
              <w:rPr>
                <w:sz w:val="24"/>
              </w:rPr>
              <w:t>烟气分析仪</w:t>
            </w:r>
          </w:p>
        </w:tc>
        <w:tc>
          <w:tcPr>
            <w:tcW w:w="899" w:type="dxa"/>
            <w:vAlign w:val="center"/>
          </w:tcPr>
          <w:p>
            <w:pPr>
              <w:widowControl/>
              <w:spacing w:line="300" w:lineRule="exact"/>
              <w:ind w:firstLine="0" w:firstLineChars="0"/>
              <w:jc w:val="center"/>
              <w:textAlignment w:val="center"/>
              <w:rPr>
                <w:sz w:val="24"/>
              </w:rPr>
            </w:pPr>
            <w:r>
              <w:rPr>
                <w:sz w:val="24"/>
              </w:rPr>
              <w:t>1套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20</w:t>
            </w:r>
          </w:p>
        </w:tc>
        <w:tc>
          <w:tcPr>
            <w:tcW w:w="1523" w:type="dxa"/>
            <w:vAlign w:val="center"/>
          </w:tcPr>
          <w:p>
            <w:pPr>
              <w:widowControl/>
              <w:spacing w:line="300" w:lineRule="exact"/>
              <w:ind w:firstLine="0" w:firstLineChars="0"/>
              <w:jc w:val="center"/>
              <w:textAlignment w:val="center"/>
              <w:rPr>
                <w:sz w:val="24"/>
              </w:rPr>
            </w:pPr>
            <w:r>
              <w:rPr>
                <w:sz w:val="24"/>
              </w:rPr>
              <w:t>应急供电照明</w:t>
            </w:r>
          </w:p>
        </w:tc>
        <w:tc>
          <w:tcPr>
            <w:tcW w:w="927" w:type="dxa"/>
            <w:vAlign w:val="center"/>
          </w:tcPr>
          <w:p>
            <w:pPr>
              <w:widowControl/>
              <w:spacing w:line="300" w:lineRule="exact"/>
              <w:ind w:firstLine="0" w:firstLineChars="0"/>
              <w:jc w:val="center"/>
              <w:textAlignment w:val="center"/>
              <w:rPr>
                <w:sz w:val="24"/>
              </w:rPr>
            </w:pPr>
            <w:r>
              <w:rPr>
                <w:sz w:val="24"/>
              </w:rPr>
              <w:t>1个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21</w:t>
            </w:r>
          </w:p>
        </w:tc>
        <w:tc>
          <w:tcPr>
            <w:tcW w:w="2187" w:type="dxa"/>
            <w:vAlign w:val="center"/>
          </w:tcPr>
          <w:p>
            <w:pPr>
              <w:widowControl/>
              <w:spacing w:line="300" w:lineRule="exact"/>
              <w:ind w:firstLine="0" w:firstLineChars="0"/>
              <w:jc w:val="center"/>
              <w:textAlignment w:val="center"/>
              <w:rPr>
                <w:sz w:val="24"/>
              </w:rPr>
            </w:pPr>
            <w:r>
              <w:rPr>
                <w:sz w:val="24"/>
              </w:rPr>
              <w:t>医药箱</w:t>
            </w:r>
          </w:p>
        </w:tc>
        <w:tc>
          <w:tcPr>
            <w:tcW w:w="899" w:type="dxa"/>
            <w:vAlign w:val="center"/>
          </w:tcPr>
          <w:p>
            <w:pPr>
              <w:widowControl/>
              <w:spacing w:line="300" w:lineRule="exact"/>
              <w:ind w:firstLine="0" w:firstLineChars="0"/>
              <w:jc w:val="center"/>
              <w:textAlignment w:val="center"/>
              <w:rPr>
                <w:sz w:val="24"/>
              </w:rPr>
            </w:pPr>
            <w:r>
              <w:rPr>
                <w:sz w:val="24"/>
              </w:rPr>
              <w:t>11个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22</w:t>
            </w:r>
          </w:p>
        </w:tc>
        <w:tc>
          <w:tcPr>
            <w:tcW w:w="1523" w:type="dxa"/>
            <w:vAlign w:val="center"/>
          </w:tcPr>
          <w:p>
            <w:pPr>
              <w:widowControl/>
              <w:spacing w:line="300" w:lineRule="exact"/>
              <w:ind w:firstLine="0" w:firstLineChars="0"/>
              <w:jc w:val="center"/>
              <w:textAlignment w:val="center"/>
              <w:rPr>
                <w:sz w:val="24"/>
              </w:rPr>
            </w:pPr>
            <w:r>
              <w:rPr>
                <w:sz w:val="24"/>
              </w:rPr>
              <w:t>气体致密性化学防护服</w:t>
            </w:r>
          </w:p>
        </w:tc>
        <w:tc>
          <w:tcPr>
            <w:tcW w:w="927" w:type="dxa"/>
            <w:vAlign w:val="center"/>
          </w:tcPr>
          <w:p>
            <w:pPr>
              <w:widowControl/>
              <w:spacing w:line="300" w:lineRule="exact"/>
              <w:ind w:firstLine="0" w:firstLineChars="0"/>
              <w:jc w:val="center"/>
              <w:textAlignment w:val="center"/>
              <w:rPr>
                <w:sz w:val="24"/>
              </w:rPr>
            </w:pPr>
            <w:r>
              <w:rPr>
                <w:sz w:val="24"/>
              </w:rPr>
              <w:t>2套</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23</w:t>
            </w:r>
          </w:p>
        </w:tc>
        <w:tc>
          <w:tcPr>
            <w:tcW w:w="2187" w:type="dxa"/>
            <w:vAlign w:val="center"/>
          </w:tcPr>
          <w:p>
            <w:pPr>
              <w:widowControl/>
              <w:spacing w:line="300" w:lineRule="exact"/>
              <w:ind w:firstLine="0" w:firstLineChars="0"/>
              <w:jc w:val="center"/>
              <w:textAlignment w:val="center"/>
              <w:rPr>
                <w:sz w:val="24"/>
              </w:rPr>
            </w:pPr>
            <w:r>
              <w:rPr>
                <w:sz w:val="24"/>
              </w:rPr>
              <w:t>QT201林格曼测烟望远镜</w:t>
            </w:r>
          </w:p>
        </w:tc>
        <w:tc>
          <w:tcPr>
            <w:tcW w:w="899" w:type="dxa"/>
            <w:vAlign w:val="center"/>
          </w:tcPr>
          <w:p>
            <w:pPr>
              <w:widowControl/>
              <w:spacing w:line="300" w:lineRule="exact"/>
              <w:ind w:firstLine="0" w:firstLineChars="0"/>
              <w:jc w:val="center"/>
              <w:textAlignment w:val="center"/>
              <w:rPr>
                <w:sz w:val="24"/>
              </w:rPr>
            </w:pPr>
            <w:r>
              <w:rPr>
                <w:sz w:val="24"/>
              </w:rPr>
              <w:t>1个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24</w:t>
            </w:r>
          </w:p>
        </w:tc>
        <w:tc>
          <w:tcPr>
            <w:tcW w:w="1523" w:type="dxa"/>
            <w:vAlign w:val="center"/>
          </w:tcPr>
          <w:p>
            <w:pPr>
              <w:widowControl/>
              <w:spacing w:line="300" w:lineRule="exact"/>
              <w:ind w:firstLine="0" w:firstLineChars="0"/>
              <w:jc w:val="center"/>
              <w:textAlignment w:val="center"/>
              <w:rPr>
                <w:sz w:val="24"/>
              </w:rPr>
            </w:pPr>
            <w:r>
              <w:rPr>
                <w:sz w:val="24"/>
              </w:rPr>
              <w:t>光电测烟望远镜QT201B</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25</w:t>
            </w:r>
          </w:p>
        </w:tc>
        <w:tc>
          <w:tcPr>
            <w:tcW w:w="2187" w:type="dxa"/>
            <w:vAlign w:val="center"/>
          </w:tcPr>
          <w:p>
            <w:pPr>
              <w:widowControl/>
              <w:spacing w:line="300" w:lineRule="exact"/>
              <w:ind w:firstLine="0" w:firstLineChars="0"/>
              <w:jc w:val="center"/>
              <w:textAlignment w:val="center"/>
              <w:rPr>
                <w:sz w:val="24"/>
              </w:rPr>
            </w:pPr>
            <w:r>
              <w:rPr>
                <w:sz w:val="24"/>
              </w:rPr>
              <w:t>简易呼吸器</w:t>
            </w:r>
          </w:p>
        </w:tc>
        <w:tc>
          <w:tcPr>
            <w:tcW w:w="899" w:type="dxa"/>
            <w:vAlign w:val="center"/>
          </w:tcPr>
          <w:p>
            <w:pPr>
              <w:widowControl/>
              <w:spacing w:line="300" w:lineRule="exact"/>
              <w:ind w:firstLine="0" w:firstLineChars="0"/>
              <w:jc w:val="center"/>
              <w:textAlignment w:val="center"/>
              <w:rPr>
                <w:sz w:val="24"/>
              </w:rPr>
            </w:pPr>
            <w:r>
              <w:rPr>
                <w:sz w:val="24"/>
              </w:rPr>
              <w:t>3个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26</w:t>
            </w:r>
          </w:p>
        </w:tc>
        <w:tc>
          <w:tcPr>
            <w:tcW w:w="1523" w:type="dxa"/>
            <w:vAlign w:val="center"/>
          </w:tcPr>
          <w:p>
            <w:pPr>
              <w:widowControl/>
              <w:spacing w:line="300" w:lineRule="exact"/>
              <w:ind w:firstLine="0" w:firstLineChars="0"/>
              <w:jc w:val="center"/>
              <w:textAlignment w:val="center"/>
              <w:rPr>
                <w:sz w:val="24"/>
              </w:rPr>
            </w:pPr>
            <w:r>
              <w:rPr>
                <w:sz w:val="24"/>
              </w:rPr>
              <w:t>帐篷</w:t>
            </w:r>
          </w:p>
        </w:tc>
        <w:tc>
          <w:tcPr>
            <w:tcW w:w="927" w:type="dxa"/>
            <w:vAlign w:val="center"/>
          </w:tcPr>
          <w:p>
            <w:pPr>
              <w:widowControl/>
              <w:spacing w:line="300" w:lineRule="exact"/>
              <w:ind w:firstLine="0" w:firstLineChars="0"/>
              <w:jc w:val="center"/>
              <w:textAlignment w:val="center"/>
              <w:rPr>
                <w:sz w:val="24"/>
              </w:rPr>
            </w:pPr>
            <w:r>
              <w:rPr>
                <w:sz w:val="24"/>
              </w:rPr>
              <w:t>2顶</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27</w:t>
            </w:r>
          </w:p>
        </w:tc>
        <w:tc>
          <w:tcPr>
            <w:tcW w:w="2187" w:type="dxa"/>
            <w:vAlign w:val="center"/>
          </w:tcPr>
          <w:p>
            <w:pPr>
              <w:widowControl/>
              <w:spacing w:line="300" w:lineRule="exact"/>
              <w:ind w:firstLine="0" w:firstLineChars="0"/>
              <w:jc w:val="center"/>
              <w:textAlignment w:val="center"/>
              <w:rPr>
                <w:sz w:val="24"/>
              </w:rPr>
            </w:pPr>
            <w:r>
              <w:rPr>
                <w:sz w:val="24"/>
              </w:rPr>
              <w:t>溶解氧测定仪</w:t>
            </w:r>
          </w:p>
        </w:tc>
        <w:tc>
          <w:tcPr>
            <w:tcW w:w="899" w:type="dxa"/>
            <w:vAlign w:val="center"/>
          </w:tcPr>
          <w:p>
            <w:pPr>
              <w:widowControl/>
              <w:spacing w:line="300" w:lineRule="exact"/>
              <w:ind w:firstLine="0" w:firstLineChars="0"/>
              <w:jc w:val="center"/>
              <w:textAlignment w:val="center"/>
              <w:rPr>
                <w:sz w:val="24"/>
              </w:rPr>
            </w:pPr>
            <w:r>
              <w:rPr>
                <w:sz w:val="24"/>
              </w:rPr>
              <w:t>3台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28</w:t>
            </w:r>
          </w:p>
        </w:tc>
        <w:tc>
          <w:tcPr>
            <w:tcW w:w="1523" w:type="dxa"/>
            <w:vAlign w:val="center"/>
          </w:tcPr>
          <w:p>
            <w:pPr>
              <w:widowControl/>
              <w:spacing w:line="300" w:lineRule="exact"/>
              <w:ind w:firstLine="0" w:firstLineChars="0"/>
              <w:jc w:val="center"/>
              <w:textAlignment w:val="center"/>
              <w:rPr>
                <w:sz w:val="24"/>
              </w:rPr>
            </w:pPr>
            <w:r>
              <w:rPr>
                <w:sz w:val="24"/>
              </w:rPr>
              <w:t>睡袋</w:t>
            </w:r>
          </w:p>
        </w:tc>
        <w:tc>
          <w:tcPr>
            <w:tcW w:w="927" w:type="dxa"/>
            <w:vAlign w:val="center"/>
          </w:tcPr>
          <w:p>
            <w:pPr>
              <w:widowControl/>
              <w:spacing w:line="300" w:lineRule="exact"/>
              <w:ind w:firstLine="0" w:firstLineChars="0"/>
              <w:jc w:val="center"/>
              <w:textAlignment w:val="center"/>
              <w:rPr>
                <w:sz w:val="24"/>
              </w:rPr>
            </w:pPr>
            <w:r>
              <w:rPr>
                <w:sz w:val="24"/>
              </w:rPr>
              <w:t>4个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29</w:t>
            </w:r>
          </w:p>
        </w:tc>
        <w:tc>
          <w:tcPr>
            <w:tcW w:w="2187" w:type="dxa"/>
            <w:vAlign w:val="center"/>
          </w:tcPr>
          <w:p>
            <w:pPr>
              <w:widowControl/>
              <w:spacing w:line="300" w:lineRule="exact"/>
              <w:ind w:firstLine="0" w:firstLineChars="0"/>
              <w:jc w:val="center"/>
              <w:textAlignment w:val="center"/>
              <w:rPr>
                <w:sz w:val="24"/>
              </w:rPr>
            </w:pPr>
            <w:r>
              <w:rPr>
                <w:sz w:val="24"/>
              </w:rPr>
              <w:t>PH计SG8</w:t>
            </w:r>
          </w:p>
        </w:tc>
        <w:tc>
          <w:tcPr>
            <w:tcW w:w="899" w:type="dxa"/>
            <w:vAlign w:val="center"/>
          </w:tcPr>
          <w:p>
            <w:pPr>
              <w:widowControl/>
              <w:spacing w:line="300" w:lineRule="exact"/>
              <w:ind w:firstLine="0" w:firstLineChars="0"/>
              <w:jc w:val="center"/>
              <w:textAlignment w:val="center"/>
              <w:rPr>
                <w:sz w:val="24"/>
              </w:rPr>
            </w:pPr>
            <w:r>
              <w:rPr>
                <w:sz w:val="24"/>
              </w:rPr>
              <w:t>1个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30</w:t>
            </w:r>
          </w:p>
        </w:tc>
        <w:tc>
          <w:tcPr>
            <w:tcW w:w="1523" w:type="dxa"/>
            <w:vAlign w:val="center"/>
          </w:tcPr>
          <w:p>
            <w:pPr>
              <w:widowControl/>
              <w:spacing w:line="300" w:lineRule="exact"/>
              <w:ind w:firstLine="0" w:firstLineChars="0"/>
              <w:jc w:val="center"/>
              <w:textAlignment w:val="center"/>
              <w:rPr>
                <w:sz w:val="24"/>
              </w:rPr>
            </w:pPr>
            <w:r>
              <w:rPr>
                <w:sz w:val="24"/>
              </w:rPr>
              <w:t>自给正压式呼吸器红色</w:t>
            </w:r>
          </w:p>
        </w:tc>
        <w:tc>
          <w:tcPr>
            <w:tcW w:w="927" w:type="dxa"/>
            <w:vAlign w:val="center"/>
          </w:tcPr>
          <w:p>
            <w:pPr>
              <w:widowControl/>
              <w:spacing w:line="300" w:lineRule="exact"/>
              <w:ind w:firstLine="0" w:firstLineChars="0"/>
              <w:jc w:val="center"/>
              <w:textAlignment w:val="center"/>
              <w:rPr>
                <w:sz w:val="24"/>
              </w:rPr>
            </w:pPr>
            <w:r>
              <w:rPr>
                <w:sz w:val="24"/>
              </w:rPr>
              <w:t>3个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31</w:t>
            </w:r>
          </w:p>
        </w:tc>
        <w:tc>
          <w:tcPr>
            <w:tcW w:w="2187" w:type="dxa"/>
            <w:vAlign w:val="center"/>
          </w:tcPr>
          <w:p>
            <w:pPr>
              <w:widowControl/>
              <w:spacing w:line="300" w:lineRule="exact"/>
              <w:ind w:firstLine="0" w:firstLineChars="0"/>
              <w:jc w:val="center"/>
              <w:textAlignment w:val="center"/>
              <w:rPr>
                <w:sz w:val="24"/>
              </w:rPr>
            </w:pPr>
            <w:r>
              <w:rPr>
                <w:sz w:val="24"/>
              </w:rPr>
              <w:t>MPS机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32</w:t>
            </w:r>
          </w:p>
        </w:tc>
        <w:tc>
          <w:tcPr>
            <w:tcW w:w="1523" w:type="dxa"/>
            <w:vAlign w:val="center"/>
          </w:tcPr>
          <w:p>
            <w:pPr>
              <w:widowControl/>
              <w:spacing w:line="300" w:lineRule="exact"/>
              <w:ind w:firstLine="0" w:firstLineChars="0"/>
              <w:jc w:val="center"/>
              <w:textAlignment w:val="center"/>
              <w:rPr>
                <w:sz w:val="24"/>
              </w:rPr>
            </w:pPr>
            <w:r>
              <w:rPr>
                <w:sz w:val="24"/>
              </w:rPr>
              <w:t>护目镜</w:t>
            </w:r>
          </w:p>
        </w:tc>
        <w:tc>
          <w:tcPr>
            <w:tcW w:w="927" w:type="dxa"/>
            <w:vAlign w:val="center"/>
          </w:tcPr>
          <w:p>
            <w:pPr>
              <w:widowControl/>
              <w:spacing w:line="300" w:lineRule="exact"/>
              <w:ind w:firstLine="0" w:firstLineChars="0"/>
              <w:jc w:val="center"/>
              <w:textAlignment w:val="center"/>
              <w:rPr>
                <w:sz w:val="24"/>
              </w:rPr>
            </w:pPr>
            <w:r>
              <w:rPr>
                <w:sz w:val="24"/>
              </w:rPr>
              <w:t>5个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33</w:t>
            </w:r>
          </w:p>
        </w:tc>
        <w:tc>
          <w:tcPr>
            <w:tcW w:w="2187" w:type="dxa"/>
            <w:vAlign w:val="center"/>
          </w:tcPr>
          <w:p>
            <w:pPr>
              <w:widowControl/>
              <w:spacing w:line="300" w:lineRule="exact"/>
              <w:ind w:firstLine="0" w:firstLineChars="0"/>
              <w:jc w:val="center"/>
              <w:textAlignment w:val="center"/>
              <w:rPr>
                <w:sz w:val="24"/>
              </w:rPr>
            </w:pPr>
            <w:r>
              <w:rPr>
                <w:sz w:val="24"/>
              </w:rPr>
              <w:t>华德安单警执法視音频记录仪</w:t>
            </w:r>
          </w:p>
        </w:tc>
        <w:tc>
          <w:tcPr>
            <w:tcW w:w="899" w:type="dxa"/>
            <w:vAlign w:val="center"/>
          </w:tcPr>
          <w:p>
            <w:pPr>
              <w:widowControl/>
              <w:spacing w:line="300" w:lineRule="exact"/>
              <w:ind w:firstLine="0" w:firstLineChars="0"/>
              <w:jc w:val="center"/>
              <w:textAlignment w:val="center"/>
              <w:rPr>
                <w:sz w:val="24"/>
              </w:rPr>
            </w:pPr>
            <w:r>
              <w:rPr>
                <w:sz w:val="24"/>
              </w:rPr>
              <w:t>7台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34</w:t>
            </w:r>
          </w:p>
        </w:tc>
        <w:tc>
          <w:tcPr>
            <w:tcW w:w="1523" w:type="dxa"/>
            <w:vAlign w:val="center"/>
          </w:tcPr>
          <w:p>
            <w:pPr>
              <w:widowControl/>
              <w:spacing w:line="300" w:lineRule="exact"/>
              <w:ind w:firstLine="0" w:firstLineChars="0"/>
              <w:jc w:val="center"/>
              <w:textAlignment w:val="center"/>
              <w:rPr>
                <w:sz w:val="24"/>
              </w:rPr>
            </w:pPr>
            <w:r>
              <w:rPr>
                <w:sz w:val="24"/>
              </w:rPr>
              <w:t>易燃易爆气体报警装置</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35</w:t>
            </w:r>
          </w:p>
        </w:tc>
        <w:tc>
          <w:tcPr>
            <w:tcW w:w="2187" w:type="dxa"/>
            <w:vAlign w:val="center"/>
          </w:tcPr>
          <w:p>
            <w:pPr>
              <w:widowControl/>
              <w:spacing w:line="300" w:lineRule="exact"/>
              <w:ind w:firstLine="0" w:firstLineChars="0"/>
              <w:jc w:val="center"/>
              <w:textAlignment w:val="center"/>
              <w:rPr>
                <w:sz w:val="24"/>
              </w:rPr>
            </w:pPr>
            <w:r>
              <w:rPr>
                <w:sz w:val="24"/>
              </w:rPr>
              <w:t>索尼HDR-PJ675摄像机</w:t>
            </w:r>
          </w:p>
        </w:tc>
        <w:tc>
          <w:tcPr>
            <w:tcW w:w="899" w:type="dxa"/>
            <w:vAlign w:val="center"/>
          </w:tcPr>
          <w:p>
            <w:pPr>
              <w:widowControl/>
              <w:spacing w:line="300" w:lineRule="exact"/>
              <w:ind w:firstLine="0" w:firstLineChars="0"/>
              <w:jc w:val="center"/>
              <w:textAlignment w:val="center"/>
              <w:rPr>
                <w:sz w:val="24"/>
              </w:rPr>
            </w:pPr>
            <w:r>
              <w:rPr>
                <w:sz w:val="24"/>
              </w:rPr>
              <w:t>4台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36</w:t>
            </w:r>
          </w:p>
        </w:tc>
        <w:tc>
          <w:tcPr>
            <w:tcW w:w="1523" w:type="dxa"/>
            <w:vAlign w:val="center"/>
          </w:tcPr>
          <w:p>
            <w:pPr>
              <w:widowControl/>
              <w:spacing w:line="300" w:lineRule="exact"/>
              <w:ind w:firstLine="0" w:firstLineChars="0"/>
              <w:jc w:val="center"/>
              <w:textAlignment w:val="center"/>
              <w:rPr>
                <w:sz w:val="24"/>
              </w:rPr>
            </w:pPr>
            <w:r>
              <w:rPr>
                <w:sz w:val="24"/>
              </w:rPr>
              <w:t>P-51突发事件有毒有害气体检测箱</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37</w:t>
            </w:r>
          </w:p>
        </w:tc>
        <w:tc>
          <w:tcPr>
            <w:tcW w:w="2187" w:type="dxa"/>
            <w:vAlign w:val="center"/>
          </w:tcPr>
          <w:p>
            <w:pPr>
              <w:widowControl/>
              <w:spacing w:line="300" w:lineRule="exact"/>
              <w:ind w:firstLine="0" w:firstLineChars="0"/>
              <w:jc w:val="center"/>
              <w:textAlignment w:val="center"/>
              <w:rPr>
                <w:sz w:val="24"/>
              </w:rPr>
            </w:pPr>
            <w:r>
              <w:rPr>
                <w:sz w:val="24"/>
              </w:rPr>
              <w:t>DR1890机器</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38</w:t>
            </w:r>
          </w:p>
        </w:tc>
        <w:tc>
          <w:tcPr>
            <w:tcW w:w="1523" w:type="dxa"/>
            <w:vAlign w:val="center"/>
          </w:tcPr>
          <w:p>
            <w:pPr>
              <w:widowControl/>
              <w:spacing w:line="300" w:lineRule="exact"/>
              <w:ind w:firstLine="0" w:firstLineChars="0"/>
              <w:jc w:val="center"/>
              <w:textAlignment w:val="center"/>
              <w:rPr>
                <w:sz w:val="24"/>
              </w:rPr>
            </w:pPr>
            <w:r>
              <w:rPr>
                <w:sz w:val="24"/>
              </w:rPr>
              <w:t>辐射报警装置</w:t>
            </w:r>
          </w:p>
        </w:tc>
        <w:tc>
          <w:tcPr>
            <w:tcW w:w="927" w:type="dxa"/>
            <w:vAlign w:val="center"/>
          </w:tcPr>
          <w:p>
            <w:pPr>
              <w:widowControl/>
              <w:spacing w:line="300" w:lineRule="exact"/>
              <w:ind w:firstLine="0" w:firstLineChars="0"/>
              <w:jc w:val="center"/>
              <w:textAlignment w:val="center"/>
              <w:rPr>
                <w:sz w:val="24"/>
              </w:rPr>
            </w:pPr>
            <w:r>
              <w:rPr>
                <w:sz w:val="24"/>
              </w:rPr>
              <w:t>1个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39</w:t>
            </w:r>
          </w:p>
        </w:tc>
        <w:tc>
          <w:tcPr>
            <w:tcW w:w="2187" w:type="dxa"/>
            <w:vAlign w:val="center"/>
          </w:tcPr>
          <w:p>
            <w:pPr>
              <w:widowControl/>
              <w:spacing w:line="300" w:lineRule="exact"/>
              <w:ind w:firstLine="0" w:firstLineChars="0"/>
              <w:jc w:val="center"/>
              <w:textAlignment w:val="center"/>
              <w:rPr>
                <w:sz w:val="24"/>
              </w:rPr>
            </w:pPr>
            <w:r>
              <w:rPr>
                <w:sz w:val="24"/>
              </w:rPr>
              <w:t>FFF02型林地防毒服</w:t>
            </w:r>
          </w:p>
        </w:tc>
        <w:tc>
          <w:tcPr>
            <w:tcW w:w="899" w:type="dxa"/>
            <w:vAlign w:val="center"/>
          </w:tcPr>
          <w:p>
            <w:pPr>
              <w:widowControl/>
              <w:spacing w:line="300" w:lineRule="exact"/>
              <w:ind w:firstLine="0" w:firstLineChars="0"/>
              <w:jc w:val="center"/>
              <w:textAlignment w:val="center"/>
              <w:rPr>
                <w:sz w:val="24"/>
              </w:rPr>
            </w:pPr>
            <w:r>
              <w:rPr>
                <w:sz w:val="24"/>
              </w:rPr>
              <w:t>7套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40</w:t>
            </w:r>
          </w:p>
        </w:tc>
        <w:tc>
          <w:tcPr>
            <w:tcW w:w="1523" w:type="dxa"/>
            <w:vAlign w:val="center"/>
          </w:tcPr>
          <w:p>
            <w:pPr>
              <w:widowControl/>
              <w:spacing w:line="300" w:lineRule="exact"/>
              <w:ind w:firstLine="0" w:firstLineChars="0"/>
              <w:jc w:val="center"/>
              <w:textAlignment w:val="center"/>
              <w:rPr>
                <w:sz w:val="24"/>
              </w:rPr>
            </w:pPr>
            <w:r>
              <w:rPr>
                <w:sz w:val="24"/>
              </w:rPr>
              <w:t>应急现场工作服</w:t>
            </w:r>
          </w:p>
        </w:tc>
        <w:tc>
          <w:tcPr>
            <w:tcW w:w="927" w:type="dxa"/>
            <w:vAlign w:val="center"/>
          </w:tcPr>
          <w:p>
            <w:pPr>
              <w:widowControl/>
              <w:spacing w:line="300" w:lineRule="exact"/>
              <w:ind w:firstLine="0" w:firstLineChars="0"/>
              <w:jc w:val="center"/>
              <w:textAlignment w:val="center"/>
              <w:rPr>
                <w:sz w:val="24"/>
              </w:rPr>
            </w:pPr>
            <w:r>
              <w:rPr>
                <w:sz w:val="24"/>
              </w:rPr>
              <w:t>5套</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41</w:t>
            </w:r>
          </w:p>
        </w:tc>
        <w:tc>
          <w:tcPr>
            <w:tcW w:w="2187" w:type="dxa"/>
            <w:vAlign w:val="center"/>
          </w:tcPr>
          <w:p>
            <w:pPr>
              <w:widowControl/>
              <w:spacing w:line="300" w:lineRule="exact"/>
              <w:ind w:firstLine="0" w:firstLineChars="0"/>
              <w:jc w:val="center"/>
              <w:textAlignment w:val="center"/>
              <w:rPr>
                <w:sz w:val="24"/>
              </w:rPr>
            </w:pPr>
            <w:r>
              <w:rPr>
                <w:sz w:val="24"/>
              </w:rPr>
              <w:t>迷彩挎包</w:t>
            </w:r>
          </w:p>
        </w:tc>
        <w:tc>
          <w:tcPr>
            <w:tcW w:w="899" w:type="dxa"/>
            <w:vAlign w:val="center"/>
          </w:tcPr>
          <w:p>
            <w:pPr>
              <w:widowControl/>
              <w:spacing w:line="300" w:lineRule="exact"/>
              <w:ind w:firstLine="0" w:firstLineChars="0"/>
              <w:jc w:val="center"/>
              <w:textAlignment w:val="center"/>
              <w:rPr>
                <w:sz w:val="24"/>
              </w:rPr>
            </w:pPr>
            <w:r>
              <w:rPr>
                <w:sz w:val="24"/>
              </w:rPr>
              <w:t>7个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42</w:t>
            </w:r>
          </w:p>
        </w:tc>
        <w:tc>
          <w:tcPr>
            <w:tcW w:w="1523" w:type="dxa"/>
            <w:vAlign w:val="center"/>
          </w:tcPr>
          <w:p>
            <w:pPr>
              <w:widowControl/>
              <w:spacing w:line="300" w:lineRule="exact"/>
              <w:ind w:firstLine="0" w:firstLineChars="0"/>
              <w:jc w:val="center"/>
              <w:textAlignment w:val="center"/>
              <w:rPr>
                <w:sz w:val="24"/>
              </w:rPr>
            </w:pPr>
            <w:r>
              <w:rPr>
                <w:sz w:val="24"/>
              </w:rPr>
              <w:t>辐射报警装置X-Y辐射仪</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43</w:t>
            </w:r>
          </w:p>
        </w:tc>
        <w:tc>
          <w:tcPr>
            <w:tcW w:w="2187" w:type="dxa"/>
            <w:vAlign w:val="center"/>
          </w:tcPr>
          <w:p>
            <w:pPr>
              <w:widowControl/>
              <w:spacing w:line="300" w:lineRule="exact"/>
              <w:ind w:firstLine="0" w:firstLineChars="0"/>
              <w:jc w:val="center"/>
              <w:textAlignment w:val="center"/>
              <w:rPr>
                <w:sz w:val="24"/>
              </w:rPr>
            </w:pPr>
            <w:r>
              <w:rPr>
                <w:sz w:val="24"/>
              </w:rPr>
              <w:t>KR-10M相机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44</w:t>
            </w:r>
          </w:p>
        </w:tc>
        <w:tc>
          <w:tcPr>
            <w:tcW w:w="1523" w:type="dxa"/>
            <w:vAlign w:val="center"/>
          </w:tcPr>
          <w:p>
            <w:pPr>
              <w:widowControl/>
              <w:spacing w:line="300" w:lineRule="exact"/>
              <w:ind w:firstLine="0" w:firstLineChars="0"/>
              <w:jc w:val="center"/>
              <w:textAlignment w:val="center"/>
              <w:rPr>
                <w:sz w:val="24"/>
              </w:rPr>
            </w:pPr>
            <w:r>
              <w:rPr>
                <w:sz w:val="24"/>
              </w:rPr>
              <w:t>橡胶工业手套</w:t>
            </w:r>
          </w:p>
        </w:tc>
        <w:tc>
          <w:tcPr>
            <w:tcW w:w="927" w:type="dxa"/>
            <w:vAlign w:val="center"/>
          </w:tcPr>
          <w:p>
            <w:pPr>
              <w:widowControl/>
              <w:spacing w:line="300" w:lineRule="exact"/>
              <w:ind w:firstLine="0" w:firstLineChars="0"/>
              <w:jc w:val="center"/>
              <w:textAlignment w:val="center"/>
              <w:rPr>
                <w:sz w:val="24"/>
              </w:rPr>
            </w:pPr>
            <w:r>
              <w:rPr>
                <w:sz w:val="24"/>
              </w:rPr>
              <w:t>5双</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45</w:t>
            </w:r>
          </w:p>
        </w:tc>
        <w:tc>
          <w:tcPr>
            <w:tcW w:w="2187" w:type="dxa"/>
            <w:vAlign w:val="center"/>
          </w:tcPr>
          <w:p>
            <w:pPr>
              <w:widowControl/>
              <w:spacing w:line="300" w:lineRule="exact"/>
              <w:ind w:firstLine="0" w:firstLineChars="0"/>
              <w:jc w:val="center"/>
              <w:textAlignment w:val="center"/>
              <w:rPr>
                <w:sz w:val="24"/>
              </w:rPr>
            </w:pPr>
            <w:r>
              <w:rPr>
                <w:sz w:val="24"/>
              </w:rPr>
              <w:t>声校准器</w:t>
            </w:r>
          </w:p>
        </w:tc>
        <w:tc>
          <w:tcPr>
            <w:tcW w:w="899" w:type="dxa"/>
            <w:vAlign w:val="center"/>
          </w:tcPr>
          <w:p>
            <w:pPr>
              <w:widowControl/>
              <w:spacing w:line="300" w:lineRule="exact"/>
              <w:ind w:firstLine="0" w:firstLineChars="0"/>
              <w:jc w:val="center"/>
              <w:textAlignment w:val="center"/>
              <w:rPr>
                <w:sz w:val="24"/>
              </w:rPr>
            </w:pPr>
            <w:r>
              <w:rPr>
                <w:sz w:val="24"/>
              </w:rPr>
              <w:t>3台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46</w:t>
            </w:r>
          </w:p>
        </w:tc>
        <w:tc>
          <w:tcPr>
            <w:tcW w:w="1523" w:type="dxa"/>
            <w:vAlign w:val="center"/>
          </w:tcPr>
          <w:p>
            <w:pPr>
              <w:widowControl/>
              <w:spacing w:line="300" w:lineRule="exact"/>
              <w:ind w:firstLine="0" w:firstLineChars="0"/>
              <w:jc w:val="center"/>
              <w:textAlignment w:val="center"/>
              <w:rPr>
                <w:sz w:val="24"/>
              </w:rPr>
            </w:pPr>
            <w:r>
              <w:rPr>
                <w:sz w:val="24"/>
              </w:rPr>
              <w:t>CE0194口罩</w:t>
            </w:r>
          </w:p>
        </w:tc>
        <w:tc>
          <w:tcPr>
            <w:tcW w:w="927" w:type="dxa"/>
            <w:vAlign w:val="center"/>
          </w:tcPr>
          <w:p>
            <w:pPr>
              <w:widowControl/>
              <w:spacing w:line="300" w:lineRule="exact"/>
              <w:ind w:firstLine="0" w:firstLineChars="0"/>
              <w:jc w:val="center"/>
              <w:textAlignment w:val="center"/>
              <w:rPr>
                <w:sz w:val="24"/>
              </w:rPr>
            </w:pPr>
            <w:r>
              <w:rPr>
                <w:sz w:val="24"/>
              </w:rPr>
              <w:t>25只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47</w:t>
            </w:r>
          </w:p>
        </w:tc>
        <w:tc>
          <w:tcPr>
            <w:tcW w:w="2187" w:type="dxa"/>
            <w:vAlign w:val="center"/>
          </w:tcPr>
          <w:p>
            <w:pPr>
              <w:widowControl/>
              <w:spacing w:line="300" w:lineRule="exact"/>
              <w:ind w:firstLine="0" w:firstLineChars="0"/>
              <w:jc w:val="center"/>
              <w:textAlignment w:val="center"/>
              <w:rPr>
                <w:sz w:val="24"/>
              </w:rPr>
            </w:pPr>
            <w:r>
              <w:rPr>
                <w:sz w:val="24"/>
              </w:rPr>
              <w:t>防毒面具</w:t>
            </w:r>
          </w:p>
        </w:tc>
        <w:tc>
          <w:tcPr>
            <w:tcW w:w="899" w:type="dxa"/>
            <w:vAlign w:val="center"/>
          </w:tcPr>
          <w:p>
            <w:pPr>
              <w:widowControl/>
              <w:spacing w:line="300" w:lineRule="exact"/>
              <w:ind w:firstLine="0" w:firstLineChars="0"/>
              <w:jc w:val="center"/>
              <w:textAlignment w:val="center"/>
              <w:rPr>
                <w:sz w:val="24"/>
              </w:rPr>
            </w:pPr>
            <w:r>
              <w:rPr>
                <w:sz w:val="24"/>
              </w:rPr>
              <w:t>7个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48</w:t>
            </w:r>
          </w:p>
        </w:tc>
        <w:tc>
          <w:tcPr>
            <w:tcW w:w="1523" w:type="dxa"/>
            <w:vAlign w:val="center"/>
          </w:tcPr>
          <w:p>
            <w:pPr>
              <w:widowControl/>
              <w:spacing w:line="300" w:lineRule="exact"/>
              <w:ind w:firstLine="0" w:firstLineChars="0"/>
              <w:jc w:val="center"/>
              <w:textAlignment w:val="center"/>
              <w:rPr>
                <w:sz w:val="24"/>
              </w:rPr>
            </w:pPr>
            <w:r>
              <w:rPr>
                <w:sz w:val="24"/>
              </w:rPr>
              <w:t>纱布口罩</w:t>
            </w:r>
          </w:p>
        </w:tc>
        <w:tc>
          <w:tcPr>
            <w:tcW w:w="927" w:type="dxa"/>
            <w:vAlign w:val="center"/>
          </w:tcPr>
          <w:p>
            <w:pPr>
              <w:widowControl/>
              <w:spacing w:line="300" w:lineRule="exact"/>
              <w:ind w:firstLine="0" w:firstLineChars="0"/>
              <w:jc w:val="center"/>
              <w:textAlignment w:val="center"/>
              <w:rPr>
                <w:sz w:val="24"/>
              </w:rPr>
            </w:pPr>
            <w:r>
              <w:rPr>
                <w:sz w:val="24"/>
              </w:rPr>
              <w:t>5个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49</w:t>
            </w:r>
          </w:p>
        </w:tc>
        <w:tc>
          <w:tcPr>
            <w:tcW w:w="2187" w:type="dxa"/>
            <w:vAlign w:val="center"/>
          </w:tcPr>
          <w:p>
            <w:pPr>
              <w:widowControl/>
              <w:spacing w:line="300" w:lineRule="exact"/>
              <w:ind w:firstLine="0" w:firstLineChars="0"/>
              <w:jc w:val="center"/>
              <w:textAlignment w:val="center"/>
              <w:rPr>
                <w:sz w:val="24"/>
              </w:rPr>
            </w:pPr>
            <w:r>
              <w:rPr>
                <w:sz w:val="24"/>
              </w:rPr>
              <w:t>GP328防爆对讲机</w:t>
            </w:r>
          </w:p>
        </w:tc>
        <w:tc>
          <w:tcPr>
            <w:tcW w:w="899" w:type="dxa"/>
            <w:vAlign w:val="center"/>
          </w:tcPr>
          <w:p>
            <w:pPr>
              <w:widowControl/>
              <w:spacing w:line="300" w:lineRule="exact"/>
              <w:ind w:firstLine="0" w:firstLineChars="0"/>
              <w:jc w:val="center"/>
              <w:textAlignment w:val="center"/>
              <w:rPr>
                <w:sz w:val="24"/>
              </w:rPr>
            </w:pPr>
            <w:r>
              <w:rPr>
                <w:sz w:val="24"/>
              </w:rPr>
              <w:t>6台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50</w:t>
            </w:r>
          </w:p>
        </w:tc>
        <w:tc>
          <w:tcPr>
            <w:tcW w:w="1523" w:type="dxa"/>
            <w:vAlign w:val="center"/>
          </w:tcPr>
          <w:p>
            <w:pPr>
              <w:widowControl/>
              <w:spacing w:line="300" w:lineRule="exact"/>
              <w:ind w:firstLine="0" w:firstLineChars="0"/>
              <w:jc w:val="center"/>
              <w:textAlignment w:val="center"/>
              <w:rPr>
                <w:sz w:val="24"/>
              </w:rPr>
            </w:pPr>
            <w:r>
              <w:rPr>
                <w:sz w:val="24"/>
              </w:rPr>
              <w:t>液体致密型化学防护服</w:t>
            </w:r>
          </w:p>
        </w:tc>
        <w:tc>
          <w:tcPr>
            <w:tcW w:w="927" w:type="dxa"/>
            <w:vAlign w:val="center"/>
          </w:tcPr>
          <w:p>
            <w:pPr>
              <w:widowControl/>
              <w:spacing w:line="300" w:lineRule="exact"/>
              <w:ind w:firstLine="0" w:firstLineChars="0"/>
              <w:jc w:val="center"/>
              <w:textAlignment w:val="center"/>
              <w:rPr>
                <w:sz w:val="24"/>
              </w:rPr>
            </w:pPr>
            <w:r>
              <w:rPr>
                <w:sz w:val="24"/>
              </w:rPr>
              <w:t>4套</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51</w:t>
            </w:r>
          </w:p>
        </w:tc>
        <w:tc>
          <w:tcPr>
            <w:tcW w:w="2187" w:type="dxa"/>
            <w:vAlign w:val="center"/>
          </w:tcPr>
          <w:p>
            <w:pPr>
              <w:widowControl/>
              <w:spacing w:line="300" w:lineRule="exact"/>
              <w:ind w:firstLine="0" w:firstLineChars="0"/>
              <w:jc w:val="center"/>
              <w:textAlignment w:val="center"/>
              <w:rPr>
                <w:sz w:val="24"/>
              </w:rPr>
            </w:pPr>
            <w:r>
              <w:rPr>
                <w:sz w:val="24"/>
              </w:rPr>
              <w:t>索尼FDR-AX45摄像机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52</w:t>
            </w:r>
          </w:p>
        </w:tc>
        <w:tc>
          <w:tcPr>
            <w:tcW w:w="1523" w:type="dxa"/>
            <w:vAlign w:val="center"/>
          </w:tcPr>
          <w:p>
            <w:pPr>
              <w:widowControl/>
              <w:spacing w:line="300" w:lineRule="exact"/>
              <w:ind w:firstLine="0" w:firstLineChars="0"/>
              <w:jc w:val="center"/>
              <w:textAlignment w:val="center"/>
              <w:rPr>
                <w:sz w:val="24"/>
              </w:rPr>
            </w:pPr>
            <w:r>
              <w:rPr>
                <w:sz w:val="24"/>
              </w:rPr>
              <w:t>自给正压式呼吸器蓝色</w:t>
            </w:r>
          </w:p>
        </w:tc>
        <w:tc>
          <w:tcPr>
            <w:tcW w:w="927" w:type="dxa"/>
            <w:vAlign w:val="center"/>
          </w:tcPr>
          <w:p>
            <w:pPr>
              <w:widowControl/>
              <w:spacing w:line="300" w:lineRule="exact"/>
              <w:ind w:firstLine="0" w:firstLineChars="0"/>
              <w:jc w:val="center"/>
              <w:textAlignment w:val="center"/>
              <w:rPr>
                <w:sz w:val="24"/>
              </w:rPr>
            </w:pPr>
            <w:r>
              <w:rPr>
                <w:sz w:val="24"/>
              </w:rPr>
              <w:t>3个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53</w:t>
            </w:r>
          </w:p>
        </w:tc>
        <w:tc>
          <w:tcPr>
            <w:tcW w:w="2187" w:type="dxa"/>
            <w:vAlign w:val="center"/>
          </w:tcPr>
          <w:p>
            <w:pPr>
              <w:widowControl/>
              <w:spacing w:line="300" w:lineRule="exact"/>
              <w:ind w:firstLine="0" w:firstLineChars="0"/>
              <w:jc w:val="center"/>
              <w:textAlignment w:val="center"/>
              <w:rPr>
                <w:sz w:val="24"/>
              </w:rPr>
            </w:pPr>
            <w:r>
              <w:rPr>
                <w:sz w:val="24"/>
              </w:rPr>
              <w:t>索尼HDR-CX405摄像机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54</w:t>
            </w:r>
          </w:p>
        </w:tc>
        <w:tc>
          <w:tcPr>
            <w:tcW w:w="1523" w:type="dxa"/>
            <w:vAlign w:val="center"/>
          </w:tcPr>
          <w:p>
            <w:pPr>
              <w:widowControl/>
              <w:spacing w:line="300" w:lineRule="exact"/>
              <w:ind w:firstLine="0" w:firstLineChars="0"/>
              <w:jc w:val="center"/>
              <w:textAlignment w:val="center"/>
              <w:rPr>
                <w:sz w:val="24"/>
              </w:rPr>
            </w:pPr>
            <w:r>
              <w:rPr>
                <w:sz w:val="24"/>
              </w:rPr>
              <w:t>电场探头</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55</w:t>
            </w:r>
          </w:p>
        </w:tc>
        <w:tc>
          <w:tcPr>
            <w:tcW w:w="2187" w:type="dxa"/>
            <w:vAlign w:val="center"/>
          </w:tcPr>
          <w:p>
            <w:pPr>
              <w:widowControl/>
              <w:spacing w:line="300" w:lineRule="exact"/>
              <w:ind w:firstLine="0" w:firstLineChars="0"/>
              <w:jc w:val="center"/>
              <w:textAlignment w:val="center"/>
              <w:rPr>
                <w:sz w:val="24"/>
              </w:rPr>
            </w:pPr>
            <w:r>
              <w:rPr>
                <w:sz w:val="24"/>
              </w:rPr>
              <w:t>Excam1066防爆数码照相机</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56</w:t>
            </w:r>
          </w:p>
        </w:tc>
        <w:tc>
          <w:tcPr>
            <w:tcW w:w="1523" w:type="dxa"/>
            <w:vAlign w:val="center"/>
          </w:tcPr>
          <w:p>
            <w:pPr>
              <w:widowControl/>
              <w:spacing w:line="300" w:lineRule="exact"/>
              <w:ind w:firstLine="0" w:firstLineChars="0"/>
              <w:jc w:val="center"/>
              <w:textAlignment w:val="center"/>
              <w:rPr>
                <w:sz w:val="24"/>
              </w:rPr>
            </w:pPr>
            <w:r>
              <w:rPr>
                <w:sz w:val="24"/>
              </w:rPr>
              <w:t>噪声统计分析仪</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57</w:t>
            </w:r>
          </w:p>
        </w:tc>
        <w:tc>
          <w:tcPr>
            <w:tcW w:w="2187" w:type="dxa"/>
            <w:vAlign w:val="center"/>
          </w:tcPr>
          <w:p>
            <w:pPr>
              <w:widowControl/>
              <w:spacing w:line="300" w:lineRule="exact"/>
              <w:ind w:firstLine="0" w:firstLineChars="0"/>
              <w:jc w:val="center"/>
              <w:textAlignment w:val="center"/>
              <w:rPr>
                <w:sz w:val="24"/>
              </w:rPr>
            </w:pPr>
            <w:r>
              <w:rPr>
                <w:sz w:val="24"/>
              </w:rPr>
              <w:t>声力士录声笔</w:t>
            </w:r>
          </w:p>
        </w:tc>
        <w:tc>
          <w:tcPr>
            <w:tcW w:w="899" w:type="dxa"/>
            <w:vAlign w:val="center"/>
          </w:tcPr>
          <w:p>
            <w:pPr>
              <w:widowControl/>
              <w:spacing w:line="300" w:lineRule="exact"/>
              <w:ind w:firstLine="0" w:firstLineChars="0"/>
              <w:jc w:val="center"/>
              <w:textAlignment w:val="center"/>
              <w:rPr>
                <w:sz w:val="24"/>
              </w:rPr>
            </w:pPr>
            <w:r>
              <w:rPr>
                <w:sz w:val="24"/>
              </w:rPr>
              <w:t>2支</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58</w:t>
            </w:r>
          </w:p>
        </w:tc>
        <w:tc>
          <w:tcPr>
            <w:tcW w:w="1523" w:type="dxa"/>
            <w:vAlign w:val="center"/>
          </w:tcPr>
          <w:p>
            <w:pPr>
              <w:widowControl/>
              <w:spacing w:line="300" w:lineRule="exact"/>
              <w:ind w:firstLine="0" w:firstLineChars="0"/>
              <w:jc w:val="center"/>
              <w:textAlignment w:val="center"/>
              <w:rPr>
                <w:sz w:val="24"/>
              </w:rPr>
            </w:pPr>
            <w:r>
              <w:rPr>
                <w:sz w:val="24"/>
              </w:rPr>
              <w:t>大气采样器</w:t>
            </w:r>
          </w:p>
        </w:tc>
        <w:tc>
          <w:tcPr>
            <w:tcW w:w="927" w:type="dxa"/>
            <w:vAlign w:val="center"/>
          </w:tcPr>
          <w:p>
            <w:pPr>
              <w:widowControl/>
              <w:spacing w:line="300" w:lineRule="exact"/>
              <w:ind w:firstLine="0" w:firstLineChars="0"/>
              <w:jc w:val="center"/>
              <w:textAlignment w:val="center"/>
              <w:rPr>
                <w:sz w:val="24"/>
              </w:rPr>
            </w:pPr>
            <w:r>
              <w:rPr>
                <w:sz w:val="24"/>
              </w:rPr>
              <w:t>4台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59</w:t>
            </w:r>
          </w:p>
        </w:tc>
        <w:tc>
          <w:tcPr>
            <w:tcW w:w="2187" w:type="dxa"/>
            <w:vAlign w:val="center"/>
          </w:tcPr>
          <w:p>
            <w:pPr>
              <w:widowControl/>
              <w:spacing w:line="300" w:lineRule="exact"/>
              <w:ind w:firstLine="0" w:firstLineChars="0"/>
              <w:jc w:val="center"/>
              <w:textAlignment w:val="center"/>
              <w:rPr>
                <w:sz w:val="24"/>
              </w:rPr>
            </w:pPr>
            <w:r>
              <w:rPr>
                <w:sz w:val="24"/>
              </w:rPr>
              <w:t>索尼ICD-Px333M录音棒</w:t>
            </w:r>
          </w:p>
        </w:tc>
        <w:tc>
          <w:tcPr>
            <w:tcW w:w="899" w:type="dxa"/>
            <w:vAlign w:val="center"/>
          </w:tcPr>
          <w:p>
            <w:pPr>
              <w:widowControl/>
              <w:spacing w:line="300" w:lineRule="exact"/>
              <w:ind w:firstLine="0" w:firstLineChars="0"/>
              <w:jc w:val="center"/>
              <w:textAlignment w:val="center"/>
              <w:rPr>
                <w:sz w:val="24"/>
              </w:rPr>
            </w:pPr>
            <w:r>
              <w:rPr>
                <w:sz w:val="24"/>
              </w:rPr>
              <w:t>3支</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60</w:t>
            </w:r>
          </w:p>
        </w:tc>
        <w:tc>
          <w:tcPr>
            <w:tcW w:w="1523" w:type="dxa"/>
            <w:vAlign w:val="center"/>
          </w:tcPr>
          <w:p>
            <w:pPr>
              <w:widowControl/>
              <w:spacing w:line="300" w:lineRule="exact"/>
              <w:ind w:firstLine="0" w:firstLineChars="0"/>
              <w:jc w:val="center"/>
              <w:textAlignment w:val="center"/>
              <w:rPr>
                <w:sz w:val="24"/>
              </w:rPr>
            </w:pPr>
            <w:r>
              <w:rPr>
                <w:sz w:val="24"/>
              </w:rPr>
              <w:t>噪声震动测量仪器</w:t>
            </w:r>
          </w:p>
        </w:tc>
        <w:tc>
          <w:tcPr>
            <w:tcW w:w="927" w:type="dxa"/>
            <w:vAlign w:val="center"/>
          </w:tcPr>
          <w:p>
            <w:pPr>
              <w:widowControl/>
              <w:spacing w:line="300" w:lineRule="exact"/>
              <w:ind w:firstLine="0" w:firstLineChars="0"/>
              <w:jc w:val="center"/>
              <w:textAlignment w:val="center"/>
              <w:rPr>
                <w:sz w:val="24"/>
              </w:rPr>
            </w:pPr>
            <w:r>
              <w:rPr>
                <w:sz w:val="24"/>
              </w:rPr>
              <w:t>3台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61</w:t>
            </w:r>
          </w:p>
        </w:tc>
        <w:tc>
          <w:tcPr>
            <w:tcW w:w="2187" w:type="dxa"/>
            <w:vAlign w:val="center"/>
          </w:tcPr>
          <w:p>
            <w:pPr>
              <w:widowControl/>
              <w:spacing w:line="300" w:lineRule="exact"/>
              <w:ind w:firstLine="0" w:firstLineChars="0"/>
              <w:jc w:val="center"/>
              <w:textAlignment w:val="center"/>
              <w:rPr>
                <w:sz w:val="24"/>
              </w:rPr>
            </w:pPr>
            <w:r>
              <w:rPr>
                <w:sz w:val="24"/>
              </w:rPr>
              <w:t>激光测距仪望远镜</w:t>
            </w:r>
          </w:p>
        </w:tc>
        <w:tc>
          <w:tcPr>
            <w:tcW w:w="899" w:type="dxa"/>
            <w:vAlign w:val="center"/>
          </w:tcPr>
          <w:p>
            <w:pPr>
              <w:widowControl/>
              <w:spacing w:line="300" w:lineRule="exact"/>
              <w:ind w:firstLine="0" w:firstLineChars="0"/>
              <w:jc w:val="center"/>
              <w:textAlignment w:val="center"/>
              <w:rPr>
                <w:sz w:val="24"/>
              </w:rPr>
            </w:pPr>
            <w:r>
              <w:rPr>
                <w:sz w:val="24"/>
              </w:rPr>
              <w:t>1个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62</w:t>
            </w:r>
          </w:p>
        </w:tc>
        <w:tc>
          <w:tcPr>
            <w:tcW w:w="1523" w:type="dxa"/>
            <w:vAlign w:val="center"/>
          </w:tcPr>
          <w:p>
            <w:pPr>
              <w:widowControl/>
              <w:spacing w:line="300" w:lineRule="exact"/>
              <w:ind w:firstLine="0" w:firstLineChars="0"/>
              <w:jc w:val="center"/>
              <w:textAlignment w:val="center"/>
              <w:rPr>
                <w:sz w:val="24"/>
              </w:rPr>
            </w:pPr>
            <w:r>
              <w:rPr>
                <w:sz w:val="24"/>
              </w:rPr>
              <w:t>粉尘仪</w:t>
            </w:r>
          </w:p>
        </w:tc>
        <w:tc>
          <w:tcPr>
            <w:tcW w:w="927" w:type="dxa"/>
            <w:vAlign w:val="center"/>
          </w:tcPr>
          <w:p>
            <w:pPr>
              <w:widowControl/>
              <w:spacing w:line="300" w:lineRule="exact"/>
              <w:ind w:firstLine="0" w:firstLineChars="0"/>
              <w:jc w:val="center"/>
              <w:textAlignment w:val="center"/>
              <w:rPr>
                <w:sz w:val="24"/>
              </w:rPr>
            </w:pPr>
            <w:r>
              <w:rPr>
                <w:sz w:val="24"/>
              </w:rPr>
              <w:t>3台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63</w:t>
            </w:r>
          </w:p>
        </w:tc>
        <w:tc>
          <w:tcPr>
            <w:tcW w:w="2187" w:type="dxa"/>
            <w:vAlign w:val="center"/>
          </w:tcPr>
          <w:p>
            <w:pPr>
              <w:widowControl/>
              <w:spacing w:line="300" w:lineRule="exact"/>
              <w:ind w:firstLine="0" w:firstLineChars="0"/>
              <w:jc w:val="center"/>
              <w:textAlignment w:val="center"/>
              <w:rPr>
                <w:sz w:val="24"/>
              </w:rPr>
            </w:pPr>
            <w:r>
              <w:rPr>
                <w:sz w:val="24"/>
              </w:rPr>
              <w:t>ELITE1500激光测距仪</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64</w:t>
            </w:r>
          </w:p>
        </w:tc>
        <w:tc>
          <w:tcPr>
            <w:tcW w:w="1523" w:type="dxa"/>
            <w:vAlign w:val="center"/>
          </w:tcPr>
          <w:p>
            <w:pPr>
              <w:widowControl/>
              <w:spacing w:line="300" w:lineRule="exact"/>
              <w:ind w:firstLine="0" w:firstLineChars="0"/>
              <w:jc w:val="center"/>
              <w:textAlignment w:val="center"/>
              <w:rPr>
                <w:sz w:val="24"/>
              </w:rPr>
            </w:pPr>
            <w:r>
              <w:rPr>
                <w:sz w:val="24"/>
              </w:rPr>
              <w:t>多参数水质检测箱</w:t>
            </w:r>
          </w:p>
        </w:tc>
        <w:tc>
          <w:tcPr>
            <w:tcW w:w="927" w:type="dxa"/>
            <w:vAlign w:val="center"/>
          </w:tcPr>
          <w:p>
            <w:pPr>
              <w:widowControl/>
              <w:spacing w:line="300" w:lineRule="exact"/>
              <w:ind w:firstLine="0" w:firstLineChars="0"/>
              <w:jc w:val="center"/>
              <w:textAlignment w:val="center"/>
              <w:rPr>
                <w:sz w:val="24"/>
              </w:rPr>
            </w:pPr>
            <w:r>
              <w:rPr>
                <w:sz w:val="24"/>
              </w:rPr>
              <w:t>2台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65</w:t>
            </w:r>
          </w:p>
        </w:tc>
        <w:tc>
          <w:tcPr>
            <w:tcW w:w="2187" w:type="dxa"/>
            <w:vAlign w:val="center"/>
          </w:tcPr>
          <w:p>
            <w:pPr>
              <w:widowControl/>
              <w:spacing w:line="300" w:lineRule="exact"/>
              <w:ind w:firstLine="0" w:firstLineChars="0"/>
              <w:jc w:val="center"/>
              <w:textAlignment w:val="center"/>
              <w:rPr>
                <w:sz w:val="24"/>
              </w:rPr>
            </w:pPr>
            <w:r>
              <w:rPr>
                <w:sz w:val="24"/>
              </w:rPr>
              <w:t>辐射个人计量报警仪XZ20</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66</w:t>
            </w:r>
          </w:p>
        </w:tc>
        <w:tc>
          <w:tcPr>
            <w:tcW w:w="1523" w:type="dxa"/>
            <w:vAlign w:val="center"/>
          </w:tcPr>
          <w:p>
            <w:pPr>
              <w:widowControl/>
              <w:spacing w:line="300" w:lineRule="exact"/>
              <w:ind w:firstLine="0" w:firstLineChars="0"/>
              <w:jc w:val="center"/>
              <w:textAlignment w:val="center"/>
              <w:rPr>
                <w:sz w:val="24"/>
              </w:rPr>
            </w:pPr>
            <w:r>
              <w:rPr>
                <w:sz w:val="24"/>
              </w:rPr>
              <w:t>PH计</w:t>
            </w:r>
          </w:p>
        </w:tc>
        <w:tc>
          <w:tcPr>
            <w:tcW w:w="927" w:type="dxa"/>
            <w:vAlign w:val="center"/>
          </w:tcPr>
          <w:p>
            <w:pPr>
              <w:widowControl/>
              <w:spacing w:line="300" w:lineRule="exact"/>
              <w:ind w:firstLine="0" w:firstLineChars="0"/>
              <w:jc w:val="center"/>
              <w:textAlignment w:val="center"/>
              <w:rPr>
                <w:sz w:val="24"/>
              </w:rPr>
            </w:pPr>
            <w:r>
              <w:rPr>
                <w:sz w:val="24"/>
              </w:rPr>
              <w:t>1个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67</w:t>
            </w:r>
          </w:p>
        </w:tc>
        <w:tc>
          <w:tcPr>
            <w:tcW w:w="2187" w:type="dxa"/>
            <w:vAlign w:val="center"/>
          </w:tcPr>
          <w:p>
            <w:pPr>
              <w:widowControl/>
              <w:spacing w:line="300" w:lineRule="exact"/>
              <w:ind w:firstLine="0" w:firstLineChars="0"/>
              <w:jc w:val="center"/>
              <w:textAlignment w:val="center"/>
              <w:rPr>
                <w:sz w:val="24"/>
              </w:rPr>
            </w:pPr>
            <w:r>
              <w:rPr>
                <w:sz w:val="24"/>
              </w:rPr>
              <w:t>神火手电筒</w:t>
            </w:r>
          </w:p>
        </w:tc>
        <w:tc>
          <w:tcPr>
            <w:tcW w:w="899" w:type="dxa"/>
            <w:vAlign w:val="center"/>
          </w:tcPr>
          <w:p>
            <w:pPr>
              <w:widowControl/>
              <w:spacing w:line="300" w:lineRule="exact"/>
              <w:ind w:firstLine="0" w:firstLineChars="0"/>
              <w:jc w:val="center"/>
              <w:textAlignment w:val="center"/>
              <w:rPr>
                <w:sz w:val="24"/>
              </w:rPr>
            </w:pPr>
            <w:r>
              <w:rPr>
                <w:sz w:val="24"/>
              </w:rPr>
              <w:t>1支</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68</w:t>
            </w:r>
          </w:p>
        </w:tc>
        <w:tc>
          <w:tcPr>
            <w:tcW w:w="1523" w:type="dxa"/>
            <w:vAlign w:val="center"/>
          </w:tcPr>
          <w:p>
            <w:pPr>
              <w:widowControl/>
              <w:spacing w:line="300" w:lineRule="exact"/>
              <w:ind w:firstLine="0" w:firstLineChars="0"/>
              <w:jc w:val="center"/>
              <w:textAlignment w:val="center"/>
              <w:rPr>
                <w:sz w:val="24"/>
              </w:rPr>
            </w:pPr>
            <w:r>
              <w:rPr>
                <w:sz w:val="24"/>
              </w:rPr>
              <w:t>加压电离室巡测仪</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69</w:t>
            </w:r>
          </w:p>
        </w:tc>
        <w:tc>
          <w:tcPr>
            <w:tcW w:w="2187" w:type="dxa"/>
            <w:vAlign w:val="center"/>
          </w:tcPr>
          <w:p>
            <w:pPr>
              <w:widowControl/>
              <w:spacing w:line="300" w:lineRule="exact"/>
              <w:ind w:firstLine="0" w:firstLineChars="0"/>
              <w:jc w:val="center"/>
              <w:textAlignment w:val="center"/>
              <w:rPr>
                <w:sz w:val="24"/>
              </w:rPr>
            </w:pPr>
            <w:r>
              <w:rPr>
                <w:sz w:val="24"/>
              </w:rPr>
              <w:t>微型打印机SP-T24THZ165</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70</w:t>
            </w:r>
          </w:p>
        </w:tc>
        <w:tc>
          <w:tcPr>
            <w:tcW w:w="1523" w:type="dxa"/>
            <w:vAlign w:val="center"/>
          </w:tcPr>
          <w:p>
            <w:pPr>
              <w:widowControl/>
              <w:spacing w:line="300" w:lineRule="exact"/>
              <w:ind w:firstLine="0" w:firstLineChars="0"/>
              <w:jc w:val="center"/>
              <w:textAlignment w:val="center"/>
              <w:rPr>
                <w:sz w:val="24"/>
              </w:rPr>
            </w:pPr>
            <w:r>
              <w:rPr>
                <w:sz w:val="24"/>
              </w:rPr>
              <w:t>精密ph计</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71</w:t>
            </w:r>
          </w:p>
        </w:tc>
        <w:tc>
          <w:tcPr>
            <w:tcW w:w="2187" w:type="dxa"/>
            <w:vAlign w:val="center"/>
          </w:tcPr>
          <w:p>
            <w:pPr>
              <w:widowControl/>
              <w:spacing w:line="300" w:lineRule="exact"/>
              <w:ind w:firstLine="0" w:firstLineChars="0"/>
              <w:jc w:val="center"/>
              <w:textAlignment w:val="center"/>
              <w:rPr>
                <w:sz w:val="24"/>
              </w:rPr>
            </w:pPr>
            <w:r>
              <w:rPr>
                <w:sz w:val="24"/>
              </w:rPr>
              <w:t>警翼现场违法记录仪</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72</w:t>
            </w:r>
          </w:p>
        </w:tc>
        <w:tc>
          <w:tcPr>
            <w:tcW w:w="1523" w:type="dxa"/>
            <w:vAlign w:val="center"/>
          </w:tcPr>
          <w:p>
            <w:pPr>
              <w:widowControl/>
              <w:spacing w:line="300" w:lineRule="exact"/>
              <w:ind w:firstLine="0" w:firstLineChars="0"/>
              <w:jc w:val="center"/>
              <w:textAlignment w:val="center"/>
              <w:rPr>
                <w:sz w:val="24"/>
              </w:rPr>
            </w:pPr>
            <w:r>
              <w:rPr>
                <w:sz w:val="24"/>
              </w:rPr>
              <w:t>车载冰箱</w:t>
            </w:r>
          </w:p>
        </w:tc>
        <w:tc>
          <w:tcPr>
            <w:tcW w:w="927" w:type="dxa"/>
            <w:vAlign w:val="center"/>
          </w:tcPr>
          <w:p>
            <w:pPr>
              <w:widowControl/>
              <w:spacing w:line="300" w:lineRule="exact"/>
              <w:ind w:firstLine="0" w:firstLineChars="0"/>
              <w:jc w:val="center"/>
              <w:textAlignment w:val="center"/>
              <w:rPr>
                <w:sz w:val="24"/>
              </w:rPr>
            </w:pPr>
            <w:r>
              <w:rPr>
                <w:sz w:val="24"/>
              </w:rPr>
              <w:t>2台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73</w:t>
            </w:r>
          </w:p>
        </w:tc>
        <w:tc>
          <w:tcPr>
            <w:tcW w:w="2187" w:type="dxa"/>
            <w:vAlign w:val="center"/>
          </w:tcPr>
          <w:p>
            <w:pPr>
              <w:widowControl/>
              <w:spacing w:line="300" w:lineRule="exact"/>
              <w:ind w:firstLine="0" w:firstLineChars="0"/>
              <w:jc w:val="center"/>
              <w:textAlignment w:val="center"/>
              <w:rPr>
                <w:sz w:val="24"/>
              </w:rPr>
            </w:pPr>
            <w:r>
              <w:rPr>
                <w:sz w:val="24"/>
              </w:rPr>
              <w:t>放射型个人计量报警仪</w:t>
            </w:r>
          </w:p>
        </w:tc>
        <w:tc>
          <w:tcPr>
            <w:tcW w:w="899" w:type="dxa"/>
            <w:vAlign w:val="center"/>
          </w:tcPr>
          <w:p>
            <w:pPr>
              <w:widowControl/>
              <w:spacing w:line="300" w:lineRule="exact"/>
              <w:ind w:firstLine="0" w:firstLineChars="0"/>
              <w:jc w:val="center"/>
              <w:textAlignment w:val="center"/>
              <w:rPr>
                <w:sz w:val="24"/>
              </w:rPr>
            </w:pPr>
            <w:r>
              <w:rPr>
                <w:sz w:val="24"/>
              </w:rPr>
              <w:t>3台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74</w:t>
            </w:r>
          </w:p>
        </w:tc>
        <w:tc>
          <w:tcPr>
            <w:tcW w:w="1523" w:type="dxa"/>
            <w:vAlign w:val="center"/>
          </w:tcPr>
          <w:p>
            <w:pPr>
              <w:widowControl/>
              <w:spacing w:line="300" w:lineRule="exact"/>
              <w:ind w:firstLine="0" w:firstLineChars="0"/>
              <w:jc w:val="center"/>
              <w:textAlignment w:val="center"/>
              <w:rPr>
                <w:sz w:val="24"/>
              </w:rPr>
            </w:pPr>
            <w:r>
              <w:rPr>
                <w:sz w:val="24"/>
              </w:rPr>
              <w:t>智能烟气分析仪</w:t>
            </w:r>
          </w:p>
        </w:tc>
        <w:tc>
          <w:tcPr>
            <w:tcW w:w="927" w:type="dxa"/>
            <w:vAlign w:val="center"/>
          </w:tcPr>
          <w:p>
            <w:pPr>
              <w:widowControl/>
              <w:spacing w:line="300" w:lineRule="exact"/>
              <w:ind w:firstLine="0" w:firstLineChars="0"/>
              <w:jc w:val="center"/>
              <w:textAlignment w:val="center"/>
              <w:rPr>
                <w:sz w:val="24"/>
              </w:rPr>
            </w:pPr>
            <w:r>
              <w:rPr>
                <w:sz w:val="24"/>
              </w:rPr>
              <w:t>1台</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75</w:t>
            </w:r>
          </w:p>
        </w:tc>
        <w:tc>
          <w:tcPr>
            <w:tcW w:w="2187" w:type="dxa"/>
            <w:vAlign w:val="center"/>
          </w:tcPr>
          <w:p>
            <w:pPr>
              <w:widowControl/>
              <w:spacing w:line="300" w:lineRule="exact"/>
              <w:ind w:firstLine="0" w:firstLineChars="0"/>
              <w:jc w:val="center"/>
              <w:textAlignment w:val="center"/>
              <w:rPr>
                <w:sz w:val="24"/>
              </w:rPr>
            </w:pPr>
            <w:r>
              <w:rPr>
                <w:sz w:val="24"/>
              </w:rPr>
              <w:t>GPS定位仪</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76</w:t>
            </w:r>
          </w:p>
        </w:tc>
        <w:tc>
          <w:tcPr>
            <w:tcW w:w="1523" w:type="dxa"/>
            <w:vAlign w:val="center"/>
          </w:tcPr>
          <w:p>
            <w:pPr>
              <w:widowControl/>
              <w:spacing w:line="300" w:lineRule="exact"/>
              <w:ind w:firstLine="0" w:firstLineChars="0"/>
              <w:jc w:val="center"/>
              <w:textAlignment w:val="center"/>
              <w:rPr>
                <w:sz w:val="24"/>
              </w:rPr>
            </w:pPr>
            <w:r>
              <w:rPr>
                <w:sz w:val="24"/>
              </w:rPr>
              <w:t>移动执法设备箱</w:t>
            </w:r>
          </w:p>
        </w:tc>
        <w:tc>
          <w:tcPr>
            <w:tcW w:w="927" w:type="dxa"/>
            <w:vAlign w:val="center"/>
          </w:tcPr>
          <w:p>
            <w:pPr>
              <w:widowControl/>
              <w:spacing w:line="300" w:lineRule="exact"/>
              <w:ind w:firstLine="0" w:firstLineChars="0"/>
              <w:jc w:val="center"/>
              <w:textAlignment w:val="center"/>
              <w:rPr>
                <w:sz w:val="24"/>
              </w:rPr>
            </w:pPr>
            <w:r>
              <w:rPr>
                <w:sz w:val="24"/>
              </w:rPr>
              <w:t>1个</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77</w:t>
            </w:r>
          </w:p>
        </w:tc>
        <w:tc>
          <w:tcPr>
            <w:tcW w:w="2187" w:type="dxa"/>
            <w:vAlign w:val="center"/>
          </w:tcPr>
          <w:p>
            <w:pPr>
              <w:widowControl/>
              <w:spacing w:line="300" w:lineRule="exact"/>
              <w:ind w:firstLine="0" w:firstLineChars="0"/>
              <w:jc w:val="center"/>
              <w:textAlignment w:val="center"/>
              <w:rPr>
                <w:sz w:val="24"/>
              </w:rPr>
            </w:pPr>
            <w:r>
              <w:rPr>
                <w:sz w:val="24"/>
              </w:rPr>
              <w:t>松下NVDS28NC摄像机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78</w:t>
            </w:r>
          </w:p>
        </w:tc>
        <w:tc>
          <w:tcPr>
            <w:tcW w:w="1523" w:type="dxa"/>
            <w:vAlign w:val="center"/>
          </w:tcPr>
          <w:p>
            <w:pPr>
              <w:widowControl/>
              <w:spacing w:line="300" w:lineRule="exact"/>
              <w:ind w:firstLine="0" w:firstLineChars="0"/>
              <w:jc w:val="center"/>
              <w:textAlignment w:val="center"/>
              <w:rPr>
                <w:sz w:val="24"/>
              </w:rPr>
            </w:pPr>
            <w:r>
              <w:rPr>
                <w:sz w:val="24"/>
              </w:rPr>
              <w:t>企普XTY化学吸油棉</w:t>
            </w:r>
          </w:p>
        </w:tc>
        <w:tc>
          <w:tcPr>
            <w:tcW w:w="927" w:type="dxa"/>
            <w:vAlign w:val="center"/>
          </w:tcPr>
          <w:p>
            <w:pPr>
              <w:widowControl/>
              <w:spacing w:line="300" w:lineRule="exact"/>
              <w:ind w:firstLine="0" w:firstLineChars="0"/>
              <w:jc w:val="center"/>
              <w:textAlignment w:val="center"/>
              <w:rPr>
                <w:sz w:val="24"/>
              </w:rPr>
            </w:pPr>
            <w:r>
              <w:rPr>
                <w:sz w:val="24"/>
              </w:rPr>
              <w:t>60米</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79</w:t>
            </w:r>
          </w:p>
        </w:tc>
        <w:tc>
          <w:tcPr>
            <w:tcW w:w="2187" w:type="dxa"/>
            <w:vAlign w:val="center"/>
          </w:tcPr>
          <w:p>
            <w:pPr>
              <w:widowControl/>
              <w:spacing w:line="300" w:lineRule="exact"/>
              <w:ind w:firstLine="0" w:firstLineChars="0"/>
              <w:jc w:val="center"/>
              <w:textAlignment w:val="center"/>
              <w:rPr>
                <w:sz w:val="24"/>
              </w:rPr>
            </w:pPr>
            <w:r>
              <w:rPr>
                <w:sz w:val="24"/>
              </w:rPr>
              <w:t>RZ-980SF照相机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80</w:t>
            </w:r>
          </w:p>
        </w:tc>
        <w:tc>
          <w:tcPr>
            <w:tcW w:w="1523" w:type="dxa"/>
            <w:vAlign w:val="center"/>
          </w:tcPr>
          <w:p>
            <w:pPr>
              <w:widowControl/>
              <w:spacing w:line="300" w:lineRule="exact"/>
              <w:ind w:firstLine="0" w:firstLineChars="0"/>
              <w:jc w:val="center"/>
              <w:textAlignment w:val="center"/>
              <w:rPr>
                <w:sz w:val="24"/>
              </w:rPr>
            </w:pPr>
            <w:r>
              <w:rPr>
                <w:sz w:val="24"/>
              </w:rPr>
              <w:t>吸油毡</w:t>
            </w:r>
          </w:p>
        </w:tc>
        <w:tc>
          <w:tcPr>
            <w:tcW w:w="927" w:type="dxa"/>
            <w:vAlign w:val="center"/>
          </w:tcPr>
          <w:p>
            <w:pPr>
              <w:widowControl/>
              <w:spacing w:line="300" w:lineRule="exact"/>
              <w:ind w:firstLine="0" w:firstLineChars="0"/>
              <w:jc w:val="center"/>
              <w:textAlignment w:val="center"/>
              <w:rPr>
                <w:sz w:val="24"/>
              </w:rPr>
            </w:pPr>
            <w:r>
              <w:rPr>
                <w:sz w:val="24"/>
              </w:rPr>
              <w:t>20件</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81</w:t>
            </w:r>
          </w:p>
        </w:tc>
        <w:tc>
          <w:tcPr>
            <w:tcW w:w="2187" w:type="dxa"/>
            <w:vAlign w:val="center"/>
          </w:tcPr>
          <w:p>
            <w:pPr>
              <w:widowControl/>
              <w:spacing w:line="300" w:lineRule="exact"/>
              <w:ind w:firstLine="0" w:firstLineChars="0"/>
              <w:jc w:val="center"/>
              <w:textAlignment w:val="center"/>
              <w:rPr>
                <w:sz w:val="24"/>
              </w:rPr>
            </w:pPr>
            <w:r>
              <w:rPr>
                <w:sz w:val="24"/>
              </w:rPr>
              <w:t>COOLPLX7600照相机</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82</w:t>
            </w:r>
          </w:p>
        </w:tc>
        <w:tc>
          <w:tcPr>
            <w:tcW w:w="1523" w:type="dxa"/>
            <w:vAlign w:val="center"/>
          </w:tcPr>
          <w:p>
            <w:pPr>
              <w:widowControl/>
              <w:spacing w:line="300" w:lineRule="exact"/>
              <w:ind w:firstLine="0" w:firstLineChars="0"/>
              <w:jc w:val="center"/>
              <w:textAlignment w:val="center"/>
              <w:rPr>
                <w:sz w:val="24"/>
              </w:rPr>
            </w:pPr>
            <w:r>
              <w:rPr>
                <w:sz w:val="24"/>
              </w:rPr>
              <w:t>反光背心</w:t>
            </w:r>
          </w:p>
        </w:tc>
        <w:tc>
          <w:tcPr>
            <w:tcW w:w="927" w:type="dxa"/>
            <w:vAlign w:val="center"/>
          </w:tcPr>
          <w:p>
            <w:pPr>
              <w:widowControl/>
              <w:spacing w:line="300" w:lineRule="exact"/>
              <w:ind w:firstLine="0" w:firstLineChars="0"/>
              <w:jc w:val="center"/>
              <w:textAlignment w:val="center"/>
              <w:rPr>
                <w:sz w:val="24"/>
              </w:rPr>
            </w:pPr>
            <w:r>
              <w:rPr>
                <w:sz w:val="24"/>
              </w:rPr>
              <w:t>30件</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83</w:t>
            </w:r>
          </w:p>
        </w:tc>
        <w:tc>
          <w:tcPr>
            <w:tcW w:w="2187" w:type="dxa"/>
            <w:vAlign w:val="center"/>
          </w:tcPr>
          <w:p>
            <w:pPr>
              <w:widowControl/>
              <w:spacing w:line="300" w:lineRule="exact"/>
              <w:ind w:firstLine="0" w:firstLineChars="0"/>
              <w:jc w:val="center"/>
              <w:textAlignment w:val="center"/>
              <w:rPr>
                <w:sz w:val="24"/>
              </w:rPr>
            </w:pPr>
            <w:r>
              <w:rPr>
                <w:sz w:val="24"/>
              </w:rPr>
              <w:t>电磁流量计</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84</w:t>
            </w:r>
          </w:p>
        </w:tc>
        <w:tc>
          <w:tcPr>
            <w:tcW w:w="1523" w:type="dxa"/>
            <w:vAlign w:val="center"/>
          </w:tcPr>
          <w:p>
            <w:pPr>
              <w:widowControl/>
              <w:spacing w:line="300" w:lineRule="exact"/>
              <w:ind w:firstLine="0" w:firstLineChars="0"/>
              <w:jc w:val="center"/>
              <w:textAlignment w:val="center"/>
              <w:rPr>
                <w:sz w:val="24"/>
              </w:rPr>
            </w:pPr>
            <w:r>
              <w:rPr>
                <w:sz w:val="24"/>
              </w:rPr>
              <w:t>吸油拖栏</w:t>
            </w:r>
          </w:p>
        </w:tc>
        <w:tc>
          <w:tcPr>
            <w:tcW w:w="927" w:type="dxa"/>
            <w:vAlign w:val="center"/>
          </w:tcPr>
          <w:p>
            <w:pPr>
              <w:widowControl/>
              <w:spacing w:line="300" w:lineRule="exact"/>
              <w:ind w:firstLine="0" w:firstLineChars="0"/>
              <w:jc w:val="center"/>
              <w:textAlignment w:val="center"/>
              <w:rPr>
                <w:sz w:val="24"/>
              </w:rPr>
            </w:pPr>
            <w:r>
              <w:rPr>
                <w:sz w:val="24"/>
              </w:rPr>
              <w:t>120米</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85</w:t>
            </w:r>
          </w:p>
        </w:tc>
        <w:tc>
          <w:tcPr>
            <w:tcW w:w="2187" w:type="dxa"/>
            <w:vAlign w:val="center"/>
          </w:tcPr>
          <w:p>
            <w:pPr>
              <w:widowControl/>
              <w:spacing w:line="300" w:lineRule="exact"/>
              <w:ind w:firstLine="0" w:firstLineChars="0"/>
              <w:jc w:val="center"/>
              <w:textAlignment w:val="center"/>
              <w:rPr>
                <w:sz w:val="24"/>
              </w:rPr>
            </w:pPr>
            <w:r>
              <w:rPr>
                <w:sz w:val="24"/>
              </w:rPr>
              <w:t>移动喷墨打印机</w:t>
            </w:r>
          </w:p>
        </w:tc>
        <w:tc>
          <w:tcPr>
            <w:tcW w:w="899" w:type="dxa"/>
            <w:vAlign w:val="center"/>
          </w:tcPr>
          <w:p>
            <w:pPr>
              <w:widowControl/>
              <w:spacing w:line="300" w:lineRule="exact"/>
              <w:ind w:firstLine="0" w:firstLineChars="0"/>
              <w:jc w:val="center"/>
              <w:textAlignment w:val="center"/>
              <w:rPr>
                <w:sz w:val="24"/>
              </w:rPr>
            </w:pPr>
            <w:r>
              <w:rPr>
                <w:sz w:val="24"/>
              </w:rPr>
              <w:t>1台</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4102" w:type="dxa"/>
            <w:gridSpan w:val="4"/>
            <w:vAlign w:val="center"/>
          </w:tcPr>
          <w:p>
            <w:pPr>
              <w:widowControl/>
              <w:spacing w:line="300" w:lineRule="exact"/>
              <w:ind w:firstLine="0" w:firstLineChars="0"/>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sz w:val="24"/>
              </w:rPr>
            </w:pPr>
            <w:r>
              <w:rPr>
                <w:b/>
                <w:bCs/>
                <w:sz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b/>
                <w:bCs/>
                <w:sz w:val="24"/>
              </w:rPr>
            </w:pPr>
            <w:r>
              <w:rPr>
                <w:b/>
                <w:bCs/>
                <w:sz w:val="24"/>
              </w:rPr>
              <w:t>序号</w:t>
            </w:r>
          </w:p>
        </w:tc>
        <w:tc>
          <w:tcPr>
            <w:tcW w:w="2187" w:type="dxa"/>
            <w:vAlign w:val="center"/>
          </w:tcPr>
          <w:p>
            <w:pPr>
              <w:widowControl/>
              <w:spacing w:line="300" w:lineRule="exact"/>
              <w:ind w:firstLine="0" w:firstLineChars="0"/>
              <w:jc w:val="center"/>
              <w:textAlignment w:val="center"/>
              <w:rPr>
                <w:b/>
                <w:bCs/>
                <w:sz w:val="24"/>
              </w:rPr>
            </w:pPr>
            <w:r>
              <w:rPr>
                <w:b/>
                <w:bCs/>
                <w:sz w:val="24"/>
              </w:rPr>
              <w:t>物资名称</w:t>
            </w:r>
          </w:p>
        </w:tc>
        <w:tc>
          <w:tcPr>
            <w:tcW w:w="899" w:type="dxa"/>
            <w:vAlign w:val="center"/>
          </w:tcPr>
          <w:p>
            <w:pPr>
              <w:widowControl/>
              <w:spacing w:line="300" w:lineRule="exact"/>
              <w:ind w:firstLine="0" w:firstLineChars="0"/>
              <w:jc w:val="center"/>
              <w:textAlignment w:val="center"/>
              <w:rPr>
                <w:b/>
                <w:bCs/>
                <w:sz w:val="24"/>
              </w:rPr>
            </w:pPr>
            <w:r>
              <w:rPr>
                <w:b/>
                <w:bCs/>
                <w:sz w:val="24"/>
              </w:rPr>
              <w:t>数量</w:t>
            </w:r>
          </w:p>
        </w:tc>
        <w:tc>
          <w:tcPr>
            <w:tcW w:w="998" w:type="dxa"/>
            <w:vAlign w:val="center"/>
          </w:tcPr>
          <w:p>
            <w:pPr>
              <w:widowControl/>
              <w:spacing w:line="300" w:lineRule="exact"/>
              <w:ind w:firstLine="0" w:firstLineChars="0"/>
              <w:jc w:val="center"/>
              <w:textAlignment w:val="center"/>
              <w:rPr>
                <w:b/>
                <w:bCs/>
                <w:sz w:val="24"/>
              </w:rPr>
            </w:pPr>
            <w:r>
              <w:rPr>
                <w:b/>
                <w:bCs/>
                <w:sz w:val="24"/>
              </w:rPr>
              <w:t>备注</w:t>
            </w:r>
          </w:p>
        </w:tc>
        <w:tc>
          <w:tcPr>
            <w:tcW w:w="829" w:type="dxa"/>
            <w:vAlign w:val="center"/>
          </w:tcPr>
          <w:p>
            <w:pPr>
              <w:widowControl/>
              <w:spacing w:line="300" w:lineRule="exact"/>
              <w:ind w:firstLine="0" w:firstLineChars="0"/>
              <w:jc w:val="center"/>
              <w:textAlignment w:val="center"/>
              <w:rPr>
                <w:b/>
                <w:bCs/>
                <w:sz w:val="24"/>
              </w:rPr>
            </w:pPr>
            <w:r>
              <w:rPr>
                <w:b/>
                <w:bCs/>
                <w:sz w:val="24"/>
              </w:rPr>
              <w:t>序号</w:t>
            </w:r>
          </w:p>
        </w:tc>
        <w:tc>
          <w:tcPr>
            <w:tcW w:w="1523" w:type="dxa"/>
            <w:vAlign w:val="center"/>
          </w:tcPr>
          <w:p>
            <w:pPr>
              <w:widowControl/>
              <w:spacing w:line="300" w:lineRule="exact"/>
              <w:ind w:firstLine="0" w:firstLineChars="0"/>
              <w:jc w:val="center"/>
              <w:textAlignment w:val="center"/>
              <w:rPr>
                <w:b/>
                <w:bCs/>
                <w:sz w:val="24"/>
              </w:rPr>
            </w:pPr>
            <w:r>
              <w:rPr>
                <w:b/>
                <w:bCs/>
                <w:sz w:val="24"/>
              </w:rPr>
              <w:t>物资名称</w:t>
            </w:r>
          </w:p>
        </w:tc>
        <w:tc>
          <w:tcPr>
            <w:tcW w:w="927" w:type="dxa"/>
            <w:vAlign w:val="center"/>
          </w:tcPr>
          <w:p>
            <w:pPr>
              <w:widowControl/>
              <w:spacing w:line="300" w:lineRule="exact"/>
              <w:ind w:firstLine="0" w:firstLineChars="0"/>
              <w:jc w:val="center"/>
              <w:textAlignment w:val="center"/>
              <w:rPr>
                <w:b/>
                <w:bCs/>
                <w:sz w:val="24"/>
              </w:rPr>
            </w:pPr>
            <w:r>
              <w:rPr>
                <w:b/>
                <w:bCs/>
                <w:sz w:val="24"/>
              </w:rPr>
              <w:t>数量</w:t>
            </w:r>
          </w:p>
        </w:tc>
        <w:tc>
          <w:tcPr>
            <w:tcW w:w="823" w:type="dxa"/>
            <w:vAlign w:val="center"/>
          </w:tcPr>
          <w:p>
            <w:pPr>
              <w:widowControl/>
              <w:spacing w:line="300" w:lineRule="exact"/>
              <w:ind w:firstLine="0" w:firstLineChars="0"/>
              <w:jc w:val="center"/>
              <w:textAlignment w:val="center"/>
              <w:rPr>
                <w:b/>
                <w:bCs/>
                <w:sz w:val="24"/>
              </w:rPr>
            </w:pPr>
            <w:r>
              <w:rPr>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w:t>
            </w:r>
          </w:p>
        </w:tc>
        <w:tc>
          <w:tcPr>
            <w:tcW w:w="2187" w:type="dxa"/>
            <w:vAlign w:val="center"/>
          </w:tcPr>
          <w:p>
            <w:pPr>
              <w:widowControl/>
              <w:spacing w:line="300" w:lineRule="exact"/>
              <w:ind w:firstLine="0" w:firstLineChars="0"/>
              <w:jc w:val="center"/>
              <w:textAlignment w:val="center"/>
              <w:rPr>
                <w:sz w:val="24"/>
              </w:rPr>
            </w:pPr>
            <w:r>
              <w:rPr>
                <w:sz w:val="24"/>
              </w:rPr>
              <w:t>强光手电</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sz w:val="24"/>
              </w:rPr>
              <w:t>TK72R</w:t>
            </w:r>
          </w:p>
        </w:tc>
        <w:tc>
          <w:tcPr>
            <w:tcW w:w="829" w:type="dxa"/>
            <w:vAlign w:val="center"/>
          </w:tcPr>
          <w:p>
            <w:pPr>
              <w:widowControl/>
              <w:spacing w:line="300" w:lineRule="exact"/>
              <w:ind w:firstLine="0" w:firstLineChars="0"/>
              <w:jc w:val="center"/>
              <w:textAlignment w:val="center"/>
              <w:rPr>
                <w:sz w:val="24"/>
              </w:rPr>
            </w:pPr>
            <w:r>
              <w:rPr>
                <w:rFonts w:hint="eastAsia"/>
                <w:sz w:val="24"/>
              </w:rPr>
              <w:t>2</w:t>
            </w:r>
          </w:p>
        </w:tc>
        <w:tc>
          <w:tcPr>
            <w:tcW w:w="1523" w:type="dxa"/>
            <w:vAlign w:val="center"/>
          </w:tcPr>
          <w:p>
            <w:pPr>
              <w:widowControl/>
              <w:spacing w:line="300" w:lineRule="exact"/>
              <w:ind w:firstLine="0" w:firstLineChars="0"/>
              <w:jc w:val="center"/>
              <w:textAlignment w:val="center"/>
              <w:rPr>
                <w:sz w:val="24"/>
              </w:rPr>
            </w:pPr>
            <w:r>
              <w:rPr>
                <w:sz w:val="24"/>
              </w:rPr>
              <w:t>罗盘</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sz w:val="24"/>
              </w:rPr>
              <w:t>DQL-8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w:t>
            </w:r>
          </w:p>
        </w:tc>
        <w:tc>
          <w:tcPr>
            <w:tcW w:w="2187" w:type="dxa"/>
            <w:vAlign w:val="center"/>
          </w:tcPr>
          <w:p>
            <w:pPr>
              <w:widowControl/>
              <w:spacing w:line="300" w:lineRule="exact"/>
              <w:ind w:firstLine="0" w:firstLineChars="0"/>
              <w:jc w:val="center"/>
              <w:textAlignment w:val="center"/>
              <w:rPr>
                <w:sz w:val="24"/>
              </w:rPr>
            </w:pPr>
            <w:r>
              <w:rPr>
                <w:sz w:val="24"/>
              </w:rPr>
              <w:t>高倍夜视摄像望远镜</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sz w:val="24"/>
              </w:rPr>
              <w:t>VC-1000</w:t>
            </w:r>
          </w:p>
        </w:tc>
        <w:tc>
          <w:tcPr>
            <w:tcW w:w="829" w:type="dxa"/>
            <w:vAlign w:val="center"/>
          </w:tcPr>
          <w:p>
            <w:pPr>
              <w:widowControl/>
              <w:spacing w:line="300" w:lineRule="exact"/>
              <w:ind w:firstLine="0" w:firstLineChars="0"/>
              <w:jc w:val="center"/>
              <w:textAlignment w:val="center"/>
              <w:rPr>
                <w:sz w:val="24"/>
              </w:rPr>
            </w:pPr>
            <w:r>
              <w:rPr>
                <w:rFonts w:hint="eastAsia"/>
                <w:sz w:val="24"/>
              </w:rPr>
              <w:t>4</w:t>
            </w:r>
          </w:p>
        </w:tc>
        <w:tc>
          <w:tcPr>
            <w:tcW w:w="1523" w:type="dxa"/>
            <w:vAlign w:val="center"/>
          </w:tcPr>
          <w:p>
            <w:pPr>
              <w:widowControl/>
              <w:spacing w:line="300" w:lineRule="exact"/>
              <w:ind w:firstLine="0" w:firstLineChars="0"/>
              <w:jc w:val="center"/>
              <w:textAlignment w:val="center"/>
              <w:rPr>
                <w:sz w:val="24"/>
              </w:rPr>
            </w:pPr>
            <w:r>
              <w:rPr>
                <w:sz w:val="24"/>
              </w:rPr>
              <w:t>皮尺</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sz w:val="24"/>
              </w:rPr>
              <w:t>L-50U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w:t>
            </w:r>
          </w:p>
        </w:tc>
        <w:tc>
          <w:tcPr>
            <w:tcW w:w="2187" w:type="dxa"/>
            <w:vAlign w:val="center"/>
          </w:tcPr>
          <w:p>
            <w:pPr>
              <w:widowControl/>
              <w:spacing w:line="300" w:lineRule="exact"/>
              <w:ind w:firstLine="0" w:firstLineChars="0"/>
              <w:jc w:val="center"/>
              <w:textAlignment w:val="center"/>
              <w:rPr>
                <w:sz w:val="24"/>
              </w:rPr>
            </w:pPr>
            <w:r>
              <w:rPr>
                <w:sz w:val="24"/>
              </w:rPr>
              <w:t>卫星定位仪</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sz w:val="24"/>
              </w:rPr>
              <w:t>K72B</w:t>
            </w:r>
          </w:p>
        </w:tc>
        <w:tc>
          <w:tcPr>
            <w:tcW w:w="829" w:type="dxa"/>
            <w:vAlign w:val="center"/>
          </w:tcPr>
          <w:p>
            <w:pPr>
              <w:widowControl/>
              <w:spacing w:line="300" w:lineRule="exact"/>
              <w:ind w:firstLine="0" w:firstLineChars="0"/>
              <w:jc w:val="center"/>
              <w:textAlignment w:val="center"/>
              <w:rPr>
                <w:sz w:val="24"/>
              </w:rPr>
            </w:pPr>
            <w:r>
              <w:rPr>
                <w:rFonts w:hint="eastAsia"/>
                <w:sz w:val="24"/>
              </w:rPr>
              <w:t>6</w:t>
            </w:r>
          </w:p>
        </w:tc>
        <w:tc>
          <w:tcPr>
            <w:tcW w:w="1523" w:type="dxa"/>
            <w:vAlign w:val="center"/>
          </w:tcPr>
          <w:p>
            <w:pPr>
              <w:widowControl/>
              <w:spacing w:line="300" w:lineRule="exact"/>
              <w:ind w:firstLine="0" w:firstLineChars="0"/>
              <w:jc w:val="center"/>
              <w:textAlignment w:val="center"/>
              <w:rPr>
                <w:sz w:val="24"/>
              </w:rPr>
            </w:pPr>
            <w:r>
              <w:rPr>
                <w:sz w:val="24"/>
              </w:rPr>
              <w:t>钢圈尺</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sz w:val="24"/>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w:t>
            </w:r>
          </w:p>
        </w:tc>
        <w:tc>
          <w:tcPr>
            <w:tcW w:w="2187" w:type="dxa"/>
            <w:vAlign w:val="center"/>
          </w:tcPr>
          <w:p>
            <w:pPr>
              <w:widowControl/>
              <w:spacing w:line="300" w:lineRule="exact"/>
              <w:ind w:firstLine="0" w:firstLineChars="0"/>
              <w:jc w:val="center"/>
              <w:textAlignment w:val="center"/>
              <w:rPr>
                <w:sz w:val="24"/>
              </w:rPr>
            </w:pPr>
            <w:r>
              <w:rPr>
                <w:sz w:val="24"/>
              </w:rPr>
              <w:t>红外线测距仪</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sz w:val="24"/>
              </w:rPr>
              <w:t>800VR</w:t>
            </w:r>
          </w:p>
        </w:tc>
        <w:tc>
          <w:tcPr>
            <w:tcW w:w="829" w:type="dxa"/>
            <w:vAlign w:val="center"/>
          </w:tcPr>
          <w:p>
            <w:pPr>
              <w:widowControl/>
              <w:spacing w:line="300" w:lineRule="exact"/>
              <w:ind w:firstLine="0" w:firstLineChars="0"/>
              <w:jc w:val="center"/>
              <w:textAlignment w:val="center"/>
              <w:rPr>
                <w:sz w:val="24"/>
              </w:rPr>
            </w:pPr>
            <w:r>
              <w:rPr>
                <w:rFonts w:hint="eastAsia"/>
                <w:sz w:val="24"/>
              </w:rPr>
              <w:t>8</w:t>
            </w:r>
          </w:p>
        </w:tc>
        <w:tc>
          <w:tcPr>
            <w:tcW w:w="1523" w:type="dxa"/>
            <w:vAlign w:val="center"/>
          </w:tcPr>
          <w:p>
            <w:pPr>
              <w:widowControl/>
              <w:spacing w:line="300" w:lineRule="exact"/>
              <w:ind w:firstLine="0" w:firstLineChars="0"/>
              <w:jc w:val="center"/>
              <w:textAlignment w:val="center"/>
              <w:rPr>
                <w:sz w:val="24"/>
              </w:rPr>
            </w:pPr>
            <w:r>
              <w:rPr>
                <w:sz w:val="24"/>
              </w:rPr>
              <w:t>安全帽</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9</w:t>
            </w:r>
          </w:p>
        </w:tc>
        <w:tc>
          <w:tcPr>
            <w:tcW w:w="2187" w:type="dxa"/>
            <w:vAlign w:val="center"/>
          </w:tcPr>
          <w:p>
            <w:pPr>
              <w:widowControl/>
              <w:spacing w:line="300" w:lineRule="exact"/>
              <w:ind w:firstLine="0" w:firstLineChars="0"/>
              <w:jc w:val="center"/>
              <w:textAlignment w:val="center"/>
              <w:rPr>
                <w:sz w:val="24"/>
              </w:rPr>
            </w:pPr>
            <w:r>
              <w:rPr>
                <w:sz w:val="24"/>
              </w:rPr>
              <w:t>对讲机</w:t>
            </w:r>
          </w:p>
        </w:tc>
        <w:tc>
          <w:tcPr>
            <w:tcW w:w="899" w:type="dxa"/>
            <w:vAlign w:val="center"/>
          </w:tcPr>
          <w:p>
            <w:pPr>
              <w:widowControl/>
              <w:spacing w:line="300" w:lineRule="exact"/>
              <w:ind w:firstLine="0" w:firstLineChars="0"/>
              <w:jc w:val="center"/>
              <w:textAlignment w:val="center"/>
              <w:rPr>
                <w:sz w:val="24"/>
              </w:rPr>
            </w:pPr>
            <w:r>
              <w:rPr>
                <w:sz w:val="24"/>
              </w:rPr>
              <w:t>2台</w:t>
            </w:r>
          </w:p>
        </w:tc>
        <w:tc>
          <w:tcPr>
            <w:tcW w:w="998" w:type="dxa"/>
            <w:vAlign w:val="center"/>
          </w:tcPr>
          <w:p>
            <w:pPr>
              <w:widowControl/>
              <w:spacing w:line="300" w:lineRule="exact"/>
              <w:ind w:firstLine="0" w:firstLineChars="0"/>
              <w:jc w:val="center"/>
              <w:textAlignment w:val="center"/>
              <w:rPr>
                <w:sz w:val="24"/>
              </w:rPr>
            </w:pPr>
            <w:r>
              <w:rPr>
                <w:sz w:val="24"/>
              </w:rPr>
              <w:t>DH555</w:t>
            </w:r>
          </w:p>
        </w:tc>
        <w:tc>
          <w:tcPr>
            <w:tcW w:w="829" w:type="dxa"/>
            <w:vAlign w:val="center"/>
          </w:tcPr>
          <w:p>
            <w:pPr>
              <w:widowControl/>
              <w:spacing w:line="300" w:lineRule="exact"/>
              <w:ind w:firstLine="0" w:firstLineChars="0"/>
              <w:jc w:val="center"/>
              <w:textAlignment w:val="center"/>
              <w:rPr>
                <w:sz w:val="24"/>
              </w:rPr>
            </w:pPr>
            <w:r>
              <w:rPr>
                <w:rFonts w:hint="eastAsia"/>
                <w:sz w:val="24"/>
              </w:rPr>
              <w:t>10</w:t>
            </w:r>
          </w:p>
        </w:tc>
        <w:tc>
          <w:tcPr>
            <w:tcW w:w="1523" w:type="dxa"/>
            <w:vAlign w:val="center"/>
          </w:tcPr>
          <w:p>
            <w:pPr>
              <w:widowControl/>
              <w:spacing w:line="300" w:lineRule="exact"/>
              <w:ind w:firstLine="0" w:firstLineChars="0"/>
              <w:jc w:val="center"/>
              <w:textAlignment w:val="center"/>
              <w:rPr>
                <w:sz w:val="24"/>
              </w:rPr>
            </w:pPr>
            <w:r>
              <w:rPr>
                <w:sz w:val="24"/>
              </w:rPr>
              <w:t>地灾现场救援箱</w:t>
            </w:r>
          </w:p>
        </w:tc>
        <w:tc>
          <w:tcPr>
            <w:tcW w:w="927" w:type="dxa"/>
            <w:vAlign w:val="center"/>
          </w:tcPr>
          <w:p>
            <w:pPr>
              <w:widowControl/>
              <w:spacing w:line="300" w:lineRule="exact"/>
              <w:ind w:firstLine="0" w:firstLineChars="0"/>
              <w:jc w:val="center"/>
              <w:textAlignment w:val="center"/>
              <w:rPr>
                <w:sz w:val="24"/>
              </w:rPr>
            </w:pPr>
            <w:r>
              <w:rPr>
                <w:sz w:val="24"/>
              </w:rPr>
              <w:t>2个</w:t>
            </w:r>
          </w:p>
        </w:tc>
        <w:tc>
          <w:tcPr>
            <w:tcW w:w="823" w:type="dxa"/>
            <w:vAlign w:val="center"/>
          </w:tcPr>
          <w:p>
            <w:pPr>
              <w:widowControl/>
              <w:spacing w:line="300" w:lineRule="exact"/>
              <w:ind w:firstLine="0" w:firstLineChars="0"/>
              <w:jc w:val="center"/>
              <w:textAlignment w:val="center"/>
              <w:rPr>
                <w:sz w:val="24"/>
              </w:rPr>
            </w:pPr>
            <w:r>
              <w:rPr>
                <w:sz w:val="24"/>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color w:val="000000"/>
                <w:sz w:val="24"/>
              </w:rPr>
            </w:pPr>
            <w:r>
              <w:rPr>
                <w:b/>
                <w:bCs/>
                <w:sz w:val="24"/>
              </w:rPr>
              <w:t>人武部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b/>
                <w:bCs/>
                <w:sz w:val="24"/>
              </w:rPr>
            </w:pPr>
            <w:r>
              <w:rPr>
                <w:b/>
                <w:bCs/>
                <w:sz w:val="24"/>
              </w:rPr>
              <w:t>序号</w:t>
            </w:r>
          </w:p>
        </w:tc>
        <w:tc>
          <w:tcPr>
            <w:tcW w:w="2187" w:type="dxa"/>
            <w:vAlign w:val="center"/>
          </w:tcPr>
          <w:p>
            <w:pPr>
              <w:widowControl/>
              <w:spacing w:line="300" w:lineRule="exact"/>
              <w:ind w:firstLine="0" w:firstLineChars="0"/>
              <w:jc w:val="center"/>
              <w:textAlignment w:val="center"/>
              <w:rPr>
                <w:b/>
                <w:bCs/>
                <w:sz w:val="24"/>
              </w:rPr>
            </w:pPr>
            <w:r>
              <w:rPr>
                <w:b/>
                <w:bCs/>
                <w:sz w:val="24"/>
              </w:rPr>
              <w:t>物资名称</w:t>
            </w:r>
          </w:p>
        </w:tc>
        <w:tc>
          <w:tcPr>
            <w:tcW w:w="899" w:type="dxa"/>
            <w:vAlign w:val="center"/>
          </w:tcPr>
          <w:p>
            <w:pPr>
              <w:widowControl/>
              <w:spacing w:line="300" w:lineRule="exact"/>
              <w:ind w:firstLine="0" w:firstLineChars="0"/>
              <w:jc w:val="center"/>
              <w:textAlignment w:val="center"/>
              <w:rPr>
                <w:b/>
                <w:bCs/>
                <w:sz w:val="24"/>
              </w:rPr>
            </w:pPr>
            <w:r>
              <w:rPr>
                <w:b/>
                <w:bCs/>
                <w:sz w:val="24"/>
              </w:rPr>
              <w:t>数量</w:t>
            </w:r>
          </w:p>
        </w:tc>
        <w:tc>
          <w:tcPr>
            <w:tcW w:w="998" w:type="dxa"/>
            <w:vAlign w:val="center"/>
          </w:tcPr>
          <w:p>
            <w:pPr>
              <w:widowControl/>
              <w:spacing w:line="300" w:lineRule="exact"/>
              <w:ind w:firstLine="0" w:firstLineChars="0"/>
              <w:jc w:val="center"/>
              <w:textAlignment w:val="center"/>
              <w:rPr>
                <w:b/>
                <w:bCs/>
                <w:sz w:val="24"/>
              </w:rPr>
            </w:pPr>
            <w:r>
              <w:rPr>
                <w:b/>
                <w:bCs/>
                <w:sz w:val="24"/>
              </w:rPr>
              <w:t>备注</w:t>
            </w:r>
          </w:p>
        </w:tc>
        <w:tc>
          <w:tcPr>
            <w:tcW w:w="829" w:type="dxa"/>
            <w:vAlign w:val="center"/>
          </w:tcPr>
          <w:p>
            <w:pPr>
              <w:widowControl/>
              <w:spacing w:line="300" w:lineRule="exact"/>
              <w:ind w:firstLine="0" w:firstLineChars="0"/>
              <w:jc w:val="center"/>
              <w:textAlignment w:val="center"/>
              <w:rPr>
                <w:b/>
                <w:bCs/>
                <w:sz w:val="24"/>
              </w:rPr>
            </w:pPr>
            <w:r>
              <w:rPr>
                <w:b/>
                <w:bCs/>
                <w:sz w:val="24"/>
              </w:rPr>
              <w:t>序号</w:t>
            </w:r>
          </w:p>
        </w:tc>
        <w:tc>
          <w:tcPr>
            <w:tcW w:w="1523" w:type="dxa"/>
            <w:vAlign w:val="center"/>
          </w:tcPr>
          <w:p>
            <w:pPr>
              <w:widowControl/>
              <w:spacing w:line="300" w:lineRule="exact"/>
              <w:ind w:firstLine="0" w:firstLineChars="0"/>
              <w:jc w:val="center"/>
              <w:textAlignment w:val="center"/>
              <w:rPr>
                <w:b/>
                <w:bCs/>
                <w:sz w:val="24"/>
              </w:rPr>
            </w:pPr>
            <w:r>
              <w:rPr>
                <w:b/>
                <w:bCs/>
                <w:sz w:val="24"/>
              </w:rPr>
              <w:t>物资名称</w:t>
            </w:r>
          </w:p>
        </w:tc>
        <w:tc>
          <w:tcPr>
            <w:tcW w:w="927" w:type="dxa"/>
            <w:vAlign w:val="center"/>
          </w:tcPr>
          <w:p>
            <w:pPr>
              <w:widowControl/>
              <w:spacing w:line="300" w:lineRule="exact"/>
              <w:ind w:firstLine="0" w:firstLineChars="0"/>
              <w:jc w:val="center"/>
              <w:textAlignment w:val="center"/>
              <w:rPr>
                <w:b/>
                <w:bCs/>
                <w:sz w:val="24"/>
              </w:rPr>
            </w:pPr>
            <w:r>
              <w:rPr>
                <w:b/>
                <w:bCs/>
                <w:sz w:val="24"/>
              </w:rPr>
              <w:t>数量</w:t>
            </w:r>
          </w:p>
        </w:tc>
        <w:tc>
          <w:tcPr>
            <w:tcW w:w="823" w:type="dxa"/>
            <w:vAlign w:val="center"/>
          </w:tcPr>
          <w:p>
            <w:pPr>
              <w:widowControl/>
              <w:spacing w:line="300" w:lineRule="exact"/>
              <w:ind w:firstLine="0" w:firstLineChars="0"/>
              <w:jc w:val="center"/>
              <w:textAlignment w:val="center"/>
              <w:rPr>
                <w:b/>
                <w:bCs/>
                <w:sz w:val="24"/>
              </w:rPr>
            </w:pPr>
            <w:r>
              <w:rPr>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1</w:t>
            </w:r>
          </w:p>
        </w:tc>
        <w:tc>
          <w:tcPr>
            <w:tcW w:w="2187" w:type="dxa"/>
            <w:vAlign w:val="center"/>
          </w:tcPr>
          <w:p>
            <w:pPr>
              <w:widowControl/>
              <w:spacing w:line="300" w:lineRule="exact"/>
              <w:ind w:firstLine="0" w:firstLineChars="0"/>
              <w:jc w:val="center"/>
              <w:textAlignment w:val="center"/>
              <w:rPr>
                <w:sz w:val="24"/>
              </w:rPr>
            </w:pPr>
            <w:r>
              <w:rPr>
                <w:sz w:val="24"/>
              </w:rPr>
              <w:t>班用帐篷</w:t>
            </w:r>
          </w:p>
        </w:tc>
        <w:tc>
          <w:tcPr>
            <w:tcW w:w="899" w:type="dxa"/>
            <w:vAlign w:val="center"/>
          </w:tcPr>
          <w:p>
            <w:pPr>
              <w:widowControl/>
              <w:spacing w:line="300" w:lineRule="exact"/>
              <w:ind w:firstLine="0" w:firstLineChars="0"/>
              <w:jc w:val="center"/>
              <w:textAlignment w:val="center"/>
              <w:rPr>
                <w:sz w:val="24"/>
              </w:rPr>
            </w:pPr>
            <w:r>
              <w:rPr>
                <w:sz w:val="24"/>
              </w:rPr>
              <w:t>13</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12</w:t>
            </w:r>
          </w:p>
        </w:tc>
        <w:tc>
          <w:tcPr>
            <w:tcW w:w="1523" w:type="dxa"/>
            <w:vAlign w:val="center"/>
          </w:tcPr>
          <w:p>
            <w:pPr>
              <w:widowControl/>
              <w:spacing w:line="300" w:lineRule="exact"/>
              <w:ind w:firstLine="0" w:firstLineChars="0"/>
              <w:jc w:val="center"/>
              <w:textAlignment w:val="center"/>
              <w:rPr>
                <w:sz w:val="24"/>
              </w:rPr>
            </w:pPr>
            <w:r>
              <w:rPr>
                <w:sz w:val="24"/>
              </w:rPr>
              <w:t>阻隔网</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2</w:t>
            </w:r>
          </w:p>
        </w:tc>
        <w:tc>
          <w:tcPr>
            <w:tcW w:w="2187" w:type="dxa"/>
            <w:vAlign w:val="center"/>
          </w:tcPr>
          <w:p>
            <w:pPr>
              <w:widowControl/>
              <w:spacing w:line="300" w:lineRule="exact"/>
              <w:ind w:firstLine="0" w:firstLineChars="0"/>
              <w:jc w:val="center"/>
              <w:textAlignment w:val="center"/>
              <w:rPr>
                <w:sz w:val="24"/>
              </w:rPr>
            </w:pPr>
            <w:r>
              <w:rPr>
                <w:sz w:val="24"/>
              </w:rPr>
              <w:t>防爆盾牌</w:t>
            </w:r>
          </w:p>
        </w:tc>
        <w:tc>
          <w:tcPr>
            <w:tcW w:w="899" w:type="dxa"/>
            <w:vAlign w:val="center"/>
          </w:tcPr>
          <w:p>
            <w:pPr>
              <w:widowControl/>
              <w:spacing w:line="300" w:lineRule="exact"/>
              <w:ind w:firstLine="0" w:firstLineChars="0"/>
              <w:jc w:val="center"/>
              <w:textAlignment w:val="center"/>
              <w:rPr>
                <w:sz w:val="24"/>
              </w:rPr>
            </w:pPr>
            <w:r>
              <w:rPr>
                <w:sz w:val="24"/>
              </w:rPr>
              <w:t>100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13</w:t>
            </w:r>
          </w:p>
        </w:tc>
        <w:tc>
          <w:tcPr>
            <w:tcW w:w="1523" w:type="dxa"/>
            <w:vAlign w:val="center"/>
          </w:tcPr>
          <w:p>
            <w:pPr>
              <w:widowControl/>
              <w:spacing w:line="300" w:lineRule="exact"/>
              <w:ind w:firstLine="0" w:firstLineChars="0"/>
              <w:jc w:val="center"/>
              <w:textAlignment w:val="center"/>
              <w:rPr>
                <w:sz w:val="24"/>
              </w:rPr>
            </w:pPr>
            <w:r>
              <w:rPr>
                <w:sz w:val="24"/>
              </w:rPr>
              <w:t>阻隔器</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3</w:t>
            </w:r>
          </w:p>
        </w:tc>
        <w:tc>
          <w:tcPr>
            <w:tcW w:w="2187" w:type="dxa"/>
            <w:vAlign w:val="center"/>
          </w:tcPr>
          <w:p>
            <w:pPr>
              <w:widowControl/>
              <w:spacing w:line="300" w:lineRule="exact"/>
              <w:ind w:firstLine="0" w:firstLineChars="0"/>
              <w:jc w:val="center"/>
              <w:textAlignment w:val="center"/>
              <w:rPr>
                <w:sz w:val="24"/>
              </w:rPr>
            </w:pPr>
            <w:r>
              <w:rPr>
                <w:sz w:val="24"/>
              </w:rPr>
              <w:t>单兵帐篷</w:t>
            </w:r>
          </w:p>
        </w:tc>
        <w:tc>
          <w:tcPr>
            <w:tcW w:w="899" w:type="dxa"/>
            <w:vAlign w:val="center"/>
          </w:tcPr>
          <w:p>
            <w:pPr>
              <w:widowControl/>
              <w:spacing w:line="300" w:lineRule="exact"/>
              <w:ind w:firstLine="0" w:firstLineChars="0"/>
              <w:jc w:val="center"/>
              <w:textAlignment w:val="center"/>
              <w:rPr>
                <w:sz w:val="24"/>
              </w:rPr>
            </w:pPr>
            <w:r>
              <w:rPr>
                <w:sz w:val="24"/>
              </w:rPr>
              <w:t>56</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14</w:t>
            </w:r>
          </w:p>
        </w:tc>
        <w:tc>
          <w:tcPr>
            <w:tcW w:w="1523" w:type="dxa"/>
            <w:vAlign w:val="center"/>
          </w:tcPr>
          <w:p>
            <w:pPr>
              <w:widowControl/>
              <w:spacing w:line="300" w:lineRule="exact"/>
              <w:ind w:firstLine="0" w:firstLineChars="0"/>
              <w:jc w:val="center"/>
              <w:textAlignment w:val="center"/>
              <w:rPr>
                <w:sz w:val="24"/>
              </w:rPr>
            </w:pPr>
            <w:r>
              <w:rPr>
                <w:sz w:val="24"/>
              </w:rPr>
              <w:t>救援绳</w:t>
            </w:r>
          </w:p>
        </w:tc>
        <w:tc>
          <w:tcPr>
            <w:tcW w:w="927" w:type="dxa"/>
            <w:vAlign w:val="center"/>
          </w:tcPr>
          <w:p>
            <w:pPr>
              <w:widowControl/>
              <w:spacing w:line="300" w:lineRule="exact"/>
              <w:ind w:firstLine="0" w:firstLineChars="0"/>
              <w:jc w:val="center"/>
              <w:textAlignment w:val="center"/>
              <w:rPr>
                <w:sz w:val="24"/>
              </w:rPr>
            </w:pPr>
            <w:r>
              <w:rPr>
                <w:sz w:val="24"/>
              </w:rPr>
              <w:t>30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4</w:t>
            </w:r>
          </w:p>
        </w:tc>
        <w:tc>
          <w:tcPr>
            <w:tcW w:w="2187" w:type="dxa"/>
            <w:vAlign w:val="center"/>
          </w:tcPr>
          <w:p>
            <w:pPr>
              <w:widowControl/>
              <w:spacing w:line="300" w:lineRule="exact"/>
              <w:ind w:firstLine="0" w:firstLineChars="0"/>
              <w:jc w:val="center"/>
              <w:textAlignment w:val="center"/>
              <w:rPr>
                <w:sz w:val="24"/>
              </w:rPr>
            </w:pPr>
            <w:r>
              <w:rPr>
                <w:sz w:val="24"/>
              </w:rPr>
              <w:t>头盔</w:t>
            </w:r>
          </w:p>
        </w:tc>
        <w:tc>
          <w:tcPr>
            <w:tcW w:w="899" w:type="dxa"/>
            <w:vAlign w:val="center"/>
          </w:tcPr>
          <w:p>
            <w:pPr>
              <w:widowControl/>
              <w:spacing w:line="300" w:lineRule="exact"/>
              <w:ind w:firstLine="0" w:firstLineChars="0"/>
              <w:jc w:val="center"/>
              <w:textAlignment w:val="center"/>
              <w:rPr>
                <w:sz w:val="24"/>
              </w:rPr>
            </w:pPr>
            <w:r>
              <w:rPr>
                <w:sz w:val="24"/>
              </w:rPr>
              <w:t>120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15</w:t>
            </w:r>
          </w:p>
        </w:tc>
        <w:tc>
          <w:tcPr>
            <w:tcW w:w="1523" w:type="dxa"/>
            <w:vAlign w:val="center"/>
          </w:tcPr>
          <w:p>
            <w:pPr>
              <w:widowControl/>
              <w:spacing w:line="300" w:lineRule="exact"/>
              <w:ind w:firstLine="0" w:firstLineChars="0"/>
              <w:jc w:val="center"/>
              <w:textAlignment w:val="center"/>
              <w:rPr>
                <w:sz w:val="24"/>
              </w:rPr>
            </w:pPr>
            <w:r>
              <w:rPr>
                <w:sz w:val="24"/>
              </w:rPr>
              <w:t>急救包</w:t>
            </w:r>
          </w:p>
        </w:tc>
        <w:tc>
          <w:tcPr>
            <w:tcW w:w="927" w:type="dxa"/>
            <w:vAlign w:val="center"/>
          </w:tcPr>
          <w:p>
            <w:pPr>
              <w:widowControl/>
              <w:spacing w:line="300" w:lineRule="exact"/>
              <w:ind w:firstLine="0" w:firstLineChars="0"/>
              <w:jc w:val="center"/>
              <w:textAlignment w:val="center"/>
              <w:rPr>
                <w:sz w:val="24"/>
              </w:rPr>
            </w:pPr>
            <w:r>
              <w:rPr>
                <w:sz w:val="24"/>
              </w:rPr>
              <w:t>30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5</w:t>
            </w:r>
          </w:p>
        </w:tc>
        <w:tc>
          <w:tcPr>
            <w:tcW w:w="2187" w:type="dxa"/>
            <w:vAlign w:val="center"/>
          </w:tcPr>
          <w:p>
            <w:pPr>
              <w:widowControl/>
              <w:spacing w:line="300" w:lineRule="exact"/>
              <w:ind w:firstLine="0" w:firstLineChars="0"/>
              <w:jc w:val="center"/>
              <w:textAlignment w:val="center"/>
              <w:rPr>
                <w:sz w:val="24"/>
              </w:rPr>
            </w:pPr>
            <w:r>
              <w:rPr>
                <w:sz w:val="24"/>
              </w:rPr>
              <w:t>厕所帐篷</w:t>
            </w:r>
          </w:p>
        </w:tc>
        <w:tc>
          <w:tcPr>
            <w:tcW w:w="899" w:type="dxa"/>
            <w:vAlign w:val="center"/>
          </w:tcPr>
          <w:p>
            <w:pPr>
              <w:widowControl/>
              <w:spacing w:line="300" w:lineRule="exact"/>
              <w:ind w:firstLine="0" w:firstLineChars="0"/>
              <w:jc w:val="center"/>
              <w:textAlignment w:val="center"/>
              <w:rPr>
                <w:sz w:val="24"/>
              </w:rPr>
            </w:pPr>
            <w:r>
              <w:rPr>
                <w:sz w:val="24"/>
              </w:rPr>
              <w:t>1</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16</w:t>
            </w:r>
          </w:p>
        </w:tc>
        <w:tc>
          <w:tcPr>
            <w:tcW w:w="1523" w:type="dxa"/>
            <w:vAlign w:val="center"/>
          </w:tcPr>
          <w:p>
            <w:pPr>
              <w:widowControl/>
              <w:spacing w:line="300" w:lineRule="exact"/>
              <w:ind w:firstLine="0" w:firstLineChars="0"/>
              <w:jc w:val="center"/>
              <w:textAlignment w:val="center"/>
              <w:rPr>
                <w:sz w:val="24"/>
              </w:rPr>
            </w:pPr>
            <w:r>
              <w:rPr>
                <w:sz w:val="24"/>
              </w:rPr>
              <w:t>组合工具</w:t>
            </w:r>
          </w:p>
        </w:tc>
        <w:tc>
          <w:tcPr>
            <w:tcW w:w="927" w:type="dxa"/>
            <w:vAlign w:val="center"/>
          </w:tcPr>
          <w:p>
            <w:pPr>
              <w:widowControl/>
              <w:spacing w:line="300" w:lineRule="exact"/>
              <w:ind w:firstLine="0" w:firstLineChars="0"/>
              <w:jc w:val="center"/>
              <w:textAlignment w:val="center"/>
              <w:rPr>
                <w:sz w:val="24"/>
              </w:rPr>
            </w:pPr>
            <w:r>
              <w:rPr>
                <w:sz w:val="24"/>
              </w:rPr>
              <w:t>2</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6</w:t>
            </w:r>
          </w:p>
        </w:tc>
        <w:tc>
          <w:tcPr>
            <w:tcW w:w="2187" w:type="dxa"/>
            <w:vAlign w:val="center"/>
          </w:tcPr>
          <w:p>
            <w:pPr>
              <w:widowControl/>
              <w:spacing w:line="300" w:lineRule="exact"/>
              <w:ind w:firstLine="0" w:firstLineChars="0"/>
              <w:jc w:val="center"/>
              <w:textAlignment w:val="center"/>
              <w:rPr>
                <w:sz w:val="24"/>
              </w:rPr>
            </w:pPr>
            <w:r>
              <w:rPr>
                <w:sz w:val="24"/>
              </w:rPr>
              <w:t>雨衣</w:t>
            </w:r>
          </w:p>
        </w:tc>
        <w:tc>
          <w:tcPr>
            <w:tcW w:w="899" w:type="dxa"/>
            <w:vAlign w:val="center"/>
          </w:tcPr>
          <w:p>
            <w:pPr>
              <w:widowControl/>
              <w:spacing w:line="300" w:lineRule="exact"/>
              <w:ind w:firstLine="0" w:firstLineChars="0"/>
              <w:jc w:val="center"/>
              <w:textAlignment w:val="center"/>
              <w:rPr>
                <w:sz w:val="24"/>
              </w:rPr>
            </w:pPr>
            <w:r>
              <w:rPr>
                <w:sz w:val="24"/>
              </w:rPr>
              <w:t>40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17</w:t>
            </w:r>
          </w:p>
        </w:tc>
        <w:tc>
          <w:tcPr>
            <w:tcW w:w="1523" w:type="dxa"/>
            <w:vAlign w:val="center"/>
          </w:tcPr>
          <w:p>
            <w:pPr>
              <w:widowControl/>
              <w:spacing w:line="300" w:lineRule="exact"/>
              <w:ind w:firstLine="0" w:firstLineChars="0"/>
              <w:jc w:val="center"/>
              <w:textAlignment w:val="center"/>
              <w:rPr>
                <w:sz w:val="24"/>
              </w:rPr>
            </w:pPr>
            <w:r>
              <w:rPr>
                <w:sz w:val="24"/>
              </w:rPr>
              <w:t>脸盆</w:t>
            </w:r>
          </w:p>
        </w:tc>
        <w:tc>
          <w:tcPr>
            <w:tcW w:w="927" w:type="dxa"/>
            <w:vAlign w:val="center"/>
          </w:tcPr>
          <w:p>
            <w:pPr>
              <w:widowControl/>
              <w:spacing w:line="300" w:lineRule="exact"/>
              <w:ind w:firstLine="0" w:firstLineChars="0"/>
              <w:jc w:val="center"/>
              <w:textAlignment w:val="center"/>
              <w:rPr>
                <w:sz w:val="24"/>
              </w:rPr>
            </w:pPr>
            <w:r>
              <w:rPr>
                <w:sz w:val="24"/>
              </w:rPr>
              <w:t>500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7</w:t>
            </w:r>
          </w:p>
        </w:tc>
        <w:tc>
          <w:tcPr>
            <w:tcW w:w="2187" w:type="dxa"/>
            <w:vAlign w:val="center"/>
          </w:tcPr>
          <w:p>
            <w:pPr>
              <w:widowControl/>
              <w:spacing w:line="300" w:lineRule="exact"/>
              <w:ind w:firstLine="0" w:firstLineChars="0"/>
              <w:jc w:val="center"/>
              <w:textAlignment w:val="center"/>
              <w:rPr>
                <w:sz w:val="24"/>
              </w:rPr>
            </w:pPr>
            <w:r>
              <w:rPr>
                <w:sz w:val="24"/>
              </w:rPr>
              <w:t>给养单元</w:t>
            </w:r>
          </w:p>
        </w:tc>
        <w:tc>
          <w:tcPr>
            <w:tcW w:w="899" w:type="dxa"/>
            <w:vAlign w:val="center"/>
          </w:tcPr>
          <w:p>
            <w:pPr>
              <w:widowControl/>
              <w:spacing w:line="300" w:lineRule="exact"/>
              <w:ind w:firstLine="0" w:firstLineChars="0"/>
              <w:jc w:val="center"/>
              <w:textAlignment w:val="center"/>
              <w:rPr>
                <w:sz w:val="24"/>
              </w:rPr>
            </w:pPr>
            <w:r>
              <w:rPr>
                <w:sz w:val="24"/>
              </w:rPr>
              <w:t>1</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18</w:t>
            </w:r>
          </w:p>
        </w:tc>
        <w:tc>
          <w:tcPr>
            <w:tcW w:w="1523" w:type="dxa"/>
            <w:vAlign w:val="center"/>
          </w:tcPr>
          <w:p>
            <w:pPr>
              <w:widowControl/>
              <w:spacing w:line="300" w:lineRule="exact"/>
              <w:ind w:firstLine="0" w:firstLineChars="0"/>
              <w:jc w:val="center"/>
              <w:textAlignment w:val="center"/>
              <w:rPr>
                <w:sz w:val="24"/>
              </w:rPr>
            </w:pPr>
            <w:r>
              <w:rPr>
                <w:sz w:val="24"/>
              </w:rPr>
              <w:t>照明灯</w:t>
            </w:r>
          </w:p>
        </w:tc>
        <w:tc>
          <w:tcPr>
            <w:tcW w:w="927" w:type="dxa"/>
            <w:vAlign w:val="center"/>
          </w:tcPr>
          <w:p>
            <w:pPr>
              <w:widowControl/>
              <w:spacing w:line="300" w:lineRule="exact"/>
              <w:ind w:firstLine="0" w:firstLineChars="0"/>
              <w:jc w:val="center"/>
              <w:textAlignment w:val="center"/>
              <w:rPr>
                <w:sz w:val="24"/>
              </w:rPr>
            </w:pPr>
            <w:r>
              <w:rPr>
                <w:sz w:val="24"/>
              </w:rPr>
              <w:t>20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8</w:t>
            </w:r>
          </w:p>
        </w:tc>
        <w:tc>
          <w:tcPr>
            <w:tcW w:w="2187" w:type="dxa"/>
            <w:vAlign w:val="center"/>
          </w:tcPr>
          <w:p>
            <w:pPr>
              <w:widowControl/>
              <w:spacing w:line="300" w:lineRule="exact"/>
              <w:ind w:firstLine="0" w:firstLineChars="0"/>
              <w:jc w:val="center"/>
              <w:textAlignment w:val="center"/>
              <w:rPr>
                <w:sz w:val="24"/>
              </w:rPr>
            </w:pPr>
            <w:r>
              <w:rPr>
                <w:sz w:val="24"/>
              </w:rPr>
              <w:t>望远镜</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19</w:t>
            </w:r>
          </w:p>
        </w:tc>
        <w:tc>
          <w:tcPr>
            <w:tcW w:w="1523" w:type="dxa"/>
            <w:vAlign w:val="center"/>
          </w:tcPr>
          <w:p>
            <w:pPr>
              <w:widowControl/>
              <w:spacing w:line="300" w:lineRule="exact"/>
              <w:ind w:firstLine="0" w:firstLineChars="0"/>
              <w:jc w:val="center"/>
              <w:textAlignment w:val="center"/>
              <w:rPr>
                <w:sz w:val="24"/>
              </w:rPr>
            </w:pPr>
            <w:r>
              <w:rPr>
                <w:sz w:val="24"/>
              </w:rPr>
              <w:t>救生衣</w:t>
            </w:r>
          </w:p>
        </w:tc>
        <w:tc>
          <w:tcPr>
            <w:tcW w:w="927" w:type="dxa"/>
            <w:vAlign w:val="center"/>
          </w:tcPr>
          <w:p>
            <w:pPr>
              <w:widowControl/>
              <w:spacing w:line="300" w:lineRule="exact"/>
              <w:ind w:firstLine="0" w:firstLineChars="0"/>
              <w:jc w:val="center"/>
              <w:textAlignment w:val="center"/>
              <w:rPr>
                <w:sz w:val="24"/>
              </w:rPr>
            </w:pPr>
            <w:r>
              <w:rPr>
                <w:sz w:val="24"/>
              </w:rPr>
              <w:t>120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9</w:t>
            </w:r>
          </w:p>
        </w:tc>
        <w:tc>
          <w:tcPr>
            <w:tcW w:w="2187" w:type="dxa"/>
            <w:vAlign w:val="center"/>
          </w:tcPr>
          <w:p>
            <w:pPr>
              <w:widowControl/>
              <w:spacing w:line="300" w:lineRule="exact"/>
              <w:ind w:firstLine="0" w:firstLineChars="0"/>
              <w:jc w:val="center"/>
              <w:textAlignment w:val="center"/>
              <w:rPr>
                <w:sz w:val="24"/>
              </w:rPr>
            </w:pPr>
            <w:r>
              <w:rPr>
                <w:sz w:val="24"/>
              </w:rPr>
              <w:t>防刺服</w:t>
            </w:r>
          </w:p>
        </w:tc>
        <w:tc>
          <w:tcPr>
            <w:tcW w:w="899" w:type="dxa"/>
            <w:vAlign w:val="center"/>
          </w:tcPr>
          <w:p>
            <w:pPr>
              <w:widowControl/>
              <w:spacing w:line="300" w:lineRule="exact"/>
              <w:ind w:firstLine="0" w:firstLineChars="0"/>
              <w:jc w:val="center"/>
              <w:textAlignment w:val="center"/>
              <w:rPr>
                <w:sz w:val="24"/>
              </w:rPr>
            </w:pPr>
            <w:r>
              <w:rPr>
                <w:sz w:val="24"/>
              </w:rPr>
              <w:t>30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20</w:t>
            </w:r>
          </w:p>
        </w:tc>
        <w:tc>
          <w:tcPr>
            <w:tcW w:w="1523" w:type="dxa"/>
            <w:vAlign w:val="center"/>
          </w:tcPr>
          <w:p>
            <w:pPr>
              <w:widowControl/>
              <w:spacing w:line="300" w:lineRule="exact"/>
              <w:ind w:firstLine="0" w:firstLineChars="0"/>
              <w:jc w:val="center"/>
              <w:textAlignment w:val="center"/>
              <w:rPr>
                <w:sz w:val="24"/>
              </w:rPr>
            </w:pPr>
            <w:r>
              <w:rPr>
                <w:sz w:val="24"/>
              </w:rPr>
              <w:t>工兵锹</w:t>
            </w:r>
          </w:p>
        </w:tc>
        <w:tc>
          <w:tcPr>
            <w:tcW w:w="927" w:type="dxa"/>
            <w:vAlign w:val="center"/>
          </w:tcPr>
          <w:p>
            <w:pPr>
              <w:widowControl/>
              <w:spacing w:line="300" w:lineRule="exact"/>
              <w:ind w:firstLine="0" w:firstLineChars="0"/>
              <w:jc w:val="center"/>
              <w:textAlignment w:val="center"/>
              <w:rPr>
                <w:sz w:val="24"/>
              </w:rPr>
            </w:pPr>
            <w:r>
              <w:rPr>
                <w:sz w:val="24"/>
              </w:rPr>
              <w:t>30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10</w:t>
            </w:r>
          </w:p>
        </w:tc>
        <w:tc>
          <w:tcPr>
            <w:tcW w:w="2187" w:type="dxa"/>
            <w:vAlign w:val="center"/>
          </w:tcPr>
          <w:p>
            <w:pPr>
              <w:widowControl/>
              <w:spacing w:line="300" w:lineRule="exact"/>
              <w:ind w:firstLine="0" w:firstLineChars="0"/>
              <w:jc w:val="center"/>
              <w:textAlignment w:val="center"/>
              <w:rPr>
                <w:sz w:val="24"/>
              </w:rPr>
            </w:pPr>
            <w:r>
              <w:rPr>
                <w:sz w:val="24"/>
              </w:rPr>
              <w:t>探测器</w:t>
            </w:r>
          </w:p>
        </w:tc>
        <w:tc>
          <w:tcPr>
            <w:tcW w:w="899" w:type="dxa"/>
            <w:vAlign w:val="center"/>
          </w:tcPr>
          <w:p>
            <w:pPr>
              <w:widowControl/>
              <w:spacing w:line="300" w:lineRule="exact"/>
              <w:ind w:firstLine="0" w:firstLineChars="0"/>
              <w:jc w:val="center"/>
              <w:textAlignment w:val="center"/>
              <w:rPr>
                <w:sz w:val="24"/>
              </w:rPr>
            </w:pPr>
            <w:r>
              <w:rPr>
                <w:sz w:val="24"/>
              </w:rPr>
              <w:t>3</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sz w:val="24"/>
              </w:rPr>
              <w:t>21</w:t>
            </w:r>
          </w:p>
        </w:tc>
        <w:tc>
          <w:tcPr>
            <w:tcW w:w="1523" w:type="dxa"/>
            <w:vAlign w:val="center"/>
          </w:tcPr>
          <w:p>
            <w:pPr>
              <w:widowControl/>
              <w:spacing w:line="300" w:lineRule="exact"/>
              <w:ind w:firstLine="0" w:firstLineChars="0"/>
              <w:jc w:val="center"/>
              <w:textAlignment w:val="center"/>
              <w:rPr>
                <w:sz w:val="24"/>
              </w:rPr>
            </w:pPr>
            <w:r>
              <w:rPr>
                <w:sz w:val="24"/>
              </w:rPr>
              <w:t>十字镐</w:t>
            </w:r>
          </w:p>
        </w:tc>
        <w:tc>
          <w:tcPr>
            <w:tcW w:w="927" w:type="dxa"/>
            <w:vAlign w:val="center"/>
          </w:tcPr>
          <w:p>
            <w:pPr>
              <w:widowControl/>
              <w:spacing w:line="300" w:lineRule="exact"/>
              <w:ind w:firstLine="0" w:firstLineChars="0"/>
              <w:jc w:val="center"/>
              <w:textAlignment w:val="center"/>
              <w:rPr>
                <w:sz w:val="24"/>
              </w:rPr>
            </w:pPr>
            <w:r>
              <w:rPr>
                <w:sz w:val="24"/>
              </w:rPr>
              <w:t>30</w:t>
            </w:r>
          </w:p>
        </w:tc>
        <w:tc>
          <w:tcPr>
            <w:tcW w:w="823" w:type="dxa"/>
            <w:tcBorders>
              <w:bottom w:val="single" w:color="auto" w:sz="4" w:space="0"/>
            </w:tcBorders>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sz w:val="24"/>
              </w:rPr>
              <w:t>11</w:t>
            </w:r>
          </w:p>
        </w:tc>
        <w:tc>
          <w:tcPr>
            <w:tcW w:w="2187" w:type="dxa"/>
            <w:vAlign w:val="center"/>
          </w:tcPr>
          <w:p>
            <w:pPr>
              <w:widowControl/>
              <w:spacing w:line="300" w:lineRule="exact"/>
              <w:ind w:firstLine="0" w:firstLineChars="0"/>
              <w:jc w:val="center"/>
              <w:textAlignment w:val="center"/>
              <w:rPr>
                <w:sz w:val="24"/>
              </w:rPr>
            </w:pPr>
            <w:r>
              <w:rPr>
                <w:sz w:val="24"/>
              </w:rPr>
              <w:t>防爆钢叉</w:t>
            </w:r>
          </w:p>
        </w:tc>
        <w:tc>
          <w:tcPr>
            <w:tcW w:w="899" w:type="dxa"/>
            <w:vAlign w:val="center"/>
          </w:tcPr>
          <w:p>
            <w:pPr>
              <w:widowControl/>
              <w:spacing w:line="300" w:lineRule="exact"/>
              <w:ind w:firstLine="0" w:firstLineChars="0"/>
              <w:jc w:val="center"/>
              <w:textAlignment w:val="center"/>
              <w:rPr>
                <w:sz w:val="24"/>
              </w:rPr>
            </w:pPr>
            <w:r>
              <w:rPr>
                <w:sz w:val="24"/>
              </w:rPr>
              <w:t>24</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4102" w:type="dxa"/>
            <w:gridSpan w:val="4"/>
            <w:vAlign w:val="center"/>
          </w:tcPr>
          <w:p>
            <w:pPr>
              <w:widowControl/>
              <w:spacing w:line="300" w:lineRule="exact"/>
              <w:ind w:firstLine="0" w:firstLineChars="0"/>
              <w:jc w:val="center"/>
              <w:textAlignment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color w:val="000000"/>
                <w:sz w:val="24"/>
              </w:rPr>
            </w:pPr>
            <w:r>
              <w:rPr>
                <w:b/>
                <w:bCs/>
                <w:sz w:val="24"/>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b/>
                <w:bCs/>
                <w:sz w:val="24"/>
              </w:rPr>
            </w:pPr>
            <w:r>
              <w:rPr>
                <w:b/>
                <w:bCs/>
                <w:sz w:val="24"/>
              </w:rPr>
              <w:t>序号</w:t>
            </w:r>
          </w:p>
        </w:tc>
        <w:tc>
          <w:tcPr>
            <w:tcW w:w="2187" w:type="dxa"/>
            <w:vAlign w:val="center"/>
          </w:tcPr>
          <w:p>
            <w:pPr>
              <w:widowControl/>
              <w:spacing w:line="300" w:lineRule="exact"/>
              <w:ind w:firstLine="0" w:firstLineChars="0"/>
              <w:jc w:val="center"/>
              <w:textAlignment w:val="center"/>
              <w:rPr>
                <w:b/>
                <w:bCs/>
                <w:sz w:val="24"/>
              </w:rPr>
            </w:pPr>
            <w:r>
              <w:rPr>
                <w:b/>
                <w:bCs/>
                <w:sz w:val="24"/>
              </w:rPr>
              <w:t>物资名称</w:t>
            </w:r>
          </w:p>
        </w:tc>
        <w:tc>
          <w:tcPr>
            <w:tcW w:w="899" w:type="dxa"/>
            <w:vAlign w:val="center"/>
          </w:tcPr>
          <w:p>
            <w:pPr>
              <w:widowControl/>
              <w:spacing w:line="300" w:lineRule="exact"/>
              <w:ind w:firstLine="0" w:firstLineChars="0"/>
              <w:jc w:val="center"/>
              <w:textAlignment w:val="center"/>
              <w:rPr>
                <w:b/>
                <w:bCs/>
                <w:sz w:val="24"/>
              </w:rPr>
            </w:pPr>
            <w:r>
              <w:rPr>
                <w:b/>
                <w:bCs/>
                <w:sz w:val="24"/>
              </w:rPr>
              <w:t>数量</w:t>
            </w:r>
          </w:p>
        </w:tc>
        <w:tc>
          <w:tcPr>
            <w:tcW w:w="998" w:type="dxa"/>
            <w:vAlign w:val="center"/>
          </w:tcPr>
          <w:p>
            <w:pPr>
              <w:widowControl/>
              <w:spacing w:line="300" w:lineRule="exact"/>
              <w:ind w:firstLine="0" w:firstLineChars="0"/>
              <w:jc w:val="center"/>
              <w:textAlignment w:val="center"/>
              <w:rPr>
                <w:b/>
                <w:bCs/>
                <w:sz w:val="24"/>
              </w:rPr>
            </w:pPr>
            <w:r>
              <w:rPr>
                <w:b/>
                <w:bCs/>
                <w:sz w:val="24"/>
              </w:rPr>
              <w:t>备注</w:t>
            </w:r>
          </w:p>
        </w:tc>
        <w:tc>
          <w:tcPr>
            <w:tcW w:w="829" w:type="dxa"/>
            <w:vAlign w:val="center"/>
          </w:tcPr>
          <w:p>
            <w:pPr>
              <w:widowControl/>
              <w:spacing w:line="300" w:lineRule="exact"/>
              <w:ind w:firstLine="0" w:firstLineChars="0"/>
              <w:jc w:val="center"/>
              <w:textAlignment w:val="center"/>
              <w:rPr>
                <w:b/>
                <w:bCs/>
                <w:sz w:val="24"/>
              </w:rPr>
            </w:pPr>
            <w:r>
              <w:rPr>
                <w:b/>
                <w:bCs/>
                <w:sz w:val="24"/>
              </w:rPr>
              <w:t>序号</w:t>
            </w:r>
          </w:p>
        </w:tc>
        <w:tc>
          <w:tcPr>
            <w:tcW w:w="1523" w:type="dxa"/>
            <w:vAlign w:val="center"/>
          </w:tcPr>
          <w:p>
            <w:pPr>
              <w:widowControl/>
              <w:spacing w:line="300" w:lineRule="exact"/>
              <w:ind w:firstLine="0" w:firstLineChars="0"/>
              <w:jc w:val="center"/>
              <w:textAlignment w:val="center"/>
              <w:rPr>
                <w:b/>
                <w:bCs/>
                <w:sz w:val="24"/>
              </w:rPr>
            </w:pPr>
            <w:r>
              <w:rPr>
                <w:b/>
                <w:bCs/>
                <w:sz w:val="24"/>
              </w:rPr>
              <w:t>物资名称</w:t>
            </w:r>
          </w:p>
        </w:tc>
        <w:tc>
          <w:tcPr>
            <w:tcW w:w="927" w:type="dxa"/>
            <w:vAlign w:val="center"/>
          </w:tcPr>
          <w:p>
            <w:pPr>
              <w:widowControl/>
              <w:spacing w:line="300" w:lineRule="exact"/>
              <w:ind w:firstLine="0" w:firstLineChars="0"/>
              <w:jc w:val="center"/>
              <w:textAlignment w:val="center"/>
              <w:rPr>
                <w:b/>
                <w:bCs/>
                <w:sz w:val="24"/>
              </w:rPr>
            </w:pPr>
            <w:r>
              <w:rPr>
                <w:b/>
                <w:bCs/>
                <w:sz w:val="24"/>
              </w:rPr>
              <w:t>数量</w:t>
            </w:r>
          </w:p>
        </w:tc>
        <w:tc>
          <w:tcPr>
            <w:tcW w:w="823" w:type="dxa"/>
            <w:vAlign w:val="center"/>
          </w:tcPr>
          <w:p>
            <w:pPr>
              <w:widowControl/>
              <w:spacing w:line="300" w:lineRule="exact"/>
              <w:ind w:firstLine="0" w:firstLineChars="0"/>
              <w:jc w:val="center"/>
              <w:textAlignment w:val="center"/>
              <w:rPr>
                <w:b/>
                <w:bCs/>
                <w:sz w:val="24"/>
              </w:rPr>
            </w:pPr>
            <w:r>
              <w:rPr>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w:t>
            </w:r>
          </w:p>
        </w:tc>
        <w:tc>
          <w:tcPr>
            <w:tcW w:w="2187" w:type="dxa"/>
            <w:vAlign w:val="center"/>
          </w:tcPr>
          <w:p>
            <w:pPr>
              <w:widowControl/>
              <w:spacing w:line="300" w:lineRule="exact"/>
              <w:ind w:firstLine="0" w:firstLineChars="0"/>
              <w:jc w:val="center"/>
              <w:textAlignment w:val="center"/>
              <w:rPr>
                <w:sz w:val="24"/>
              </w:rPr>
            </w:pPr>
            <w:r>
              <w:rPr>
                <w:sz w:val="24"/>
              </w:rPr>
              <w:t>被套</w:t>
            </w:r>
          </w:p>
        </w:tc>
        <w:tc>
          <w:tcPr>
            <w:tcW w:w="899" w:type="dxa"/>
            <w:vAlign w:val="center"/>
          </w:tcPr>
          <w:p>
            <w:pPr>
              <w:widowControl/>
              <w:spacing w:line="300" w:lineRule="exact"/>
              <w:ind w:firstLine="0" w:firstLineChars="0"/>
              <w:jc w:val="center"/>
              <w:textAlignment w:val="center"/>
              <w:rPr>
                <w:sz w:val="24"/>
              </w:rPr>
            </w:pPr>
            <w:r>
              <w:rPr>
                <w:sz w:val="24"/>
              </w:rPr>
              <w:t>4</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w:t>
            </w:r>
          </w:p>
        </w:tc>
        <w:tc>
          <w:tcPr>
            <w:tcW w:w="1523" w:type="dxa"/>
            <w:vAlign w:val="center"/>
          </w:tcPr>
          <w:p>
            <w:pPr>
              <w:widowControl/>
              <w:spacing w:line="300" w:lineRule="exact"/>
              <w:ind w:firstLine="0" w:firstLineChars="0"/>
              <w:jc w:val="center"/>
              <w:textAlignment w:val="center"/>
              <w:rPr>
                <w:sz w:val="24"/>
              </w:rPr>
            </w:pPr>
            <w:r>
              <w:rPr>
                <w:sz w:val="24"/>
              </w:rPr>
              <w:t>探照灯</w:t>
            </w:r>
          </w:p>
        </w:tc>
        <w:tc>
          <w:tcPr>
            <w:tcW w:w="927" w:type="dxa"/>
            <w:vAlign w:val="center"/>
          </w:tcPr>
          <w:p>
            <w:pPr>
              <w:widowControl/>
              <w:spacing w:line="300" w:lineRule="exact"/>
              <w:ind w:firstLine="0" w:firstLineChars="0"/>
              <w:jc w:val="center"/>
              <w:textAlignment w:val="center"/>
              <w:rPr>
                <w:sz w:val="24"/>
              </w:rPr>
            </w:pPr>
            <w:r>
              <w:rPr>
                <w:sz w:val="24"/>
              </w:rPr>
              <w:t>4</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w:t>
            </w:r>
          </w:p>
        </w:tc>
        <w:tc>
          <w:tcPr>
            <w:tcW w:w="2187" w:type="dxa"/>
            <w:vAlign w:val="center"/>
          </w:tcPr>
          <w:p>
            <w:pPr>
              <w:widowControl/>
              <w:spacing w:line="300" w:lineRule="exact"/>
              <w:ind w:firstLine="0" w:firstLineChars="0"/>
              <w:jc w:val="center"/>
              <w:textAlignment w:val="center"/>
              <w:rPr>
                <w:sz w:val="24"/>
              </w:rPr>
            </w:pPr>
            <w:r>
              <w:rPr>
                <w:sz w:val="24"/>
              </w:rPr>
              <w:t>棉絮</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w:t>
            </w:r>
          </w:p>
        </w:tc>
        <w:tc>
          <w:tcPr>
            <w:tcW w:w="1523" w:type="dxa"/>
            <w:vAlign w:val="center"/>
          </w:tcPr>
          <w:p>
            <w:pPr>
              <w:widowControl/>
              <w:spacing w:line="300" w:lineRule="exact"/>
              <w:ind w:firstLine="0" w:firstLineChars="0"/>
              <w:jc w:val="center"/>
              <w:textAlignment w:val="center"/>
              <w:rPr>
                <w:sz w:val="24"/>
              </w:rPr>
            </w:pPr>
            <w:r>
              <w:rPr>
                <w:sz w:val="24"/>
              </w:rPr>
              <w:t>水泵</w:t>
            </w:r>
          </w:p>
        </w:tc>
        <w:tc>
          <w:tcPr>
            <w:tcW w:w="927" w:type="dxa"/>
            <w:vAlign w:val="center"/>
          </w:tcPr>
          <w:p>
            <w:pPr>
              <w:widowControl/>
              <w:spacing w:line="300" w:lineRule="exact"/>
              <w:ind w:firstLine="0" w:firstLineChars="0"/>
              <w:jc w:val="center"/>
              <w:textAlignment w:val="center"/>
              <w:rPr>
                <w:sz w:val="24"/>
              </w:rPr>
            </w:pPr>
            <w:r>
              <w:rPr>
                <w:sz w:val="24"/>
              </w:rPr>
              <w:t>7</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w:t>
            </w:r>
          </w:p>
        </w:tc>
        <w:tc>
          <w:tcPr>
            <w:tcW w:w="2187" w:type="dxa"/>
            <w:vAlign w:val="center"/>
          </w:tcPr>
          <w:p>
            <w:pPr>
              <w:widowControl/>
              <w:spacing w:line="300" w:lineRule="exact"/>
              <w:ind w:firstLine="0" w:firstLineChars="0"/>
              <w:jc w:val="center"/>
              <w:textAlignment w:val="center"/>
              <w:rPr>
                <w:sz w:val="24"/>
              </w:rPr>
            </w:pPr>
            <w:r>
              <w:rPr>
                <w:sz w:val="24"/>
              </w:rPr>
              <w:t>对讲机</w:t>
            </w:r>
          </w:p>
        </w:tc>
        <w:tc>
          <w:tcPr>
            <w:tcW w:w="899" w:type="dxa"/>
            <w:vAlign w:val="center"/>
          </w:tcPr>
          <w:p>
            <w:pPr>
              <w:widowControl/>
              <w:spacing w:line="300" w:lineRule="exact"/>
              <w:ind w:firstLine="0" w:firstLineChars="0"/>
              <w:jc w:val="center"/>
              <w:textAlignment w:val="center"/>
              <w:rPr>
                <w:sz w:val="24"/>
              </w:rPr>
            </w:pPr>
            <w:r>
              <w:rPr>
                <w:sz w:val="24"/>
              </w:rPr>
              <w:t>4</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w:t>
            </w:r>
          </w:p>
        </w:tc>
        <w:tc>
          <w:tcPr>
            <w:tcW w:w="1523" w:type="dxa"/>
            <w:vAlign w:val="center"/>
          </w:tcPr>
          <w:p>
            <w:pPr>
              <w:widowControl/>
              <w:spacing w:line="300" w:lineRule="exact"/>
              <w:ind w:firstLine="0" w:firstLineChars="0"/>
              <w:jc w:val="center"/>
              <w:textAlignment w:val="center"/>
              <w:rPr>
                <w:sz w:val="24"/>
              </w:rPr>
            </w:pPr>
            <w:r>
              <w:rPr>
                <w:sz w:val="24"/>
              </w:rPr>
              <w:t>油锯</w:t>
            </w:r>
          </w:p>
        </w:tc>
        <w:tc>
          <w:tcPr>
            <w:tcW w:w="927" w:type="dxa"/>
            <w:vAlign w:val="center"/>
          </w:tcPr>
          <w:p>
            <w:pPr>
              <w:widowControl/>
              <w:spacing w:line="300" w:lineRule="exact"/>
              <w:ind w:firstLine="0" w:firstLineChars="0"/>
              <w:jc w:val="center"/>
              <w:textAlignment w:val="center"/>
              <w:rPr>
                <w:sz w:val="24"/>
              </w:rPr>
            </w:pPr>
            <w:r>
              <w:rPr>
                <w:sz w:val="24"/>
              </w:rPr>
              <w:t>59</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w:t>
            </w:r>
          </w:p>
        </w:tc>
        <w:tc>
          <w:tcPr>
            <w:tcW w:w="2187" w:type="dxa"/>
            <w:vAlign w:val="center"/>
          </w:tcPr>
          <w:p>
            <w:pPr>
              <w:widowControl/>
              <w:spacing w:line="300" w:lineRule="exact"/>
              <w:ind w:firstLine="0" w:firstLineChars="0"/>
              <w:jc w:val="center"/>
              <w:textAlignment w:val="center"/>
              <w:rPr>
                <w:sz w:val="24"/>
              </w:rPr>
            </w:pPr>
            <w:r>
              <w:rPr>
                <w:sz w:val="24"/>
              </w:rPr>
              <w:t>对讲机</w:t>
            </w:r>
          </w:p>
        </w:tc>
        <w:tc>
          <w:tcPr>
            <w:tcW w:w="899" w:type="dxa"/>
            <w:vAlign w:val="center"/>
          </w:tcPr>
          <w:p>
            <w:pPr>
              <w:widowControl/>
              <w:spacing w:line="300" w:lineRule="exact"/>
              <w:ind w:firstLine="0" w:firstLineChars="0"/>
              <w:jc w:val="center"/>
              <w:textAlignment w:val="center"/>
              <w:rPr>
                <w:sz w:val="24"/>
              </w:rPr>
            </w:pPr>
            <w:r>
              <w:rPr>
                <w:sz w:val="24"/>
              </w:rPr>
              <w:t>11</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w:t>
            </w:r>
          </w:p>
        </w:tc>
        <w:tc>
          <w:tcPr>
            <w:tcW w:w="1523" w:type="dxa"/>
            <w:vAlign w:val="center"/>
          </w:tcPr>
          <w:p>
            <w:pPr>
              <w:widowControl/>
              <w:spacing w:line="300" w:lineRule="exact"/>
              <w:ind w:firstLine="0" w:firstLineChars="0"/>
              <w:jc w:val="center"/>
              <w:textAlignment w:val="center"/>
              <w:rPr>
                <w:sz w:val="24"/>
              </w:rPr>
            </w:pPr>
            <w:r>
              <w:rPr>
                <w:sz w:val="24"/>
              </w:rPr>
              <w:t>森林消防服</w:t>
            </w:r>
          </w:p>
        </w:tc>
        <w:tc>
          <w:tcPr>
            <w:tcW w:w="927" w:type="dxa"/>
            <w:vAlign w:val="center"/>
          </w:tcPr>
          <w:p>
            <w:pPr>
              <w:widowControl/>
              <w:spacing w:line="300" w:lineRule="exact"/>
              <w:ind w:firstLine="0" w:firstLineChars="0"/>
              <w:jc w:val="center"/>
              <w:textAlignment w:val="center"/>
              <w:rPr>
                <w:sz w:val="24"/>
              </w:rPr>
            </w:pPr>
            <w:r>
              <w:rPr>
                <w:sz w:val="24"/>
              </w:rPr>
              <w:t>22</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9</w:t>
            </w:r>
          </w:p>
        </w:tc>
        <w:tc>
          <w:tcPr>
            <w:tcW w:w="2187" w:type="dxa"/>
            <w:vAlign w:val="center"/>
          </w:tcPr>
          <w:p>
            <w:pPr>
              <w:widowControl/>
              <w:spacing w:line="300" w:lineRule="exact"/>
              <w:ind w:firstLine="0" w:firstLineChars="0"/>
              <w:jc w:val="center"/>
              <w:textAlignment w:val="center"/>
              <w:rPr>
                <w:sz w:val="24"/>
              </w:rPr>
            </w:pPr>
            <w:r>
              <w:rPr>
                <w:sz w:val="24"/>
              </w:rPr>
              <w:t>对讲机</w:t>
            </w:r>
          </w:p>
        </w:tc>
        <w:tc>
          <w:tcPr>
            <w:tcW w:w="899" w:type="dxa"/>
            <w:vAlign w:val="center"/>
          </w:tcPr>
          <w:p>
            <w:pPr>
              <w:widowControl/>
              <w:spacing w:line="300" w:lineRule="exact"/>
              <w:ind w:firstLine="0" w:firstLineChars="0"/>
              <w:jc w:val="center"/>
              <w:textAlignment w:val="center"/>
              <w:rPr>
                <w:sz w:val="24"/>
              </w:rPr>
            </w:pPr>
            <w:r>
              <w:rPr>
                <w:sz w:val="24"/>
              </w:rPr>
              <w:t>5</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10</w:t>
            </w:r>
          </w:p>
        </w:tc>
        <w:tc>
          <w:tcPr>
            <w:tcW w:w="1523" w:type="dxa"/>
            <w:vAlign w:val="center"/>
          </w:tcPr>
          <w:p>
            <w:pPr>
              <w:widowControl/>
              <w:spacing w:line="300" w:lineRule="exact"/>
              <w:ind w:firstLine="0" w:firstLineChars="0"/>
              <w:jc w:val="center"/>
              <w:textAlignment w:val="center"/>
              <w:rPr>
                <w:sz w:val="24"/>
              </w:rPr>
            </w:pPr>
            <w:r>
              <w:rPr>
                <w:sz w:val="24"/>
              </w:rPr>
              <w:t>森林消防裤子</w:t>
            </w:r>
          </w:p>
        </w:tc>
        <w:tc>
          <w:tcPr>
            <w:tcW w:w="927" w:type="dxa"/>
            <w:vAlign w:val="center"/>
          </w:tcPr>
          <w:p>
            <w:pPr>
              <w:widowControl/>
              <w:spacing w:line="300" w:lineRule="exact"/>
              <w:ind w:firstLine="0" w:firstLineChars="0"/>
              <w:jc w:val="center"/>
              <w:textAlignment w:val="center"/>
              <w:rPr>
                <w:sz w:val="24"/>
              </w:rPr>
            </w:pPr>
            <w:r>
              <w:rPr>
                <w:sz w:val="24"/>
              </w:rPr>
              <w:t>21</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11</w:t>
            </w:r>
          </w:p>
        </w:tc>
        <w:tc>
          <w:tcPr>
            <w:tcW w:w="2187" w:type="dxa"/>
            <w:vAlign w:val="center"/>
          </w:tcPr>
          <w:p>
            <w:pPr>
              <w:widowControl/>
              <w:spacing w:line="300" w:lineRule="exact"/>
              <w:ind w:firstLine="0" w:firstLineChars="0"/>
              <w:jc w:val="center"/>
              <w:textAlignment w:val="center"/>
              <w:rPr>
                <w:sz w:val="24"/>
              </w:rPr>
            </w:pPr>
            <w:r>
              <w:rPr>
                <w:sz w:val="24"/>
              </w:rPr>
              <w:t>号筒扬声器</w:t>
            </w:r>
          </w:p>
        </w:tc>
        <w:tc>
          <w:tcPr>
            <w:tcW w:w="899" w:type="dxa"/>
            <w:vAlign w:val="center"/>
          </w:tcPr>
          <w:p>
            <w:pPr>
              <w:widowControl/>
              <w:spacing w:line="300" w:lineRule="exact"/>
              <w:ind w:firstLine="0" w:firstLineChars="0"/>
              <w:jc w:val="center"/>
              <w:textAlignment w:val="center"/>
              <w:rPr>
                <w:sz w:val="24"/>
              </w:rPr>
            </w:pPr>
            <w:r>
              <w:rPr>
                <w:sz w:val="24"/>
              </w:rPr>
              <w:t>4</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12</w:t>
            </w:r>
          </w:p>
        </w:tc>
        <w:tc>
          <w:tcPr>
            <w:tcW w:w="1523" w:type="dxa"/>
            <w:vAlign w:val="center"/>
          </w:tcPr>
          <w:p>
            <w:pPr>
              <w:widowControl/>
              <w:spacing w:line="300" w:lineRule="exact"/>
              <w:ind w:firstLine="0" w:firstLineChars="0"/>
              <w:jc w:val="center"/>
              <w:textAlignment w:val="center"/>
              <w:rPr>
                <w:sz w:val="24"/>
              </w:rPr>
            </w:pPr>
            <w:r>
              <w:rPr>
                <w:sz w:val="24"/>
              </w:rPr>
              <w:t>砍刀</w:t>
            </w:r>
          </w:p>
        </w:tc>
        <w:tc>
          <w:tcPr>
            <w:tcW w:w="927" w:type="dxa"/>
            <w:vAlign w:val="center"/>
          </w:tcPr>
          <w:p>
            <w:pPr>
              <w:widowControl/>
              <w:spacing w:line="300" w:lineRule="exact"/>
              <w:ind w:firstLine="0" w:firstLineChars="0"/>
              <w:jc w:val="center"/>
              <w:textAlignment w:val="center"/>
              <w:rPr>
                <w:sz w:val="24"/>
              </w:rPr>
            </w:pPr>
            <w:r>
              <w:rPr>
                <w:sz w:val="24"/>
              </w:rPr>
              <w:t>2050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13</w:t>
            </w:r>
          </w:p>
        </w:tc>
        <w:tc>
          <w:tcPr>
            <w:tcW w:w="2187" w:type="dxa"/>
            <w:vAlign w:val="center"/>
          </w:tcPr>
          <w:p>
            <w:pPr>
              <w:widowControl/>
              <w:spacing w:line="300" w:lineRule="exact"/>
              <w:ind w:firstLine="0" w:firstLineChars="0"/>
              <w:jc w:val="center"/>
              <w:textAlignment w:val="center"/>
              <w:rPr>
                <w:sz w:val="24"/>
              </w:rPr>
            </w:pPr>
            <w:r>
              <w:rPr>
                <w:sz w:val="24"/>
              </w:rPr>
              <w:t>小型号筒扬声器</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14</w:t>
            </w:r>
          </w:p>
        </w:tc>
        <w:tc>
          <w:tcPr>
            <w:tcW w:w="1523" w:type="dxa"/>
            <w:vAlign w:val="center"/>
          </w:tcPr>
          <w:p>
            <w:pPr>
              <w:widowControl/>
              <w:spacing w:line="300" w:lineRule="exact"/>
              <w:ind w:firstLine="0" w:firstLineChars="0"/>
              <w:jc w:val="center"/>
              <w:textAlignment w:val="center"/>
              <w:rPr>
                <w:sz w:val="24"/>
              </w:rPr>
            </w:pPr>
            <w:r>
              <w:rPr>
                <w:sz w:val="24"/>
              </w:rPr>
              <w:t>点火器</w:t>
            </w:r>
          </w:p>
        </w:tc>
        <w:tc>
          <w:tcPr>
            <w:tcW w:w="927" w:type="dxa"/>
            <w:vAlign w:val="center"/>
          </w:tcPr>
          <w:p>
            <w:pPr>
              <w:widowControl/>
              <w:spacing w:line="300" w:lineRule="exact"/>
              <w:ind w:firstLine="0" w:firstLineChars="0"/>
              <w:jc w:val="center"/>
              <w:textAlignment w:val="center"/>
              <w:rPr>
                <w:sz w:val="24"/>
              </w:rPr>
            </w:pPr>
            <w:r>
              <w:rPr>
                <w:sz w:val="24"/>
              </w:rPr>
              <w:t>5</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15</w:t>
            </w:r>
          </w:p>
        </w:tc>
        <w:tc>
          <w:tcPr>
            <w:tcW w:w="2187" w:type="dxa"/>
            <w:vAlign w:val="center"/>
          </w:tcPr>
          <w:p>
            <w:pPr>
              <w:widowControl/>
              <w:spacing w:line="300" w:lineRule="exact"/>
              <w:ind w:firstLine="0" w:firstLineChars="0"/>
              <w:jc w:val="center"/>
              <w:textAlignment w:val="center"/>
              <w:rPr>
                <w:sz w:val="24"/>
              </w:rPr>
            </w:pPr>
            <w:r>
              <w:rPr>
                <w:sz w:val="24"/>
              </w:rPr>
              <w:t>手提式喇叭</w:t>
            </w:r>
          </w:p>
        </w:tc>
        <w:tc>
          <w:tcPr>
            <w:tcW w:w="899" w:type="dxa"/>
            <w:vAlign w:val="center"/>
          </w:tcPr>
          <w:p>
            <w:pPr>
              <w:widowControl/>
              <w:spacing w:line="300" w:lineRule="exact"/>
              <w:ind w:firstLine="0" w:firstLineChars="0"/>
              <w:jc w:val="center"/>
              <w:textAlignment w:val="center"/>
              <w:rPr>
                <w:sz w:val="24"/>
              </w:rPr>
            </w:pPr>
            <w:r>
              <w:rPr>
                <w:sz w:val="24"/>
              </w:rPr>
              <w:t>8</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16</w:t>
            </w:r>
          </w:p>
        </w:tc>
        <w:tc>
          <w:tcPr>
            <w:tcW w:w="1523" w:type="dxa"/>
            <w:vAlign w:val="center"/>
          </w:tcPr>
          <w:p>
            <w:pPr>
              <w:widowControl/>
              <w:spacing w:line="300" w:lineRule="exact"/>
              <w:ind w:firstLine="0" w:firstLineChars="0"/>
              <w:jc w:val="center"/>
              <w:textAlignment w:val="center"/>
              <w:rPr>
                <w:sz w:val="24"/>
              </w:rPr>
            </w:pPr>
            <w:r>
              <w:rPr>
                <w:sz w:val="24"/>
              </w:rPr>
              <w:t>头盔</w:t>
            </w:r>
          </w:p>
        </w:tc>
        <w:tc>
          <w:tcPr>
            <w:tcW w:w="927" w:type="dxa"/>
            <w:vAlign w:val="center"/>
          </w:tcPr>
          <w:p>
            <w:pPr>
              <w:widowControl/>
              <w:spacing w:line="300" w:lineRule="exact"/>
              <w:ind w:firstLine="0" w:firstLineChars="0"/>
              <w:jc w:val="center"/>
              <w:textAlignment w:val="center"/>
              <w:rPr>
                <w:sz w:val="24"/>
              </w:rPr>
            </w:pPr>
            <w:r>
              <w:rPr>
                <w:sz w:val="24"/>
              </w:rPr>
              <w:t>132</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17</w:t>
            </w:r>
          </w:p>
        </w:tc>
        <w:tc>
          <w:tcPr>
            <w:tcW w:w="2187" w:type="dxa"/>
            <w:vAlign w:val="center"/>
          </w:tcPr>
          <w:p>
            <w:pPr>
              <w:widowControl/>
              <w:spacing w:line="300" w:lineRule="exact"/>
              <w:ind w:firstLine="0" w:firstLineChars="0"/>
              <w:jc w:val="center"/>
              <w:textAlignment w:val="center"/>
              <w:rPr>
                <w:sz w:val="24"/>
              </w:rPr>
            </w:pPr>
            <w:r>
              <w:rPr>
                <w:sz w:val="24"/>
              </w:rPr>
              <w:t>移动视频系统</w:t>
            </w:r>
          </w:p>
        </w:tc>
        <w:tc>
          <w:tcPr>
            <w:tcW w:w="899" w:type="dxa"/>
            <w:vAlign w:val="center"/>
          </w:tcPr>
          <w:p>
            <w:pPr>
              <w:widowControl/>
              <w:spacing w:line="300" w:lineRule="exact"/>
              <w:ind w:firstLine="0" w:firstLineChars="0"/>
              <w:jc w:val="center"/>
              <w:textAlignment w:val="center"/>
              <w:rPr>
                <w:sz w:val="24"/>
              </w:rPr>
            </w:pPr>
            <w:r>
              <w:rPr>
                <w:sz w:val="24"/>
              </w:rPr>
              <w:t>1（含照相机1个）</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18</w:t>
            </w:r>
          </w:p>
        </w:tc>
        <w:tc>
          <w:tcPr>
            <w:tcW w:w="1523" w:type="dxa"/>
            <w:vAlign w:val="center"/>
          </w:tcPr>
          <w:p>
            <w:pPr>
              <w:widowControl/>
              <w:spacing w:line="300" w:lineRule="exact"/>
              <w:ind w:firstLine="0" w:firstLineChars="0"/>
              <w:jc w:val="center"/>
              <w:textAlignment w:val="center"/>
              <w:rPr>
                <w:sz w:val="24"/>
              </w:rPr>
            </w:pPr>
            <w:r>
              <w:rPr>
                <w:sz w:val="24"/>
              </w:rPr>
              <w:t>扑火服</w:t>
            </w:r>
          </w:p>
        </w:tc>
        <w:tc>
          <w:tcPr>
            <w:tcW w:w="927" w:type="dxa"/>
            <w:vAlign w:val="center"/>
          </w:tcPr>
          <w:p>
            <w:pPr>
              <w:widowControl/>
              <w:spacing w:line="300" w:lineRule="exact"/>
              <w:ind w:firstLine="0" w:firstLineChars="0"/>
              <w:jc w:val="center"/>
              <w:textAlignment w:val="center"/>
              <w:rPr>
                <w:sz w:val="24"/>
              </w:rPr>
            </w:pPr>
            <w:r>
              <w:rPr>
                <w:sz w:val="24"/>
              </w:rPr>
              <w:t>120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19</w:t>
            </w:r>
          </w:p>
        </w:tc>
        <w:tc>
          <w:tcPr>
            <w:tcW w:w="2187" w:type="dxa"/>
            <w:vAlign w:val="center"/>
          </w:tcPr>
          <w:p>
            <w:pPr>
              <w:widowControl/>
              <w:spacing w:line="300" w:lineRule="exact"/>
              <w:ind w:firstLine="0" w:firstLineChars="0"/>
              <w:jc w:val="center"/>
              <w:textAlignment w:val="center"/>
              <w:rPr>
                <w:sz w:val="24"/>
              </w:rPr>
            </w:pPr>
            <w:r>
              <w:rPr>
                <w:sz w:val="24"/>
              </w:rPr>
              <w:t>播放器</w:t>
            </w:r>
          </w:p>
        </w:tc>
        <w:tc>
          <w:tcPr>
            <w:tcW w:w="899" w:type="dxa"/>
            <w:vAlign w:val="center"/>
          </w:tcPr>
          <w:p>
            <w:pPr>
              <w:widowControl/>
              <w:spacing w:line="300" w:lineRule="exact"/>
              <w:ind w:firstLine="0" w:firstLineChars="0"/>
              <w:jc w:val="center"/>
              <w:textAlignment w:val="center"/>
              <w:rPr>
                <w:sz w:val="24"/>
              </w:rPr>
            </w:pPr>
            <w:r>
              <w:rPr>
                <w:sz w:val="24"/>
              </w:rPr>
              <w:t>5</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20</w:t>
            </w:r>
          </w:p>
        </w:tc>
        <w:tc>
          <w:tcPr>
            <w:tcW w:w="1523" w:type="dxa"/>
            <w:vAlign w:val="center"/>
          </w:tcPr>
          <w:p>
            <w:pPr>
              <w:widowControl/>
              <w:spacing w:line="300" w:lineRule="exact"/>
              <w:ind w:firstLine="0" w:firstLineChars="0"/>
              <w:jc w:val="center"/>
              <w:textAlignment w:val="center"/>
              <w:rPr>
                <w:sz w:val="24"/>
              </w:rPr>
            </w:pPr>
            <w:r>
              <w:rPr>
                <w:sz w:val="24"/>
              </w:rPr>
              <w:t>扑火手套</w:t>
            </w:r>
          </w:p>
        </w:tc>
        <w:tc>
          <w:tcPr>
            <w:tcW w:w="927" w:type="dxa"/>
            <w:vAlign w:val="center"/>
          </w:tcPr>
          <w:p>
            <w:pPr>
              <w:widowControl/>
              <w:spacing w:line="300" w:lineRule="exact"/>
              <w:ind w:firstLine="0" w:firstLineChars="0"/>
              <w:jc w:val="center"/>
              <w:textAlignment w:val="center"/>
              <w:rPr>
                <w:sz w:val="24"/>
              </w:rPr>
            </w:pPr>
            <w:r>
              <w:rPr>
                <w:sz w:val="24"/>
              </w:rPr>
              <w:t>100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21</w:t>
            </w:r>
          </w:p>
        </w:tc>
        <w:tc>
          <w:tcPr>
            <w:tcW w:w="2187" w:type="dxa"/>
            <w:vAlign w:val="center"/>
          </w:tcPr>
          <w:p>
            <w:pPr>
              <w:widowControl/>
              <w:spacing w:line="300" w:lineRule="exact"/>
              <w:ind w:firstLine="0" w:firstLineChars="0"/>
              <w:jc w:val="center"/>
              <w:textAlignment w:val="center"/>
              <w:rPr>
                <w:sz w:val="24"/>
              </w:rPr>
            </w:pPr>
            <w:r>
              <w:rPr>
                <w:sz w:val="24"/>
              </w:rPr>
              <w:t>手持式车载台</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22</w:t>
            </w:r>
          </w:p>
        </w:tc>
        <w:tc>
          <w:tcPr>
            <w:tcW w:w="1523" w:type="dxa"/>
            <w:vAlign w:val="center"/>
          </w:tcPr>
          <w:p>
            <w:pPr>
              <w:widowControl/>
              <w:spacing w:line="300" w:lineRule="exact"/>
              <w:ind w:firstLine="0" w:firstLineChars="0"/>
              <w:jc w:val="center"/>
              <w:textAlignment w:val="center"/>
              <w:rPr>
                <w:sz w:val="24"/>
              </w:rPr>
            </w:pPr>
            <w:r>
              <w:rPr>
                <w:sz w:val="24"/>
              </w:rPr>
              <w:t>攀登绳</w:t>
            </w:r>
          </w:p>
        </w:tc>
        <w:tc>
          <w:tcPr>
            <w:tcW w:w="927" w:type="dxa"/>
            <w:vAlign w:val="center"/>
          </w:tcPr>
          <w:p>
            <w:pPr>
              <w:widowControl/>
              <w:spacing w:line="300" w:lineRule="exact"/>
              <w:ind w:firstLine="0" w:firstLineChars="0"/>
              <w:jc w:val="center"/>
              <w:textAlignment w:val="center"/>
              <w:rPr>
                <w:sz w:val="24"/>
              </w:rPr>
            </w:pPr>
            <w:r>
              <w:rPr>
                <w:sz w:val="24"/>
              </w:rPr>
              <w:t>26</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23</w:t>
            </w:r>
          </w:p>
        </w:tc>
        <w:tc>
          <w:tcPr>
            <w:tcW w:w="2187" w:type="dxa"/>
            <w:vAlign w:val="center"/>
          </w:tcPr>
          <w:p>
            <w:pPr>
              <w:widowControl/>
              <w:spacing w:line="300" w:lineRule="exact"/>
              <w:ind w:firstLine="0" w:firstLineChars="0"/>
              <w:jc w:val="center"/>
              <w:textAlignment w:val="center"/>
              <w:rPr>
                <w:sz w:val="24"/>
              </w:rPr>
            </w:pPr>
            <w:r>
              <w:rPr>
                <w:sz w:val="24"/>
              </w:rPr>
              <w:t>风力灭火机</w:t>
            </w:r>
          </w:p>
        </w:tc>
        <w:tc>
          <w:tcPr>
            <w:tcW w:w="899" w:type="dxa"/>
            <w:vAlign w:val="center"/>
          </w:tcPr>
          <w:p>
            <w:pPr>
              <w:widowControl/>
              <w:spacing w:line="300" w:lineRule="exact"/>
              <w:ind w:firstLine="0" w:firstLineChars="0"/>
              <w:jc w:val="center"/>
              <w:textAlignment w:val="center"/>
              <w:rPr>
                <w:sz w:val="24"/>
              </w:rPr>
            </w:pPr>
            <w:r>
              <w:rPr>
                <w:sz w:val="24"/>
              </w:rPr>
              <w:t>18</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24</w:t>
            </w:r>
          </w:p>
        </w:tc>
        <w:tc>
          <w:tcPr>
            <w:tcW w:w="1523" w:type="dxa"/>
            <w:vAlign w:val="center"/>
          </w:tcPr>
          <w:p>
            <w:pPr>
              <w:widowControl/>
              <w:spacing w:line="300" w:lineRule="exact"/>
              <w:ind w:firstLine="0" w:firstLineChars="0"/>
              <w:jc w:val="center"/>
              <w:textAlignment w:val="center"/>
              <w:rPr>
                <w:sz w:val="24"/>
              </w:rPr>
            </w:pPr>
            <w:r>
              <w:rPr>
                <w:sz w:val="24"/>
              </w:rPr>
              <w:t>组合工具</w:t>
            </w:r>
          </w:p>
        </w:tc>
        <w:tc>
          <w:tcPr>
            <w:tcW w:w="927" w:type="dxa"/>
            <w:vAlign w:val="center"/>
          </w:tcPr>
          <w:p>
            <w:pPr>
              <w:widowControl/>
              <w:spacing w:line="300" w:lineRule="exact"/>
              <w:ind w:firstLine="0" w:firstLineChars="0"/>
              <w:jc w:val="center"/>
              <w:textAlignment w:val="center"/>
              <w:rPr>
                <w:sz w:val="24"/>
              </w:rPr>
            </w:pPr>
            <w:r>
              <w:rPr>
                <w:sz w:val="24"/>
              </w:rPr>
              <w:t>19</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25</w:t>
            </w:r>
          </w:p>
        </w:tc>
        <w:tc>
          <w:tcPr>
            <w:tcW w:w="2187" w:type="dxa"/>
            <w:vAlign w:val="center"/>
          </w:tcPr>
          <w:p>
            <w:pPr>
              <w:widowControl/>
              <w:spacing w:line="300" w:lineRule="exact"/>
              <w:ind w:firstLine="0" w:firstLineChars="0"/>
              <w:jc w:val="center"/>
              <w:textAlignment w:val="center"/>
              <w:rPr>
                <w:sz w:val="24"/>
              </w:rPr>
            </w:pPr>
            <w:r>
              <w:rPr>
                <w:sz w:val="24"/>
              </w:rPr>
              <w:t>移动水池</w:t>
            </w:r>
          </w:p>
        </w:tc>
        <w:tc>
          <w:tcPr>
            <w:tcW w:w="899" w:type="dxa"/>
            <w:vAlign w:val="center"/>
          </w:tcPr>
          <w:p>
            <w:pPr>
              <w:widowControl/>
              <w:spacing w:line="300" w:lineRule="exact"/>
              <w:ind w:firstLine="0" w:firstLineChars="0"/>
              <w:jc w:val="center"/>
              <w:textAlignment w:val="center"/>
              <w:rPr>
                <w:sz w:val="24"/>
              </w:rPr>
            </w:pPr>
            <w:r>
              <w:rPr>
                <w:sz w:val="24"/>
              </w:rPr>
              <w:t>4</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26</w:t>
            </w:r>
          </w:p>
        </w:tc>
        <w:tc>
          <w:tcPr>
            <w:tcW w:w="1523" w:type="dxa"/>
            <w:vAlign w:val="center"/>
          </w:tcPr>
          <w:p>
            <w:pPr>
              <w:widowControl/>
              <w:spacing w:line="300" w:lineRule="exact"/>
              <w:ind w:firstLine="0" w:firstLineChars="0"/>
              <w:jc w:val="center"/>
              <w:textAlignment w:val="center"/>
              <w:rPr>
                <w:sz w:val="24"/>
              </w:rPr>
            </w:pPr>
            <w:r>
              <w:rPr>
                <w:sz w:val="24"/>
              </w:rPr>
              <w:t>灭火水枪</w:t>
            </w:r>
          </w:p>
        </w:tc>
        <w:tc>
          <w:tcPr>
            <w:tcW w:w="927" w:type="dxa"/>
            <w:vAlign w:val="center"/>
          </w:tcPr>
          <w:p>
            <w:pPr>
              <w:widowControl/>
              <w:spacing w:line="300" w:lineRule="exact"/>
              <w:ind w:firstLine="0" w:firstLineChars="0"/>
              <w:jc w:val="center"/>
              <w:textAlignment w:val="center"/>
              <w:rPr>
                <w:sz w:val="24"/>
              </w:rPr>
            </w:pPr>
            <w:r>
              <w:rPr>
                <w:sz w:val="24"/>
              </w:rPr>
              <w:t>180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27</w:t>
            </w:r>
          </w:p>
        </w:tc>
        <w:tc>
          <w:tcPr>
            <w:tcW w:w="2187" w:type="dxa"/>
            <w:vAlign w:val="center"/>
          </w:tcPr>
          <w:p>
            <w:pPr>
              <w:widowControl/>
              <w:spacing w:line="300" w:lineRule="exact"/>
              <w:ind w:firstLine="0" w:firstLineChars="0"/>
              <w:jc w:val="center"/>
              <w:textAlignment w:val="center"/>
              <w:rPr>
                <w:sz w:val="24"/>
              </w:rPr>
            </w:pPr>
            <w:r>
              <w:rPr>
                <w:sz w:val="24"/>
              </w:rPr>
              <w:t>水带</w:t>
            </w:r>
          </w:p>
        </w:tc>
        <w:tc>
          <w:tcPr>
            <w:tcW w:w="899" w:type="dxa"/>
            <w:vAlign w:val="center"/>
          </w:tcPr>
          <w:p>
            <w:pPr>
              <w:widowControl/>
              <w:spacing w:line="300" w:lineRule="exact"/>
              <w:ind w:firstLine="0" w:firstLineChars="0"/>
              <w:jc w:val="center"/>
              <w:textAlignment w:val="center"/>
              <w:rPr>
                <w:sz w:val="24"/>
              </w:rPr>
            </w:pPr>
            <w:r>
              <w:rPr>
                <w:sz w:val="24"/>
              </w:rPr>
              <w:t>89</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28</w:t>
            </w:r>
          </w:p>
        </w:tc>
        <w:tc>
          <w:tcPr>
            <w:tcW w:w="1523" w:type="dxa"/>
            <w:vAlign w:val="center"/>
          </w:tcPr>
          <w:p>
            <w:pPr>
              <w:widowControl/>
              <w:spacing w:line="300" w:lineRule="exact"/>
              <w:ind w:firstLine="0" w:firstLineChars="0"/>
              <w:jc w:val="center"/>
              <w:textAlignment w:val="center"/>
              <w:rPr>
                <w:sz w:val="24"/>
              </w:rPr>
            </w:pPr>
            <w:r>
              <w:rPr>
                <w:sz w:val="24"/>
              </w:rPr>
              <w:t>医疗箱</w:t>
            </w:r>
          </w:p>
        </w:tc>
        <w:tc>
          <w:tcPr>
            <w:tcW w:w="927" w:type="dxa"/>
            <w:vAlign w:val="center"/>
          </w:tcPr>
          <w:p>
            <w:pPr>
              <w:widowControl/>
              <w:spacing w:line="300" w:lineRule="exact"/>
              <w:ind w:firstLine="0" w:firstLineChars="0"/>
              <w:jc w:val="center"/>
              <w:textAlignment w:val="center"/>
              <w:rPr>
                <w:sz w:val="24"/>
              </w:rPr>
            </w:pPr>
            <w:r>
              <w:rPr>
                <w:sz w:val="24"/>
              </w:rPr>
              <w:t>2</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29</w:t>
            </w:r>
          </w:p>
        </w:tc>
        <w:tc>
          <w:tcPr>
            <w:tcW w:w="2187" w:type="dxa"/>
            <w:vAlign w:val="center"/>
          </w:tcPr>
          <w:p>
            <w:pPr>
              <w:widowControl/>
              <w:spacing w:line="300" w:lineRule="exact"/>
              <w:ind w:firstLine="0" w:firstLineChars="0"/>
              <w:jc w:val="center"/>
              <w:textAlignment w:val="center"/>
              <w:rPr>
                <w:sz w:val="24"/>
              </w:rPr>
            </w:pPr>
            <w:r>
              <w:rPr>
                <w:sz w:val="24"/>
              </w:rPr>
              <w:t>提携式台灯</w:t>
            </w:r>
          </w:p>
        </w:tc>
        <w:tc>
          <w:tcPr>
            <w:tcW w:w="899" w:type="dxa"/>
            <w:vAlign w:val="center"/>
          </w:tcPr>
          <w:p>
            <w:pPr>
              <w:widowControl/>
              <w:spacing w:line="300" w:lineRule="exact"/>
              <w:ind w:firstLine="0" w:firstLineChars="0"/>
              <w:jc w:val="center"/>
              <w:textAlignment w:val="center"/>
              <w:rPr>
                <w:sz w:val="24"/>
              </w:rPr>
            </w:pPr>
            <w:r>
              <w:rPr>
                <w:sz w:val="24"/>
              </w:rPr>
              <w:t>3</w:t>
            </w:r>
            <w:r>
              <w:rPr>
                <w:rFonts w:hint="eastAsia"/>
                <w:sz w:val="24"/>
              </w:rPr>
              <w:t>（</w:t>
            </w:r>
            <w:r>
              <w:rPr>
                <w:sz w:val="24"/>
              </w:rPr>
              <w:t>已坏1个</w:t>
            </w:r>
            <w:r>
              <w:rPr>
                <w:rFonts w:hint="eastAsia"/>
                <w:sz w:val="24"/>
              </w:rPr>
              <w:t>）</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30</w:t>
            </w:r>
          </w:p>
        </w:tc>
        <w:tc>
          <w:tcPr>
            <w:tcW w:w="1523" w:type="dxa"/>
            <w:vAlign w:val="center"/>
          </w:tcPr>
          <w:p>
            <w:pPr>
              <w:widowControl/>
              <w:spacing w:line="300" w:lineRule="exact"/>
              <w:ind w:firstLine="0" w:firstLineChars="0"/>
              <w:jc w:val="center"/>
              <w:textAlignment w:val="center"/>
              <w:rPr>
                <w:sz w:val="24"/>
              </w:rPr>
            </w:pPr>
            <w:r>
              <w:rPr>
                <w:sz w:val="24"/>
              </w:rPr>
              <w:t>割灌机</w:t>
            </w:r>
          </w:p>
        </w:tc>
        <w:tc>
          <w:tcPr>
            <w:tcW w:w="927" w:type="dxa"/>
            <w:vAlign w:val="center"/>
          </w:tcPr>
          <w:p>
            <w:pPr>
              <w:widowControl/>
              <w:spacing w:line="300" w:lineRule="exact"/>
              <w:ind w:firstLine="0" w:firstLineChars="0"/>
              <w:jc w:val="center"/>
              <w:textAlignment w:val="center"/>
              <w:rPr>
                <w:sz w:val="24"/>
              </w:rPr>
            </w:pPr>
            <w:r>
              <w:rPr>
                <w:sz w:val="24"/>
              </w:rPr>
              <w:t>4</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31</w:t>
            </w:r>
          </w:p>
        </w:tc>
        <w:tc>
          <w:tcPr>
            <w:tcW w:w="2187" w:type="dxa"/>
            <w:vAlign w:val="center"/>
          </w:tcPr>
          <w:p>
            <w:pPr>
              <w:widowControl/>
              <w:spacing w:line="300" w:lineRule="exact"/>
              <w:ind w:firstLine="0" w:firstLineChars="0"/>
              <w:jc w:val="center"/>
              <w:textAlignment w:val="center"/>
              <w:rPr>
                <w:sz w:val="24"/>
              </w:rPr>
            </w:pPr>
            <w:r>
              <w:rPr>
                <w:sz w:val="24"/>
              </w:rPr>
              <w:t>强光手电</w:t>
            </w:r>
          </w:p>
        </w:tc>
        <w:tc>
          <w:tcPr>
            <w:tcW w:w="899" w:type="dxa"/>
            <w:vAlign w:val="center"/>
          </w:tcPr>
          <w:p>
            <w:pPr>
              <w:widowControl/>
              <w:spacing w:line="300" w:lineRule="exact"/>
              <w:ind w:firstLine="0" w:firstLineChars="0"/>
              <w:jc w:val="center"/>
              <w:textAlignment w:val="center"/>
              <w:rPr>
                <w:sz w:val="24"/>
              </w:rPr>
            </w:pPr>
            <w:r>
              <w:rPr>
                <w:sz w:val="24"/>
              </w:rPr>
              <w:t>17</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32</w:t>
            </w:r>
          </w:p>
        </w:tc>
        <w:tc>
          <w:tcPr>
            <w:tcW w:w="1523" w:type="dxa"/>
            <w:vAlign w:val="center"/>
          </w:tcPr>
          <w:p>
            <w:pPr>
              <w:widowControl/>
              <w:spacing w:line="300" w:lineRule="exact"/>
              <w:ind w:firstLine="0" w:firstLineChars="0"/>
              <w:jc w:val="center"/>
              <w:textAlignment w:val="center"/>
              <w:rPr>
                <w:sz w:val="24"/>
              </w:rPr>
            </w:pPr>
            <w:r>
              <w:rPr>
                <w:sz w:val="24"/>
              </w:rPr>
              <w:t>防毒口罩</w:t>
            </w:r>
          </w:p>
        </w:tc>
        <w:tc>
          <w:tcPr>
            <w:tcW w:w="927" w:type="dxa"/>
            <w:vAlign w:val="center"/>
          </w:tcPr>
          <w:p>
            <w:pPr>
              <w:widowControl/>
              <w:spacing w:line="300" w:lineRule="exact"/>
              <w:ind w:firstLine="0" w:firstLineChars="0"/>
              <w:jc w:val="center"/>
              <w:textAlignment w:val="center"/>
              <w:rPr>
                <w:sz w:val="24"/>
              </w:rPr>
            </w:pPr>
            <w:r>
              <w:rPr>
                <w:sz w:val="24"/>
              </w:rPr>
              <w:t>100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33</w:t>
            </w:r>
          </w:p>
        </w:tc>
        <w:tc>
          <w:tcPr>
            <w:tcW w:w="2187" w:type="dxa"/>
            <w:vAlign w:val="center"/>
          </w:tcPr>
          <w:p>
            <w:pPr>
              <w:widowControl/>
              <w:spacing w:line="300" w:lineRule="exact"/>
              <w:ind w:firstLine="0" w:firstLineChars="0"/>
              <w:jc w:val="center"/>
              <w:textAlignment w:val="center"/>
              <w:rPr>
                <w:sz w:val="24"/>
              </w:rPr>
            </w:pPr>
            <w:r>
              <w:rPr>
                <w:sz w:val="24"/>
              </w:rPr>
              <w:t>森林消防头盔</w:t>
            </w:r>
          </w:p>
        </w:tc>
        <w:tc>
          <w:tcPr>
            <w:tcW w:w="899" w:type="dxa"/>
            <w:vAlign w:val="center"/>
          </w:tcPr>
          <w:p>
            <w:pPr>
              <w:widowControl/>
              <w:spacing w:line="300" w:lineRule="exact"/>
              <w:ind w:firstLine="0" w:firstLineChars="0"/>
              <w:jc w:val="center"/>
              <w:textAlignment w:val="center"/>
              <w:rPr>
                <w:sz w:val="24"/>
              </w:rPr>
            </w:pPr>
            <w:r>
              <w:rPr>
                <w:sz w:val="24"/>
              </w:rPr>
              <w:t>22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34</w:t>
            </w:r>
          </w:p>
        </w:tc>
        <w:tc>
          <w:tcPr>
            <w:tcW w:w="1523" w:type="dxa"/>
            <w:vAlign w:val="center"/>
          </w:tcPr>
          <w:p>
            <w:pPr>
              <w:widowControl/>
              <w:spacing w:line="300" w:lineRule="exact"/>
              <w:ind w:firstLine="0" w:firstLineChars="0"/>
              <w:jc w:val="center"/>
              <w:textAlignment w:val="center"/>
              <w:rPr>
                <w:sz w:val="24"/>
              </w:rPr>
            </w:pPr>
            <w:r>
              <w:rPr>
                <w:sz w:val="24"/>
              </w:rPr>
              <w:t>防烟眼镜</w:t>
            </w:r>
          </w:p>
        </w:tc>
        <w:tc>
          <w:tcPr>
            <w:tcW w:w="927" w:type="dxa"/>
            <w:vAlign w:val="center"/>
          </w:tcPr>
          <w:p>
            <w:pPr>
              <w:widowControl/>
              <w:spacing w:line="300" w:lineRule="exact"/>
              <w:ind w:firstLine="0" w:firstLineChars="0"/>
              <w:jc w:val="center"/>
              <w:textAlignment w:val="center"/>
              <w:rPr>
                <w:sz w:val="24"/>
              </w:rPr>
            </w:pPr>
            <w:r>
              <w:rPr>
                <w:sz w:val="24"/>
              </w:rPr>
              <w:t>100</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35</w:t>
            </w:r>
          </w:p>
        </w:tc>
        <w:tc>
          <w:tcPr>
            <w:tcW w:w="2187" w:type="dxa"/>
            <w:vAlign w:val="center"/>
          </w:tcPr>
          <w:p>
            <w:pPr>
              <w:widowControl/>
              <w:spacing w:line="300" w:lineRule="exact"/>
              <w:ind w:firstLine="0" w:firstLineChars="0"/>
              <w:jc w:val="center"/>
              <w:textAlignment w:val="center"/>
              <w:rPr>
                <w:sz w:val="24"/>
              </w:rPr>
            </w:pPr>
            <w:r>
              <w:rPr>
                <w:sz w:val="24"/>
              </w:rPr>
              <w:t>望远镜</w:t>
            </w:r>
          </w:p>
        </w:tc>
        <w:tc>
          <w:tcPr>
            <w:tcW w:w="899" w:type="dxa"/>
            <w:vAlign w:val="center"/>
          </w:tcPr>
          <w:p>
            <w:pPr>
              <w:widowControl/>
              <w:spacing w:line="300" w:lineRule="exact"/>
              <w:ind w:firstLine="0" w:firstLineChars="0"/>
              <w:jc w:val="center"/>
              <w:textAlignment w:val="center"/>
              <w:rPr>
                <w:sz w:val="24"/>
              </w:rPr>
            </w:pPr>
            <w:r>
              <w:rPr>
                <w:sz w:val="24"/>
              </w:rPr>
              <w:t>7</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36</w:t>
            </w:r>
          </w:p>
        </w:tc>
        <w:tc>
          <w:tcPr>
            <w:tcW w:w="1523" w:type="dxa"/>
            <w:vAlign w:val="center"/>
          </w:tcPr>
          <w:p>
            <w:pPr>
              <w:widowControl/>
              <w:spacing w:line="300" w:lineRule="exact"/>
              <w:ind w:firstLine="0" w:firstLineChars="0"/>
              <w:jc w:val="center"/>
              <w:textAlignment w:val="center"/>
              <w:rPr>
                <w:sz w:val="24"/>
              </w:rPr>
            </w:pPr>
            <w:r>
              <w:rPr>
                <w:sz w:val="24"/>
              </w:rPr>
              <w:t>铁铲</w:t>
            </w:r>
          </w:p>
        </w:tc>
        <w:tc>
          <w:tcPr>
            <w:tcW w:w="927" w:type="dxa"/>
            <w:vAlign w:val="center"/>
          </w:tcPr>
          <w:p>
            <w:pPr>
              <w:widowControl/>
              <w:spacing w:line="300" w:lineRule="exact"/>
              <w:ind w:firstLine="0" w:firstLineChars="0"/>
              <w:jc w:val="center"/>
              <w:textAlignment w:val="center"/>
              <w:rPr>
                <w:sz w:val="24"/>
              </w:rPr>
            </w:pPr>
            <w:r>
              <w:rPr>
                <w:sz w:val="24"/>
              </w:rPr>
              <w:t>45</w:t>
            </w:r>
          </w:p>
        </w:tc>
        <w:tc>
          <w:tcPr>
            <w:tcW w:w="823" w:type="dxa"/>
            <w:vAlign w:val="center"/>
          </w:tcPr>
          <w:p>
            <w:pPr>
              <w:widowControl/>
              <w:spacing w:line="300" w:lineRule="exact"/>
              <w:ind w:firstLine="0" w:firstLineChars="0"/>
              <w:jc w:val="center"/>
              <w:textAlignment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color w:val="000000"/>
                <w:sz w:val="24"/>
              </w:rPr>
            </w:pPr>
            <w:r>
              <w:rPr>
                <w:b/>
                <w:bCs/>
                <w:sz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b/>
                <w:bCs/>
                <w:sz w:val="24"/>
              </w:rPr>
            </w:pPr>
            <w:r>
              <w:rPr>
                <w:b/>
                <w:bCs/>
                <w:sz w:val="24"/>
              </w:rPr>
              <w:t>序号</w:t>
            </w:r>
          </w:p>
        </w:tc>
        <w:tc>
          <w:tcPr>
            <w:tcW w:w="2187" w:type="dxa"/>
            <w:vAlign w:val="center"/>
          </w:tcPr>
          <w:p>
            <w:pPr>
              <w:widowControl/>
              <w:spacing w:line="300" w:lineRule="exact"/>
              <w:ind w:firstLine="0" w:firstLineChars="0"/>
              <w:jc w:val="center"/>
              <w:textAlignment w:val="center"/>
              <w:rPr>
                <w:b/>
                <w:bCs/>
                <w:sz w:val="24"/>
              </w:rPr>
            </w:pPr>
            <w:r>
              <w:rPr>
                <w:b/>
                <w:bCs/>
                <w:sz w:val="24"/>
              </w:rPr>
              <w:t>物资名称</w:t>
            </w:r>
          </w:p>
        </w:tc>
        <w:tc>
          <w:tcPr>
            <w:tcW w:w="899" w:type="dxa"/>
            <w:vAlign w:val="center"/>
          </w:tcPr>
          <w:p>
            <w:pPr>
              <w:widowControl/>
              <w:spacing w:line="300" w:lineRule="exact"/>
              <w:ind w:firstLine="0" w:firstLineChars="0"/>
              <w:jc w:val="center"/>
              <w:textAlignment w:val="center"/>
              <w:rPr>
                <w:b/>
                <w:bCs/>
                <w:sz w:val="24"/>
              </w:rPr>
            </w:pPr>
            <w:r>
              <w:rPr>
                <w:b/>
                <w:bCs/>
                <w:sz w:val="24"/>
              </w:rPr>
              <w:t>数量</w:t>
            </w:r>
          </w:p>
        </w:tc>
        <w:tc>
          <w:tcPr>
            <w:tcW w:w="998" w:type="dxa"/>
            <w:vAlign w:val="center"/>
          </w:tcPr>
          <w:p>
            <w:pPr>
              <w:widowControl/>
              <w:spacing w:line="300" w:lineRule="exact"/>
              <w:ind w:firstLine="0" w:firstLineChars="0"/>
              <w:jc w:val="center"/>
              <w:textAlignment w:val="center"/>
              <w:rPr>
                <w:b/>
                <w:bCs/>
                <w:sz w:val="24"/>
              </w:rPr>
            </w:pPr>
            <w:r>
              <w:rPr>
                <w:b/>
                <w:bCs/>
                <w:sz w:val="24"/>
              </w:rPr>
              <w:t>备注</w:t>
            </w:r>
          </w:p>
        </w:tc>
        <w:tc>
          <w:tcPr>
            <w:tcW w:w="829" w:type="dxa"/>
            <w:vAlign w:val="center"/>
          </w:tcPr>
          <w:p>
            <w:pPr>
              <w:widowControl/>
              <w:spacing w:line="300" w:lineRule="exact"/>
              <w:ind w:firstLine="0" w:firstLineChars="0"/>
              <w:jc w:val="center"/>
              <w:textAlignment w:val="center"/>
              <w:rPr>
                <w:b/>
                <w:bCs/>
                <w:sz w:val="24"/>
              </w:rPr>
            </w:pPr>
            <w:r>
              <w:rPr>
                <w:b/>
                <w:bCs/>
                <w:sz w:val="24"/>
              </w:rPr>
              <w:t>序号</w:t>
            </w:r>
          </w:p>
        </w:tc>
        <w:tc>
          <w:tcPr>
            <w:tcW w:w="1523" w:type="dxa"/>
            <w:vAlign w:val="center"/>
          </w:tcPr>
          <w:p>
            <w:pPr>
              <w:widowControl/>
              <w:spacing w:line="300" w:lineRule="exact"/>
              <w:ind w:firstLine="0" w:firstLineChars="0"/>
              <w:jc w:val="center"/>
              <w:textAlignment w:val="center"/>
              <w:rPr>
                <w:b/>
                <w:bCs/>
                <w:sz w:val="24"/>
              </w:rPr>
            </w:pPr>
            <w:r>
              <w:rPr>
                <w:b/>
                <w:bCs/>
                <w:sz w:val="24"/>
              </w:rPr>
              <w:t>物资名称</w:t>
            </w:r>
          </w:p>
        </w:tc>
        <w:tc>
          <w:tcPr>
            <w:tcW w:w="927" w:type="dxa"/>
            <w:vAlign w:val="center"/>
          </w:tcPr>
          <w:p>
            <w:pPr>
              <w:widowControl/>
              <w:spacing w:line="300" w:lineRule="exact"/>
              <w:ind w:firstLine="0" w:firstLineChars="0"/>
              <w:jc w:val="center"/>
              <w:textAlignment w:val="center"/>
              <w:rPr>
                <w:b/>
                <w:bCs/>
                <w:sz w:val="24"/>
              </w:rPr>
            </w:pPr>
            <w:r>
              <w:rPr>
                <w:b/>
                <w:bCs/>
                <w:sz w:val="24"/>
              </w:rPr>
              <w:t>数量</w:t>
            </w:r>
          </w:p>
        </w:tc>
        <w:tc>
          <w:tcPr>
            <w:tcW w:w="823" w:type="dxa"/>
            <w:vAlign w:val="center"/>
          </w:tcPr>
          <w:p>
            <w:pPr>
              <w:widowControl/>
              <w:spacing w:line="300" w:lineRule="exact"/>
              <w:ind w:firstLine="0" w:firstLineChars="0"/>
              <w:jc w:val="center"/>
              <w:textAlignment w:val="center"/>
              <w:rPr>
                <w:b/>
                <w:bCs/>
                <w:sz w:val="24"/>
              </w:rPr>
            </w:pPr>
            <w:r>
              <w:rPr>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w:t>
            </w:r>
          </w:p>
        </w:tc>
        <w:tc>
          <w:tcPr>
            <w:tcW w:w="2187" w:type="dxa"/>
            <w:vAlign w:val="center"/>
          </w:tcPr>
          <w:p>
            <w:pPr>
              <w:widowControl/>
              <w:spacing w:line="300" w:lineRule="exact"/>
              <w:ind w:firstLine="0" w:firstLineChars="0"/>
              <w:jc w:val="center"/>
              <w:textAlignment w:val="center"/>
              <w:rPr>
                <w:sz w:val="24"/>
              </w:rPr>
            </w:pPr>
            <w:r>
              <w:rPr>
                <w:sz w:val="24"/>
              </w:rPr>
              <w:t>帐篷</w:t>
            </w:r>
          </w:p>
        </w:tc>
        <w:tc>
          <w:tcPr>
            <w:tcW w:w="899" w:type="dxa"/>
            <w:vAlign w:val="center"/>
          </w:tcPr>
          <w:p>
            <w:pPr>
              <w:widowControl/>
              <w:spacing w:line="300" w:lineRule="exact"/>
              <w:ind w:firstLine="0" w:firstLineChars="0"/>
              <w:jc w:val="center"/>
              <w:textAlignment w:val="center"/>
              <w:rPr>
                <w:sz w:val="24"/>
              </w:rPr>
            </w:pPr>
            <w:r>
              <w:rPr>
                <w:sz w:val="24"/>
              </w:rPr>
              <w:t>10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w:t>
            </w:r>
          </w:p>
        </w:tc>
        <w:tc>
          <w:tcPr>
            <w:tcW w:w="1523" w:type="dxa"/>
            <w:vAlign w:val="center"/>
          </w:tcPr>
          <w:p>
            <w:pPr>
              <w:widowControl/>
              <w:spacing w:line="300" w:lineRule="exact"/>
              <w:ind w:firstLine="0" w:firstLineChars="0"/>
              <w:jc w:val="center"/>
              <w:textAlignment w:val="center"/>
              <w:rPr>
                <w:sz w:val="24"/>
              </w:rPr>
            </w:pPr>
            <w:r>
              <w:rPr>
                <w:sz w:val="24"/>
              </w:rPr>
              <w:t>夜视望远镜</w:t>
            </w:r>
          </w:p>
        </w:tc>
        <w:tc>
          <w:tcPr>
            <w:tcW w:w="927" w:type="dxa"/>
            <w:vAlign w:val="center"/>
          </w:tcPr>
          <w:p>
            <w:pPr>
              <w:widowControl/>
              <w:spacing w:line="300" w:lineRule="exact"/>
              <w:ind w:firstLine="0" w:firstLineChars="0"/>
              <w:jc w:val="center"/>
              <w:textAlignment w:val="center"/>
              <w:rPr>
                <w:sz w:val="24"/>
              </w:rPr>
            </w:pPr>
            <w:r>
              <w:rPr>
                <w:sz w:val="24"/>
              </w:rPr>
              <w:t>2</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w:t>
            </w:r>
          </w:p>
        </w:tc>
        <w:tc>
          <w:tcPr>
            <w:tcW w:w="2187" w:type="dxa"/>
            <w:vAlign w:val="center"/>
          </w:tcPr>
          <w:p>
            <w:pPr>
              <w:widowControl/>
              <w:spacing w:line="300" w:lineRule="exact"/>
              <w:ind w:firstLine="0" w:firstLineChars="0"/>
              <w:jc w:val="center"/>
              <w:textAlignment w:val="center"/>
              <w:rPr>
                <w:sz w:val="24"/>
              </w:rPr>
            </w:pPr>
            <w:r>
              <w:rPr>
                <w:sz w:val="24"/>
              </w:rPr>
              <w:t>扩音器</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w:t>
            </w:r>
          </w:p>
        </w:tc>
        <w:tc>
          <w:tcPr>
            <w:tcW w:w="1523" w:type="dxa"/>
            <w:vAlign w:val="center"/>
          </w:tcPr>
          <w:p>
            <w:pPr>
              <w:widowControl/>
              <w:spacing w:line="300" w:lineRule="exact"/>
              <w:ind w:firstLine="0" w:firstLineChars="0"/>
              <w:jc w:val="center"/>
              <w:textAlignment w:val="center"/>
              <w:rPr>
                <w:sz w:val="24"/>
              </w:rPr>
            </w:pPr>
            <w:r>
              <w:rPr>
                <w:sz w:val="24"/>
              </w:rPr>
              <w:t>录音笔</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w:t>
            </w:r>
          </w:p>
        </w:tc>
        <w:tc>
          <w:tcPr>
            <w:tcW w:w="2187" w:type="dxa"/>
            <w:vAlign w:val="center"/>
          </w:tcPr>
          <w:p>
            <w:pPr>
              <w:widowControl/>
              <w:spacing w:line="300" w:lineRule="exact"/>
              <w:ind w:firstLine="0" w:firstLineChars="0"/>
              <w:jc w:val="center"/>
              <w:textAlignment w:val="center"/>
              <w:rPr>
                <w:sz w:val="24"/>
              </w:rPr>
            </w:pPr>
            <w:r>
              <w:rPr>
                <w:sz w:val="24"/>
              </w:rPr>
              <w:t>对讲机</w:t>
            </w:r>
          </w:p>
        </w:tc>
        <w:tc>
          <w:tcPr>
            <w:tcW w:w="899" w:type="dxa"/>
            <w:vAlign w:val="center"/>
          </w:tcPr>
          <w:p>
            <w:pPr>
              <w:widowControl/>
              <w:spacing w:line="300" w:lineRule="exact"/>
              <w:ind w:firstLine="0" w:firstLineChars="0"/>
              <w:jc w:val="center"/>
              <w:textAlignment w:val="center"/>
              <w:rPr>
                <w:sz w:val="24"/>
              </w:rPr>
            </w:pPr>
            <w:r>
              <w:rPr>
                <w:sz w:val="24"/>
              </w:rPr>
              <w:t>15</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w:t>
            </w:r>
          </w:p>
        </w:tc>
        <w:tc>
          <w:tcPr>
            <w:tcW w:w="1523" w:type="dxa"/>
            <w:vAlign w:val="center"/>
          </w:tcPr>
          <w:p>
            <w:pPr>
              <w:widowControl/>
              <w:spacing w:line="300" w:lineRule="exact"/>
              <w:ind w:firstLine="0" w:firstLineChars="0"/>
              <w:jc w:val="center"/>
              <w:textAlignment w:val="center"/>
              <w:rPr>
                <w:sz w:val="24"/>
              </w:rPr>
            </w:pPr>
            <w:r>
              <w:rPr>
                <w:sz w:val="24"/>
              </w:rPr>
              <w:t>数码照相机</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7</w:t>
            </w:r>
          </w:p>
        </w:tc>
        <w:tc>
          <w:tcPr>
            <w:tcW w:w="2187" w:type="dxa"/>
            <w:vAlign w:val="center"/>
          </w:tcPr>
          <w:p>
            <w:pPr>
              <w:widowControl/>
              <w:spacing w:line="300" w:lineRule="exact"/>
              <w:ind w:firstLine="0" w:firstLineChars="0"/>
              <w:jc w:val="center"/>
              <w:textAlignment w:val="center"/>
              <w:rPr>
                <w:sz w:val="24"/>
              </w:rPr>
            </w:pPr>
            <w:r>
              <w:rPr>
                <w:sz w:val="24"/>
              </w:rPr>
              <w:t>救生衣</w:t>
            </w:r>
          </w:p>
        </w:tc>
        <w:tc>
          <w:tcPr>
            <w:tcW w:w="899" w:type="dxa"/>
            <w:vAlign w:val="center"/>
          </w:tcPr>
          <w:p>
            <w:pPr>
              <w:widowControl/>
              <w:spacing w:line="300" w:lineRule="exact"/>
              <w:ind w:firstLine="0" w:firstLineChars="0"/>
              <w:jc w:val="center"/>
              <w:textAlignment w:val="center"/>
              <w:rPr>
                <w:sz w:val="24"/>
              </w:rPr>
            </w:pPr>
            <w:r>
              <w:rPr>
                <w:sz w:val="24"/>
              </w:rPr>
              <w:t>10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8</w:t>
            </w:r>
          </w:p>
        </w:tc>
        <w:tc>
          <w:tcPr>
            <w:tcW w:w="1523" w:type="dxa"/>
            <w:vAlign w:val="center"/>
          </w:tcPr>
          <w:p>
            <w:pPr>
              <w:widowControl/>
              <w:spacing w:line="300" w:lineRule="exact"/>
              <w:ind w:firstLine="0" w:firstLineChars="0"/>
              <w:jc w:val="center"/>
              <w:textAlignment w:val="center"/>
              <w:rPr>
                <w:sz w:val="24"/>
              </w:rPr>
            </w:pPr>
            <w:r>
              <w:rPr>
                <w:sz w:val="24"/>
              </w:rPr>
              <w:t>激光测距望远镜</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9</w:t>
            </w:r>
          </w:p>
        </w:tc>
        <w:tc>
          <w:tcPr>
            <w:tcW w:w="2187" w:type="dxa"/>
            <w:vAlign w:val="center"/>
          </w:tcPr>
          <w:p>
            <w:pPr>
              <w:widowControl/>
              <w:spacing w:line="300" w:lineRule="exact"/>
              <w:ind w:firstLine="0" w:firstLineChars="0"/>
              <w:jc w:val="center"/>
              <w:textAlignment w:val="center"/>
              <w:rPr>
                <w:sz w:val="24"/>
              </w:rPr>
            </w:pPr>
            <w:r>
              <w:rPr>
                <w:sz w:val="24"/>
              </w:rPr>
              <w:t>安全警戒带</w:t>
            </w:r>
          </w:p>
        </w:tc>
        <w:tc>
          <w:tcPr>
            <w:tcW w:w="899" w:type="dxa"/>
            <w:vAlign w:val="center"/>
          </w:tcPr>
          <w:p>
            <w:pPr>
              <w:widowControl/>
              <w:spacing w:line="300" w:lineRule="exact"/>
              <w:ind w:firstLine="0" w:firstLineChars="0"/>
              <w:jc w:val="center"/>
              <w:textAlignment w:val="center"/>
              <w:rPr>
                <w:sz w:val="24"/>
              </w:rPr>
            </w:pPr>
            <w:r>
              <w:rPr>
                <w:sz w:val="24"/>
              </w:rPr>
              <w:t>10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10</w:t>
            </w:r>
          </w:p>
        </w:tc>
        <w:tc>
          <w:tcPr>
            <w:tcW w:w="1523" w:type="dxa"/>
            <w:vAlign w:val="center"/>
          </w:tcPr>
          <w:p>
            <w:pPr>
              <w:widowControl/>
              <w:spacing w:line="300" w:lineRule="exact"/>
              <w:ind w:firstLine="0" w:firstLineChars="0"/>
              <w:jc w:val="center"/>
              <w:textAlignment w:val="center"/>
              <w:rPr>
                <w:sz w:val="24"/>
              </w:rPr>
            </w:pPr>
            <w:r>
              <w:rPr>
                <w:sz w:val="24"/>
              </w:rPr>
              <w:t>手持导航终端</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11</w:t>
            </w:r>
          </w:p>
        </w:tc>
        <w:tc>
          <w:tcPr>
            <w:tcW w:w="2187" w:type="dxa"/>
            <w:vAlign w:val="center"/>
          </w:tcPr>
          <w:p>
            <w:pPr>
              <w:widowControl/>
              <w:spacing w:line="300" w:lineRule="exact"/>
              <w:ind w:firstLine="0" w:firstLineChars="0"/>
              <w:jc w:val="center"/>
              <w:textAlignment w:val="center"/>
              <w:rPr>
                <w:sz w:val="24"/>
              </w:rPr>
            </w:pPr>
            <w:r>
              <w:rPr>
                <w:sz w:val="24"/>
              </w:rPr>
              <w:t>辅助类</w:t>
            </w:r>
          </w:p>
        </w:tc>
        <w:tc>
          <w:tcPr>
            <w:tcW w:w="899" w:type="dxa"/>
            <w:vAlign w:val="center"/>
          </w:tcPr>
          <w:p>
            <w:pPr>
              <w:widowControl/>
              <w:spacing w:line="300" w:lineRule="exact"/>
              <w:ind w:firstLine="0" w:firstLineChars="0"/>
              <w:jc w:val="center"/>
              <w:textAlignment w:val="center"/>
              <w:rPr>
                <w:sz w:val="24"/>
              </w:rPr>
            </w:pPr>
            <w:r>
              <w:rPr>
                <w:sz w:val="24"/>
              </w:rPr>
              <w:t>1</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12</w:t>
            </w:r>
          </w:p>
        </w:tc>
        <w:tc>
          <w:tcPr>
            <w:tcW w:w="1523" w:type="dxa"/>
            <w:vAlign w:val="center"/>
          </w:tcPr>
          <w:p>
            <w:pPr>
              <w:widowControl/>
              <w:spacing w:line="300" w:lineRule="exact"/>
              <w:ind w:firstLine="0" w:firstLineChars="0"/>
              <w:jc w:val="center"/>
              <w:textAlignment w:val="center"/>
              <w:rPr>
                <w:sz w:val="24"/>
              </w:rPr>
            </w:pPr>
            <w:r>
              <w:rPr>
                <w:sz w:val="24"/>
              </w:rPr>
              <w:t>强光手电筒</w:t>
            </w:r>
          </w:p>
        </w:tc>
        <w:tc>
          <w:tcPr>
            <w:tcW w:w="927" w:type="dxa"/>
            <w:vAlign w:val="center"/>
          </w:tcPr>
          <w:p>
            <w:pPr>
              <w:widowControl/>
              <w:spacing w:line="300" w:lineRule="exact"/>
              <w:ind w:firstLine="0" w:firstLineChars="0"/>
              <w:jc w:val="center"/>
              <w:textAlignment w:val="center"/>
              <w:rPr>
                <w:sz w:val="24"/>
              </w:rPr>
            </w:pPr>
            <w:r>
              <w:rPr>
                <w:sz w:val="24"/>
              </w:rPr>
              <w:t>3</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13</w:t>
            </w:r>
          </w:p>
        </w:tc>
        <w:tc>
          <w:tcPr>
            <w:tcW w:w="2187" w:type="dxa"/>
            <w:vAlign w:val="center"/>
          </w:tcPr>
          <w:p>
            <w:pPr>
              <w:widowControl/>
              <w:spacing w:line="300" w:lineRule="exact"/>
              <w:ind w:firstLine="0" w:firstLineChars="0"/>
              <w:jc w:val="center"/>
              <w:textAlignment w:val="center"/>
              <w:rPr>
                <w:sz w:val="24"/>
              </w:rPr>
            </w:pPr>
            <w:r>
              <w:rPr>
                <w:sz w:val="24"/>
              </w:rPr>
              <w:t>抢险绳</w:t>
            </w:r>
          </w:p>
        </w:tc>
        <w:tc>
          <w:tcPr>
            <w:tcW w:w="899" w:type="dxa"/>
            <w:vAlign w:val="center"/>
          </w:tcPr>
          <w:p>
            <w:pPr>
              <w:widowControl/>
              <w:spacing w:line="300" w:lineRule="exact"/>
              <w:ind w:firstLine="0" w:firstLineChars="0"/>
              <w:jc w:val="center"/>
              <w:textAlignment w:val="center"/>
              <w:rPr>
                <w:sz w:val="24"/>
              </w:rPr>
            </w:pPr>
            <w:r>
              <w:rPr>
                <w:sz w:val="24"/>
              </w:rPr>
              <w:t>10</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14</w:t>
            </w:r>
          </w:p>
        </w:tc>
        <w:tc>
          <w:tcPr>
            <w:tcW w:w="1523" w:type="dxa"/>
            <w:vAlign w:val="center"/>
          </w:tcPr>
          <w:p>
            <w:pPr>
              <w:widowControl/>
              <w:spacing w:line="300" w:lineRule="exact"/>
              <w:ind w:firstLine="0" w:firstLineChars="0"/>
              <w:jc w:val="center"/>
              <w:textAlignment w:val="center"/>
              <w:rPr>
                <w:sz w:val="24"/>
              </w:rPr>
            </w:pPr>
            <w:r>
              <w:rPr>
                <w:sz w:val="24"/>
              </w:rPr>
              <w:t>冲锋舟</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15</w:t>
            </w:r>
          </w:p>
        </w:tc>
        <w:tc>
          <w:tcPr>
            <w:tcW w:w="2187" w:type="dxa"/>
            <w:vAlign w:val="center"/>
          </w:tcPr>
          <w:p>
            <w:pPr>
              <w:widowControl/>
              <w:spacing w:line="300" w:lineRule="exact"/>
              <w:ind w:firstLine="0" w:firstLineChars="0"/>
              <w:jc w:val="center"/>
              <w:textAlignment w:val="center"/>
              <w:rPr>
                <w:sz w:val="24"/>
              </w:rPr>
            </w:pPr>
            <w:r>
              <w:rPr>
                <w:sz w:val="24"/>
              </w:rPr>
              <w:t>汽油抽水机水泵</w:t>
            </w:r>
          </w:p>
        </w:tc>
        <w:tc>
          <w:tcPr>
            <w:tcW w:w="899" w:type="dxa"/>
            <w:vAlign w:val="center"/>
          </w:tcPr>
          <w:p>
            <w:pPr>
              <w:widowControl/>
              <w:spacing w:line="300" w:lineRule="exact"/>
              <w:ind w:firstLine="0" w:firstLineChars="0"/>
              <w:jc w:val="center"/>
              <w:textAlignment w:val="center"/>
              <w:rPr>
                <w:sz w:val="24"/>
              </w:rPr>
            </w:pPr>
            <w:r>
              <w:rPr>
                <w:sz w:val="24"/>
              </w:rPr>
              <w:t>5</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4102" w:type="dxa"/>
            <w:gridSpan w:val="4"/>
            <w:vAlign w:val="center"/>
          </w:tcPr>
          <w:p>
            <w:pPr>
              <w:widowControl/>
              <w:spacing w:line="300" w:lineRule="exact"/>
              <w:ind w:firstLine="0" w:firstLineChars="0"/>
              <w:jc w:val="center"/>
              <w:textAlignment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gridSpan w:val="8"/>
            <w:vAlign w:val="center"/>
          </w:tcPr>
          <w:p>
            <w:pPr>
              <w:widowControl/>
              <w:spacing w:line="300" w:lineRule="exact"/>
              <w:ind w:firstLine="0" w:firstLineChars="0"/>
              <w:jc w:val="center"/>
              <w:textAlignment w:val="center"/>
              <w:rPr>
                <w:color w:val="000000"/>
                <w:sz w:val="24"/>
              </w:rPr>
            </w:pPr>
            <w:r>
              <w:rPr>
                <w:b/>
                <w:bCs/>
                <w:sz w:val="24"/>
              </w:rPr>
              <w:t>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b/>
                <w:bCs/>
                <w:sz w:val="24"/>
              </w:rPr>
            </w:pPr>
            <w:r>
              <w:rPr>
                <w:b/>
                <w:bCs/>
                <w:sz w:val="24"/>
              </w:rPr>
              <w:t>序号</w:t>
            </w:r>
          </w:p>
        </w:tc>
        <w:tc>
          <w:tcPr>
            <w:tcW w:w="2187" w:type="dxa"/>
            <w:vAlign w:val="center"/>
          </w:tcPr>
          <w:p>
            <w:pPr>
              <w:widowControl/>
              <w:spacing w:line="300" w:lineRule="exact"/>
              <w:ind w:firstLine="0" w:firstLineChars="0"/>
              <w:jc w:val="center"/>
              <w:textAlignment w:val="center"/>
              <w:rPr>
                <w:b/>
                <w:bCs/>
                <w:sz w:val="24"/>
              </w:rPr>
            </w:pPr>
            <w:r>
              <w:rPr>
                <w:b/>
                <w:bCs/>
                <w:sz w:val="24"/>
              </w:rPr>
              <w:t>物资名称</w:t>
            </w:r>
          </w:p>
        </w:tc>
        <w:tc>
          <w:tcPr>
            <w:tcW w:w="899" w:type="dxa"/>
            <w:vAlign w:val="center"/>
          </w:tcPr>
          <w:p>
            <w:pPr>
              <w:widowControl/>
              <w:spacing w:line="300" w:lineRule="exact"/>
              <w:ind w:firstLine="0" w:firstLineChars="0"/>
              <w:jc w:val="center"/>
              <w:textAlignment w:val="center"/>
              <w:rPr>
                <w:b/>
                <w:bCs/>
                <w:sz w:val="24"/>
              </w:rPr>
            </w:pPr>
            <w:r>
              <w:rPr>
                <w:b/>
                <w:bCs/>
                <w:sz w:val="24"/>
              </w:rPr>
              <w:t>数量</w:t>
            </w:r>
          </w:p>
        </w:tc>
        <w:tc>
          <w:tcPr>
            <w:tcW w:w="998" w:type="dxa"/>
            <w:vAlign w:val="center"/>
          </w:tcPr>
          <w:p>
            <w:pPr>
              <w:widowControl/>
              <w:spacing w:line="300" w:lineRule="exact"/>
              <w:ind w:firstLine="0" w:firstLineChars="0"/>
              <w:jc w:val="center"/>
              <w:textAlignment w:val="center"/>
              <w:rPr>
                <w:b/>
                <w:bCs/>
                <w:sz w:val="24"/>
              </w:rPr>
            </w:pPr>
            <w:r>
              <w:rPr>
                <w:b/>
                <w:bCs/>
                <w:sz w:val="24"/>
              </w:rPr>
              <w:t>备注</w:t>
            </w:r>
          </w:p>
        </w:tc>
        <w:tc>
          <w:tcPr>
            <w:tcW w:w="829" w:type="dxa"/>
            <w:vAlign w:val="center"/>
          </w:tcPr>
          <w:p>
            <w:pPr>
              <w:widowControl/>
              <w:spacing w:line="300" w:lineRule="exact"/>
              <w:ind w:firstLine="0" w:firstLineChars="0"/>
              <w:jc w:val="center"/>
              <w:textAlignment w:val="center"/>
              <w:rPr>
                <w:b/>
                <w:bCs/>
                <w:sz w:val="24"/>
              </w:rPr>
            </w:pPr>
            <w:r>
              <w:rPr>
                <w:b/>
                <w:bCs/>
                <w:sz w:val="24"/>
              </w:rPr>
              <w:t>序号</w:t>
            </w:r>
          </w:p>
        </w:tc>
        <w:tc>
          <w:tcPr>
            <w:tcW w:w="1523" w:type="dxa"/>
            <w:vAlign w:val="center"/>
          </w:tcPr>
          <w:p>
            <w:pPr>
              <w:widowControl/>
              <w:spacing w:line="300" w:lineRule="exact"/>
              <w:ind w:firstLine="0" w:firstLineChars="0"/>
              <w:jc w:val="center"/>
              <w:textAlignment w:val="center"/>
              <w:rPr>
                <w:b/>
                <w:bCs/>
                <w:sz w:val="24"/>
              </w:rPr>
            </w:pPr>
            <w:r>
              <w:rPr>
                <w:b/>
                <w:bCs/>
                <w:sz w:val="24"/>
              </w:rPr>
              <w:t>物资名称</w:t>
            </w:r>
          </w:p>
        </w:tc>
        <w:tc>
          <w:tcPr>
            <w:tcW w:w="927" w:type="dxa"/>
            <w:vAlign w:val="center"/>
          </w:tcPr>
          <w:p>
            <w:pPr>
              <w:widowControl/>
              <w:spacing w:line="300" w:lineRule="exact"/>
              <w:ind w:firstLine="0" w:firstLineChars="0"/>
              <w:jc w:val="center"/>
              <w:textAlignment w:val="center"/>
              <w:rPr>
                <w:b/>
                <w:bCs/>
                <w:sz w:val="24"/>
              </w:rPr>
            </w:pPr>
            <w:r>
              <w:rPr>
                <w:b/>
                <w:bCs/>
                <w:sz w:val="24"/>
              </w:rPr>
              <w:t>数量</w:t>
            </w:r>
          </w:p>
        </w:tc>
        <w:tc>
          <w:tcPr>
            <w:tcW w:w="823" w:type="dxa"/>
            <w:vAlign w:val="center"/>
          </w:tcPr>
          <w:p>
            <w:pPr>
              <w:widowControl/>
              <w:spacing w:line="300" w:lineRule="exact"/>
              <w:ind w:firstLine="0" w:firstLineChars="0"/>
              <w:jc w:val="center"/>
              <w:textAlignment w:val="center"/>
              <w:rPr>
                <w:b/>
                <w:bCs/>
                <w:sz w:val="24"/>
              </w:rPr>
            </w:pPr>
            <w:r>
              <w:rPr>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1</w:t>
            </w:r>
          </w:p>
        </w:tc>
        <w:tc>
          <w:tcPr>
            <w:tcW w:w="2187" w:type="dxa"/>
            <w:vAlign w:val="center"/>
          </w:tcPr>
          <w:p>
            <w:pPr>
              <w:widowControl/>
              <w:spacing w:line="300" w:lineRule="exact"/>
              <w:ind w:firstLine="0" w:firstLineChars="0"/>
              <w:jc w:val="center"/>
              <w:textAlignment w:val="center"/>
              <w:rPr>
                <w:sz w:val="24"/>
              </w:rPr>
            </w:pPr>
            <w:r>
              <w:rPr>
                <w:sz w:val="24"/>
              </w:rPr>
              <w:t>人降汽车</w:t>
            </w:r>
          </w:p>
        </w:tc>
        <w:tc>
          <w:tcPr>
            <w:tcW w:w="899" w:type="dxa"/>
            <w:vAlign w:val="center"/>
          </w:tcPr>
          <w:p>
            <w:pPr>
              <w:widowControl/>
              <w:spacing w:line="300" w:lineRule="exact"/>
              <w:ind w:firstLine="0" w:firstLineChars="0"/>
              <w:jc w:val="center"/>
              <w:textAlignment w:val="center"/>
              <w:rPr>
                <w:sz w:val="24"/>
              </w:rPr>
            </w:pPr>
            <w:r>
              <w:rPr>
                <w:sz w:val="24"/>
              </w:rPr>
              <w:t>2</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2</w:t>
            </w:r>
          </w:p>
        </w:tc>
        <w:tc>
          <w:tcPr>
            <w:tcW w:w="1523" w:type="dxa"/>
            <w:vAlign w:val="center"/>
          </w:tcPr>
          <w:p>
            <w:pPr>
              <w:widowControl/>
              <w:spacing w:line="300" w:lineRule="exact"/>
              <w:ind w:firstLine="0" w:firstLineChars="0"/>
              <w:jc w:val="center"/>
              <w:textAlignment w:val="center"/>
              <w:rPr>
                <w:sz w:val="24"/>
              </w:rPr>
            </w:pPr>
            <w:r>
              <w:rPr>
                <w:sz w:val="24"/>
              </w:rPr>
              <w:t>应急照明</w:t>
            </w:r>
          </w:p>
        </w:tc>
        <w:tc>
          <w:tcPr>
            <w:tcW w:w="927" w:type="dxa"/>
            <w:vAlign w:val="center"/>
          </w:tcPr>
          <w:p>
            <w:pPr>
              <w:widowControl/>
              <w:spacing w:line="300" w:lineRule="exact"/>
              <w:ind w:firstLine="0" w:firstLineChars="0"/>
              <w:jc w:val="center"/>
              <w:textAlignment w:val="center"/>
              <w:rPr>
                <w:sz w:val="24"/>
              </w:rPr>
            </w:pPr>
            <w:r>
              <w:rPr>
                <w:sz w:val="24"/>
              </w:rPr>
              <w:t>2</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3</w:t>
            </w:r>
          </w:p>
        </w:tc>
        <w:tc>
          <w:tcPr>
            <w:tcW w:w="2187" w:type="dxa"/>
            <w:vAlign w:val="center"/>
          </w:tcPr>
          <w:p>
            <w:pPr>
              <w:widowControl/>
              <w:spacing w:line="300" w:lineRule="exact"/>
              <w:ind w:firstLine="0" w:firstLineChars="0"/>
              <w:jc w:val="center"/>
              <w:textAlignment w:val="center"/>
              <w:rPr>
                <w:sz w:val="24"/>
              </w:rPr>
            </w:pPr>
            <w:r>
              <w:rPr>
                <w:sz w:val="24"/>
              </w:rPr>
              <w:t>火箭炮</w:t>
            </w:r>
          </w:p>
        </w:tc>
        <w:tc>
          <w:tcPr>
            <w:tcW w:w="899" w:type="dxa"/>
            <w:vAlign w:val="center"/>
          </w:tcPr>
          <w:p>
            <w:pPr>
              <w:widowControl/>
              <w:spacing w:line="300" w:lineRule="exact"/>
              <w:ind w:firstLine="0" w:firstLineChars="0"/>
              <w:jc w:val="center"/>
              <w:textAlignment w:val="center"/>
              <w:rPr>
                <w:sz w:val="24"/>
              </w:rPr>
            </w:pPr>
            <w:r>
              <w:rPr>
                <w:sz w:val="24"/>
              </w:rPr>
              <w:t>3</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4</w:t>
            </w:r>
          </w:p>
        </w:tc>
        <w:tc>
          <w:tcPr>
            <w:tcW w:w="1523" w:type="dxa"/>
            <w:vAlign w:val="center"/>
          </w:tcPr>
          <w:p>
            <w:pPr>
              <w:widowControl/>
              <w:spacing w:line="300" w:lineRule="exact"/>
              <w:ind w:firstLine="0" w:firstLineChars="0"/>
              <w:jc w:val="center"/>
              <w:textAlignment w:val="center"/>
              <w:rPr>
                <w:sz w:val="24"/>
              </w:rPr>
            </w:pPr>
            <w:r>
              <w:rPr>
                <w:sz w:val="24"/>
              </w:rPr>
              <w:t>炮弹专用保险柜、通讯设备</w:t>
            </w:r>
          </w:p>
        </w:tc>
        <w:tc>
          <w:tcPr>
            <w:tcW w:w="927" w:type="dxa"/>
            <w:vAlign w:val="center"/>
          </w:tcPr>
          <w:p>
            <w:pPr>
              <w:widowControl/>
              <w:spacing w:line="300" w:lineRule="exact"/>
              <w:ind w:firstLine="0" w:firstLineChars="0"/>
              <w:jc w:val="center"/>
              <w:textAlignment w:val="center"/>
              <w:rPr>
                <w:sz w:val="24"/>
              </w:rPr>
            </w:pPr>
            <w:r>
              <w:rPr>
                <w:sz w:val="24"/>
              </w:rPr>
              <w:t>2</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widowControl/>
              <w:spacing w:line="300" w:lineRule="exact"/>
              <w:ind w:firstLine="0" w:firstLineChars="0"/>
              <w:jc w:val="center"/>
              <w:textAlignment w:val="center"/>
              <w:rPr>
                <w:sz w:val="24"/>
              </w:rPr>
            </w:pPr>
            <w:r>
              <w:rPr>
                <w:rFonts w:hint="eastAsia"/>
                <w:sz w:val="24"/>
              </w:rPr>
              <w:t>5</w:t>
            </w:r>
          </w:p>
        </w:tc>
        <w:tc>
          <w:tcPr>
            <w:tcW w:w="2187" w:type="dxa"/>
            <w:vAlign w:val="center"/>
          </w:tcPr>
          <w:p>
            <w:pPr>
              <w:widowControl/>
              <w:spacing w:line="300" w:lineRule="exact"/>
              <w:ind w:firstLine="0" w:firstLineChars="0"/>
              <w:jc w:val="center"/>
              <w:textAlignment w:val="center"/>
              <w:rPr>
                <w:sz w:val="24"/>
              </w:rPr>
            </w:pPr>
            <w:r>
              <w:rPr>
                <w:sz w:val="24"/>
              </w:rPr>
              <w:t>安全帽安全鞋安全服</w:t>
            </w:r>
          </w:p>
        </w:tc>
        <w:tc>
          <w:tcPr>
            <w:tcW w:w="899" w:type="dxa"/>
            <w:vAlign w:val="center"/>
          </w:tcPr>
          <w:p>
            <w:pPr>
              <w:widowControl/>
              <w:spacing w:line="300" w:lineRule="exact"/>
              <w:ind w:firstLine="0" w:firstLineChars="0"/>
              <w:jc w:val="center"/>
              <w:textAlignment w:val="center"/>
              <w:rPr>
                <w:sz w:val="24"/>
              </w:rPr>
            </w:pPr>
            <w:r>
              <w:rPr>
                <w:sz w:val="24"/>
              </w:rPr>
              <w:t>12套</w:t>
            </w:r>
          </w:p>
        </w:tc>
        <w:tc>
          <w:tcPr>
            <w:tcW w:w="998" w:type="dxa"/>
            <w:vAlign w:val="center"/>
          </w:tcPr>
          <w:p>
            <w:pPr>
              <w:widowControl/>
              <w:spacing w:line="300" w:lineRule="exact"/>
              <w:ind w:firstLine="0" w:firstLineChars="0"/>
              <w:jc w:val="center"/>
              <w:textAlignment w:val="center"/>
              <w:rPr>
                <w:sz w:val="24"/>
              </w:rPr>
            </w:pPr>
            <w:r>
              <w:rPr>
                <w:rFonts w:hint="eastAsia"/>
                <w:sz w:val="24"/>
              </w:rPr>
              <w:t>/</w:t>
            </w:r>
          </w:p>
        </w:tc>
        <w:tc>
          <w:tcPr>
            <w:tcW w:w="829" w:type="dxa"/>
            <w:vAlign w:val="center"/>
          </w:tcPr>
          <w:p>
            <w:pPr>
              <w:widowControl/>
              <w:spacing w:line="300" w:lineRule="exact"/>
              <w:ind w:firstLine="0" w:firstLineChars="0"/>
              <w:jc w:val="center"/>
              <w:textAlignment w:val="center"/>
              <w:rPr>
                <w:sz w:val="24"/>
              </w:rPr>
            </w:pPr>
            <w:r>
              <w:rPr>
                <w:rFonts w:hint="eastAsia"/>
                <w:sz w:val="24"/>
              </w:rPr>
              <w:t>6</w:t>
            </w:r>
          </w:p>
        </w:tc>
        <w:tc>
          <w:tcPr>
            <w:tcW w:w="1523" w:type="dxa"/>
            <w:vAlign w:val="center"/>
          </w:tcPr>
          <w:p>
            <w:pPr>
              <w:widowControl/>
              <w:spacing w:line="300" w:lineRule="exact"/>
              <w:ind w:firstLine="0" w:firstLineChars="0"/>
              <w:jc w:val="center"/>
              <w:textAlignment w:val="center"/>
              <w:rPr>
                <w:sz w:val="24"/>
              </w:rPr>
            </w:pPr>
            <w:r>
              <w:rPr>
                <w:sz w:val="24"/>
              </w:rPr>
              <w:t>业务平台</w:t>
            </w:r>
          </w:p>
        </w:tc>
        <w:tc>
          <w:tcPr>
            <w:tcW w:w="927" w:type="dxa"/>
            <w:vAlign w:val="center"/>
          </w:tcPr>
          <w:p>
            <w:pPr>
              <w:widowControl/>
              <w:spacing w:line="300" w:lineRule="exact"/>
              <w:ind w:firstLine="0" w:firstLineChars="0"/>
              <w:jc w:val="center"/>
              <w:textAlignment w:val="center"/>
              <w:rPr>
                <w:sz w:val="24"/>
              </w:rPr>
            </w:pPr>
            <w:r>
              <w:rPr>
                <w:sz w:val="24"/>
              </w:rPr>
              <w:t>1</w:t>
            </w:r>
          </w:p>
        </w:tc>
        <w:tc>
          <w:tcPr>
            <w:tcW w:w="823" w:type="dxa"/>
            <w:vAlign w:val="center"/>
          </w:tcPr>
          <w:p>
            <w:pPr>
              <w:widowControl/>
              <w:spacing w:line="300" w:lineRule="exact"/>
              <w:ind w:firstLine="0" w:firstLineChars="0"/>
              <w:jc w:val="center"/>
              <w:textAlignment w:val="center"/>
              <w:rPr>
                <w:color w:val="000000"/>
                <w:sz w:val="24"/>
              </w:rPr>
            </w:pPr>
            <w:r>
              <w:rPr>
                <w:rFonts w:hint="eastAsia"/>
                <w:sz w:val="24"/>
              </w:rPr>
              <w:t>/</w:t>
            </w:r>
          </w:p>
        </w:tc>
      </w:tr>
    </w:tbl>
    <w:p>
      <w:pPr>
        <w:ind w:firstLine="0" w:firstLineChars="0"/>
      </w:pPr>
    </w:p>
    <w:p>
      <w:pPr>
        <w:pStyle w:val="17"/>
        <w:ind w:firstLine="352"/>
        <w:sectPr>
          <w:pgSz w:w="11907" w:h="16840"/>
          <w:pgMar w:top="2098" w:right="1474" w:bottom="1984" w:left="1587" w:header="851" w:footer="1474" w:gutter="0"/>
          <w:cols w:space="720" w:num="1"/>
          <w:titlePg/>
          <w:docGrid w:type="linesAndChars" w:linePitch="579" w:charSpace="-842"/>
        </w:sectPr>
      </w:pPr>
    </w:p>
    <w:p>
      <w:pPr>
        <w:pStyle w:val="4"/>
        <w:ind w:firstLine="0" w:firstLineChars="0"/>
        <w:jc w:val="center"/>
        <w:rPr>
          <w:sz w:val="28"/>
        </w:rPr>
      </w:pPr>
      <w:bookmarkStart w:id="322" w:name="_Toc116914525"/>
      <w:bookmarkStart w:id="323" w:name="_Toc126335886"/>
      <w:bookmarkStart w:id="324" w:name="_Hlk120694254"/>
      <w:r>
        <w:rPr>
          <w:sz w:val="28"/>
        </w:rPr>
        <w:t xml:space="preserve">附表3  </w:t>
      </w:r>
      <w:r>
        <w:rPr>
          <w:rFonts w:hint="eastAsia"/>
          <w:sz w:val="28"/>
        </w:rPr>
        <w:t>红旗水库水源地管理站</w:t>
      </w:r>
      <w:r>
        <w:rPr>
          <w:sz w:val="28"/>
        </w:rPr>
        <w:t>应急物资储备情况</w:t>
      </w:r>
      <w:bookmarkEnd w:id="322"/>
      <w:bookmarkEnd w:id="323"/>
    </w:p>
    <w:bookmarkEnd w:id="324"/>
    <w:tbl>
      <w:tblPr>
        <w:tblStyle w:val="29"/>
        <w:tblW w:w="4997" w:type="pct"/>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0" w:type="dxa"/>
          <w:left w:w="108" w:type="dxa"/>
          <w:bottom w:w="0" w:type="dxa"/>
          <w:right w:w="108" w:type="dxa"/>
        </w:tblCellMar>
      </w:tblPr>
      <w:tblGrid>
        <w:gridCol w:w="717"/>
        <w:gridCol w:w="2061"/>
        <w:gridCol w:w="1413"/>
        <w:gridCol w:w="1920"/>
        <w:gridCol w:w="1141"/>
        <w:gridCol w:w="180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序号</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仪器设备名称</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数量</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储存地点</w:t>
            </w:r>
          </w:p>
        </w:tc>
        <w:tc>
          <w:tcPr>
            <w:tcW w:w="63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保管人</w:t>
            </w:r>
          </w:p>
        </w:tc>
        <w:tc>
          <w:tcPr>
            <w:tcW w:w="9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联系电话</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应急船</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1架</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restart"/>
            <w:tcBorders>
              <w:top w:val="single" w:color="auto" w:sz="4" w:space="0"/>
              <w:left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李俊</w:t>
            </w:r>
          </w:p>
        </w:tc>
        <w:tc>
          <w:tcPr>
            <w:tcW w:w="996" w:type="pct"/>
            <w:vMerge w:val="restart"/>
            <w:tcBorders>
              <w:top w:val="single" w:color="auto" w:sz="4" w:space="0"/>
              <w:left w:val="single" w:color="auto" w:sz="4" w:space="0"/>
              <w:right w:val="single" w:color="auto" w:sz="4" w:space="0"/>
            </w:tcBorders>
            <w:vAlign w:val="center"/>
          </w:tcPr>
          <w:p>
            <w:pPr>
              <w:adjustRightInd w:val="0"/>
              <w:snapToGrid w:val="0"/>
              <w:ind w:firstLine="0" w:firstLineChars="0"/>
              <w:jc w:val="center"/>
              <w:rPr>
                <w:sz w:val="24"/>
              </w:rPr>
            </w:pPr>
            <w:r>
              <w:rPr>
                <w:sz w:val="24"/>
              </w:rPr>
              <w:t>13896587247</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救生衣</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50件</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3</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雨靴</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50双</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4</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雨衣</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50套</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手持扩音器</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10个</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新政办公楼</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6</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潜水泵</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5台</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厂房</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7</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水泵配套电缆线</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200m</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厂房</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8</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水管</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100m</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厂房</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9</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编织袋</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500个</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10</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铁锹</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20把</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11</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土箕</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20担</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12</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扁担</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20挑</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13</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手电筒</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50个</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综合楼仓库</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14</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手提式报警器</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2个</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新政办公楼</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w:t>
            </w:r>
            <w:r>
              <w:rPr>
                <w:sz w:val="24"/>
              </w:rPr>
              <w:t>5</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对讲机</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10部</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新政办公楼</w:t>
            </w:r>
          </w:p>
        </w:tc>
        <w:tc>
          <w:tcPr>
            <w:tcW w:w="630"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right w:val="single" w:color="auto" w:sz="4" w:space="0"/>
            </w:tcBorders>
            <w:vAlign w:val="center"/>
          </w:tcPr>
          <w:p>
            <w:pPr>
              <w:adjustRightInd w:val="0"/>
              <w:snapToGrid w:val="0"/>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w:t>
            </w:r>
            <w:r>
              <w:rPr>
                <w:sz w:val="24"/>
              </w:rPr>
              <w:t>6</w:t>
            </w:r>
          </w:p>
        </w:tc>
        <w:tc>
          <w:tcPr>
            <w:tcW w:w="1138"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对讲机备用电池</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10个</w:t>
            </w:r>
          </w:p>
        </w:tc>
        <w:tc>
          <w:tcPr>
            <w:tcW w:w="106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r>
              <w:rPr>
                <w:rFonts w:hint="eastAsia"/>
                <w:sz w:val="24"/>
              </w:rPr>
              <w:t>新政办公楼</w:t>
            </w:r>
          </w:p>
        </w:tc>
        <w:tc>
          <w:tcPr>
            <w:tcW w:w="630" w:type="pct"/>
            <w:vMerge w:val="continue"/>
            <w:tcBorders>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p>
        </w:tc>
        <w:tc>
          <w:tcPr>
            <w:tcW w:w="996" w:type="pct"/>
            <w:vMerge w:val="continue"/>
            <w:tcBorders>
              <w:left w:val="single" w:color="auto" w:sz="4" w:space="0"/>
              <w:bottom w:val="single" w:color="auto" w:sz="4" w:space="0"/>
              <w:right w:val="single" w:color="auto" w:sz="4" w:space="0"/>
            </w:tcBorders>
            <w:vAlign w:val="center"/>
          </w:tcPr>
          <w:p>
            <w:pPr>
              <w:adjustRightInd w:val="0"/>
              <w:snapToGrid w:val="0"/>
              <w:ind w:firstLine="0" w:firstLineChars="0"/>
              <w:jc w:val="center"/>
              <w:rPr>
                <w:sz w:val="24"/>
              </w:rPr>
            </w:pPr>
          </w:p>
        </w:tc>
      </w:tr>
    </w:tbl>
    <w:p>
      <w:pPr>
        <w:pStyle w:val="17"/>
        <w:ind w:firstLine="352"/>
      </w:pPr>
    </w:p>
    <w:p>
      <w:pPr>
        <w:pStyle w:val="17"/>
        <w:ind w:firstLine="352"/>
        <w:sectPr>
          <w:pgSz w:w="11907" w:h="16840"/>
          <w:pgMar w:top="2098" w:right="1474" w:bottom="1984" w:left="1587" w:header="851" w:footer="1474" w:gutter="0"/>
          <w:cols w:space="720" w:num="1"/>
          <w:titlePg/>
          <w:docGrid w:type="linesAndChars" w:linePitch="579" w:charSpace="-842"/>
        </w:sectPr>
      </w:pPr>
    </w:p>
    <w:p>
      <w:pPr>
        <w:pStyle w:val="4"/>
        <w:ind w:firstLine="0" w:firstLineChars="0"/>
        <w:jc w:val="center"/>
        <w:rPr>
          <w:sz w:val="28"/>
        </w:rPr>
      </w:pPr>
      <w:bookmarkStart w:id="325" w:name="_Toc25881"/>
      <w:bookmarkStart w:id="326" w:name="_Toc10675"/>
      <w:bookmarkStart w:id="327" w:name="_Toc31697"/>
      <w:bookmarkStart w:id="328" w:name="_Toc24894"/>
      <w:bookmarkStart w:id="329" w:name="_Toc6145"/>
      <w:bookmarkStart w:id="330" w:name="_Toc116914526"/>
      <w:bookmarkStart w:id="331" w:name="_Toc126335887"/>
      <w:r>
        <w:rPr>
          <w:rFonts w:hint="eastAsia"/>
          <w:sz w:val="28"/>
        </w:rPr>
        <w:t>附表</w:t>
      </w:r>
      <w:r>
        <w:rPr>
          <w:sz w:val="28"/>
        </w:rPr>
        <w:t>4</w:t>
      </w:r>
      <w:r>
        <w:rPr>
          <w:rFonts w:hint="eastAsia"/>
          <w:sz w:val="28"/>
        </w:rPr>
        <w:t xml:space="preserve">  </w:t>
      </w:r>
      <w:bookmarkEnd w:id="325"/>
      <w:bookmarkEnd w:id="326"/>
      <w:bookmarkEnd w:id="327"/>
      <w:bookmarkEnd w:id="328"/>
      <w:bookmarkEnd w:id="329"/>
      <w:bookmarkStart w:id="332" w:name="_Hlk119318728"/>
      <w:r>
        <w:rPr>
          <w:rFonts w:hint="eastAsia"/>
          <w:sz w:val="28"/>
        </w:rPr>
        <w:t>重庆澜泉供水有限公司新民分公司</w:t>
      </w:r>
      <w:bookmarkEnd w:id="332"/>
      <w:r>
        <w:rPr>
          <w:rFonts w:hint="eastAsia"/>
          <w:sz w:val="28"/>
        </w:rPr>
        <w:t>现有应急物资与装备一览表</w:t>
      </w:r>
      <w:bookmarkEnd w:id="330"/>
      <w:bookmarkEnd w:id="331"/>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036"/>
        <w:gridCol w:w="1368"/>
        <w:gridCol w:w="1406"/>
        <w:gridCol w:w="1288"/>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rFonts w:eastAsia="方正黑体_GBK"/>
                <w:sz w:val="24"/>
              </w:rPr>
            </w:pPr>
            <w:r>
              <w:rPr>
                <w:rFonts w:eastAsia="方正黑体_GBK"/>
                <w:sz w:val="24"/>
              </w:rPr>
              <w:t>序号</w:t>
            </w:r>
          </w:p>
        </w:tc>
        <w:tc>
          <w:tcPr>
            <w:tcW w:w="1124" w:type="pct"/>
            <w:vAlign w:val="center"/>
          </w:tcPr>
          <w:p>
            <w:pPr>
              <w:adjustRightInd w:val="0"/>
              <w:snapToGrid w:val="0"/>
              <w:ind w:firstLine="0" w:firstLineChars="0"/>
              <w:jc w:val="center"/>
              <w:rPr>
                <w:rFonts w:eastAsia="方正黑体_GBK"/>
                <w:sz w:val="24"/>
              </w:rPr>
            </w:pPr>
            <w:r>
              <w:rPr>
                <w:rFonts w:eastAsia="方正黑体_GBK"/>
                <w:sz w:val="24"/>
              </w:rPr>
              <w:t>物资名称</w:t>
            </w:r>
          </w:p>
        </w:tc>
        <w:tc>
          <w:tcPr>
            <w:tcW w:w="755" w:type="pct"/>
            <w:vAlign w:val="center"/>
          </w:tcPr>
          <w:p>
            <w:pPr>
              <w:adjustRightInd w:val="0"/>
              <w:snapToGrid w:val="0"/>
              <w:ind w:firstLine="0" w:firstLineChars="0"/>
              <w:jc w:val="center"/>
              <w:rPr>
                <w:rFonts w:eastAsia="方正黑体_GBK"/>
                <w:sz w:val="24"/>
              </w:rPr>
            </w:pPr>
            <w:r>
              <w:rPr>
                <w:rFonts w:eastAsia="方正黑体_GBK"/>
                <w:sz w:val="24"/>
              </w:rPr>
              <w:t>类别</w:t>
            </w:r>
          </w:p>
        </w:tc>
        <w:tc>
          <w:tcPr>
            <w:tcW w:w="776" w:type="pct"/>
            <w:vAlign w:val="center"/>
          </w:tcPr>
          <w:p>
            <w:pPr>
              <w:adjustRightInd w:val="0"/>
              <w:snapToGrid w:val="0"/>
              <w:ind w:firstLine="0" w:firstLineChars="0"/>
              <w:jc w:val="center"/>
              <w:rPr>
                <w:rFonts w:eastAsia="方正黑体_GBK"/>
                <w:sz w:val="24"/>
              </w:rPr>
            </w:pPr>
            <w:r>
              <w:rPr>
                <w:rFonts w:eastAsia="方正黑体_GBK"/>
                <w:sz w:val="24"/>
              </w:rPr>
              <w:t>数量</w:t>
            </w:r>
          </w:p>
        </w:tc>
        <w:tc>
          <w:tcPr>
            <w:tcW w:w="711" w:type="pct"/>
            <w:vAlign w:val="center"/>
          </w:tcPr>
          <w:p>
            <w:pPr>
              <w:adjustRightInd w:val="0"/>
              <w:snapToGrid w:val="0"/>
              <w:ind w:firstLine="0" w:firstLineChars="0"/>
              <w:jc w:val="center"/>
              <w:rPr>
                <w:rFonts w:eastAsia="方正黑体_GBK"/>
                <w:sz w:val="24"/>
              </w:rPr>
            </w:pPr>
            <w:r>
              <w:rPr>
                <w:rFonts w:hint="eastAsia" w:eastAsia="方正黑体_GBK"/>
                <w:sz w:val="24"/>
              </w:rPr>
              <w:t>保管</w:t>
            </w:r>
            <w:r>
              <w:rPr>
                <w:rFonts w:eastAsia="方正黑体_GBK"/>
                <w:sz w:val="24"/>
              </w:rPr>
              <w:t>人</w:t>
            </w:r>
          </w:p>
        </w:tc>
        <w:tc>
          <w:tcPr>
            <w:tcW w:w="1147" w:type="pct"/>
            <w:vAlign w:val="center"/>
          </w:tcPr>
          <w:p>
            <w:pPr>
              <w:adjustRightInd w:val="0"/>
              <w:snapToGrid w:val="0"/>
              <w:ind w:firstLine="0" w:firstLineChars="0"/>
              <w:jc w:val="center"/>
              <w:rPr>
                <w:rFonts w:eastAsia="方正黑体_GBK"/>
                <w:sz w:val="24"/>
              </w:rPr>
            </w:pPr>
            <w:r>
              <w:rPr>
                <w:rFonts w:eastAsia="方正黑体_GBK"/>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w:t>
            </w:r>
          </w:p>
        </w:tc>
        <w:tc>
          <w:tcPr>
            <w:tcW w:w="1124" w:type="pct"/>
            <w:vAlign w:val="center"/>
          </w:tcPr>
          <w:p>
            <w:pPr>
              <w:adjustRightInd w:val="0"/>
              <w:snapToGrid w:val="0"/>
              <w:ind w:firstLine="0" w:firstLineChars="0"/>
              <w:jc w:val="center"/>
              <w:rPr>
                <w:sz w:val="24"/>
              </w:rPr>
            </w:pPr>
            <w:r>
              <w:rPr>
                <w:sz w:val="24"/>
              </w:rPr>
              <w:t>消防沙</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5t</w:t>
            </w:r>
          </w:p>
        </w:tc>
        <w:tc>
          <w:tcPr>
            <w:tcW w:w="711" w:type="pct"/>
            <w:vMerge w:val="restart"/>
            <w:vAlign w:val="center"/>
          </w:tcPr>
          <w:p>
            <w:pPr>
              <w:adjustRightInd w:val="0"/>
              <w:snapToGrid w:val="0"/>
              <w:ind w:firstLine="0" w:firstLineChars="0"/>
              <w:jc w:val="center"/>
              <w:rPr>
                <w:sz w:val="24"/>
              </w:rPr>
            </w:pPr>
            <w:r>
              <w:rPr>
                <w:rFonts w:hint="eastAsia"/>
                <w:sz w:val="24"/>
              </w:rPr>
              <w:t>何波</w:t>
            </w:r>
          </w:p>
        </w:tc>
        <w:tc>
          <w:tcPr>
            <w:tcW w:w="1147" w:type="pct"/>
            <w:vMerge w:val="restart"/>
            <w:vAlign w:val="center"/>
          </w:tcPr>
          <w:p>
            <w:pPr>
              <w:adjustRightInd w:val="0"/>
              <w:snapToGrid w:val="0"/>
              <w:ind w:firstLine="0" w:firstLineChars="0"/>
              <w:jc w:val="center"/>
              <w:rPr>
                <w:sz w:val="24"/>
              </w:rPr>
            </w:pPr>
            <w:r>
              <w:rPr>
                <w:sz w:val="24"/>
              </w:rPr>
              <w:t>13594517848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2</w:t>
            </w:r>
          </w:p>
        </w:tc>
        <w:tc>
          <w:tcPr>
            <w:tcW w:w="1124" w:type="pct"/>
            <w:vAlign w:val="center"/>
          </w:tcPr>
          <w:p>
            <w:pPr>
              <w:adjustRightInd w:val="0"/>
              <w:snapToGrid w:val="0"/>
              <w:ind w:firstLine="0" w:firstLineChars="0"/>
              <w:jc w:val="center"/>
              <w:rPr>
                <w:sz w:val="24"/>
              </w:rPr>
            </w:pPr>
            <w:r>
              <w:rPr>
                <w:sz w:val="24"/>
              </w:rPr>
              <w:t>消防铲</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3把</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3</w:t>
            </w:r>
          </w:p>
        </w:tc>
        <w:tc>
          <w:tcPr>
            <w:tcW w:w="1124" w:type="pct"/>
            <w:vAlign w:val="center"/>
          </w:tcPr>
          <w:p>
            <w:pPr>
              <w:adjustRightInd w:val="0"/>
              <w:snapToGrid w:val="0"/>
              <w:ind w:firstLine="0" w:firstLineChars="0"/>
              <w:jc w:val="center"/>
              <w:rPr>
                <w:sz w:val="24"/>
              </w:rPr>
            </w:pPr>
            <w:r>
              <w:rPr>
                <w:sz w:val="24"/>
              </w:rPr>
              <w:t>消防斧头</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2把</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4</w:t>
            </w:r>
          </w:p>
        </w:tc>
        <w:tc>
          <w:tcPr>
            <w:tcW w:w="1124" w:type="pct"/>
            <w:vAlign w:val="center"/>
          </w:tcPr>
          <w:p>
            <w:pPr>
              <w:adjustRightInd w:val="0"/>
              <w:snapToGrid w:val="0"/>
              <w:ind w:firstLine="0" w:firstLineChars="0"/>
              <w:jc w:val="center"/>
              <w:rPr>
                <w:sz w:val="24"/>
              </w:rPr>
            </w:pPr>
            <w:r>
              <w:rPr>
                <w:sz w:val="24"/>
              </w:rPr>
              <w:t>干粉灭火器/二氧化碳灭火器</w:t>
            </w:r>
          </w:p>
        </w:tc>
        <w:tc>
          <w:tcPr>
            <w:tcW w:w="755" w:type="pct"/>
            <w:vAlign w:val="center"/>
          </w:tcPr>
          <w:p>
            <w:pPr>
              <w:adjustRightInd w:val="0"/>
              <w:snapToGrid w:val="0"/>
              <w:ind w:firstLine="0" w:firstLineChars="0"/>
              <w:jc w:val="center"/>
              <w:rPr>
                <w:sz w:val="24"/>
              </w:rPr>
            </w:pPr>
            <w:r>
              <w:rPr>
                <w:sz w:val="24"/>
              </w:rPr>
              <w:t>手提式</w:t>
            </w:r>
          </w:p>
        </w:tc>
        <w:tc>
          <w:tcPr>
            <w:tcW w:w="776" w:type="pct"/>
            <w:vAlign w:val="center"/>
          </w:tcPr>
          <w:p>
            <w:pPr>
              <w:adjustRightInd w:val="0"/>
              <w:snapToGrid w:val="0"/>
              <w:ind w:firstLine="0" w:firstLineChars="0"/>
              <w:jc w:val="center"/>
              <w:rPr>
                <w:sz w:val="24"/>
              </w:rPr>
            </w:pPr>
            <w:r>
              <w:rPr>
                <w:sz w:val="24"/>
              </w:rPr>
              <w:t>6具</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5</w:t>
            </w:r>
          </w:p>
        </w:tc>
        <w:tc>
          <w:tcPr>
            <w:tcW w:w="1124" w:type="pct"/>
            <w:vAlign w:val="center"/>
          </w:tcPr>
          <w:p>
            <w:pPr>
              <w:adjustRightInd w:val="0"/>
              <w:snapToGrid w:val="0"/>
              <w:ind w:firstLine="0" w:firstLineChars="0"/>
              <w:jc w:val="center"/>
              <w:rPr>
                <w:sz w:val="24"/>
              </w:rPr>
            </w:pPr>
            <w:r>
              <w:rPr>
                <w:sz w:val="24"/>
              </w:rPr>
              <w:t>消防栓</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5个</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6</w:t>
            </w:r>
          </w:p>
        </w:tc>
        <w:tc>
          <w:tcPr>
            <w:tcW w:w="1124" w:type="pct"/>
            <w:vAlign w:val="center"/>
          </w:tcPr>
          <w:p>
            <w:pPr>
              <w:adjustRightInd w:val="0"/>
              <w:snapToGrid w:val="0"/>
              <w:ind w:firstLine="0" w:firstLineChars="0"/>
              <w:jc w:val="center"/>
              <w:rPr>
                <w:sz w:val="24"/>
              </w:rPr>
            </w:pPr>
            <w:r>
              <w:rPr>
                <w:sz w:val="24"/>
              </w:rPr>
              <w:t>报警器</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2个</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7</w:t>
            </w:r>
          </w:p>
        </w:tc>
        <w:tc>
          <w:tcPr>
            <w:tcW w:w="1124" w:type="pct"/>
            <w:vAlign w:val="center"/>
          </w:tcPr>
          <w:p>
            <w:pPr>
              <w:adjustRightInd w:val="0"/>
              <w:snapToGrid w:val="0"/>
              <w:ind w:firstLine="0" w:firstLineChars="0"/>
              <w:jc w:val="center"/>
              <w:rPr>
                <w:sz w:val="24"/>
              </w:rPr>
            </w:pPr>
            <w:r>
              <w:rPr>
                <w:sz w:val="24"/>
              </w:rPr>
              <w:t>纯碱</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7包</w:t>
            </w:r>
          </w:p>
        </w:tc>
        <w:tc>
          <w:tcPr>
            <w:tcW w:w="711" w:type="pct"/>
            <w:vMerge w:val="continue"/>
            <w:vAlign w:val="center"/>
          </w:tcPr>
          <w:p>
            <w:pPr>
              <w:adjustRightInd w:val="0"/>
              <w:snapToGrid w:val="0"/>
              <w:ind w:firstLine="0" w:firstLineChars="0"/>
              <w:jc w:val="center"/>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8</w:t>
            </w:r>
          </w:p>
        </w:tc>
        <w:tc>
          <w:tcPr>
            <w:tcW w:w="1124" w:type="pct"/>
            <w:vAlign w:val="center"/>
          </w:tcPr>
          <w:p>
            <w:pPr>
              <w:adjustRightInd w:val="0"/>
              <w:snapToGrid w:val="0"/>
              <w:ind w:firstLine="0" w:firstLineChars="0"/>
              <w:jc w:val="center"/>
              <w:rPr>
                <w:sz w:val="24"/>
              </w:rPr>
            </w:pPr>
            <w:r>
              <w:rPr>
                <w:sz w:val="24"/>
              </w:rPr>
              <w:t>防护服</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3套</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9</w:t>
            </w:r>
          </w:p>
        </w:tc>
        <w:tc>
          <w:tcPr>
            <w:tcW w:w="1124" w:type="pct"/>
            <w:vAlign w:val="center"/>
          </w:tcPr>
          <w:p>
            <w:pPr>
              <w:adjustRightInd w:val="0"/>
              <w:snapToGrid w:val="0"/>
              <w:ind w:firstLine="0" w:firstLineChars="0"/>
              <w:jc w:val="center"/>
              <w:rPr>
                <w:sz w:val="24"/>
              </w:rPr>
            </w:pPr>
            <w:r>
              <w:rPr>
                <w:sz w:val="24"/>
              </w:rPr>
              <w:t>防毒面具</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3套</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10</w:t>
            </w:r>
          </w:p>
        </w:tc>
        <w:tc>
          <w:tcPr>
            <w:tcW w:w="1124" w:type="pct"/>
            <w:vAlign w:val="center"/>
          </w:tcPr>
          <w:p>
            <w:pPr>
              <w:adjustRightInd w:val="0"/>
              <w:snapToGrid w:val="0"/>
              <w:ind w:firstLine="0" w:firstLineChars="0"/>
              <w:jc w:val="center"/>
              <w:rPr>
                <w:sz w:val="24"/>
              </w:rPr>
            </w:pPr>
            <w:r>
              <w:rPr>
                <w:sz w:val="24"/>
              </w:rPr>
              <w:t>空气呼吸器</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1套</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11</w:t>
            </w:r>
          </w:p>
        </w:tc>
        <w:tc>
          <w:tcPr>
            <w:tcW w:w="1124" w:type="pct"/>
            <w:vAlign w:val="center"/>
          </w:tcPr>
          <w:p>
            <w:pPr>
              <w:adjustRightInd w:val="0"/>
              <w:snapToGrid w:val="0"/>
              <w:ind w:firstLine="0" w:firstLineChars="0"/>
              <w:jc w:val="center"/>
              <w:rPr>
                <w:sz w:val="24"/>
              </w:rPr>
            </w:pPr>
            <w:r>
              <w:rPr>
                <w:sz w:val="24"/>
              </w:rPr>
              <w:t>安全帽</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3个</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12</w:t>
            </w:r>
          </w:p>
        </w:tc>
        <w:tc>
          <w:tcPr>
            <w:tcW w:w="1124" w:type="pct"/>
            <w:vAlign w:val="center"/>
          </w:tcPr>
          <w:p>
            <w:pPr>
              <w:adjustRightInd w:val="0"/>
              <w:snapToGrid w:val="0"/>
              <w:ind w:firstLine="0" w:firstLineChars="0"/>
              <w:jc w:val="center"/>
              <w:rPr>
                <w:sz w:val="24"/>
              </w:rPr>
            </w:pPr>
            <w:r>
              <w:rPr>
                <w:sz w:val="24"/>
              </w:rPr>
              <w:t>绝缘手套</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3双</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13</w:t>
            </w:r>
          </w:p>
        </w:tc>
        <w:tc>
          <w:tcPr>
            <w:tcW w:w="1124" w:type="pct"/>
            <w:vAlign w:val="center"/>
          </w:tcPr>
          <w:p>
            <w:pPr>
              <w:adjustRightInd w:val="0"/>
              <w:snapToGrid w:val="0"/>
              <w:ind w:firstLine="0" w:firstLineChars="0"/>
              <w:jc w:val="center"/>
              <w:rPr>
                <w:sz w:val="24"/>
              </w:rPr>
            </w:pPr>
            <w:r>
              <w:rPr>
                <w:sz w:val="24"/>
              </w:rPr>
              <w:t>救生衣</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4件</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14</w:t>
            </w:r>
          </w:p>
        </w:tc>
        <w:tc>
          <w:tcPr>
            <w:tcW w:w="1124" w:type="pct"/>
            <w:vAlign w:val="center"/>
          </w:tcPr>
          <w:p>
            <w:pPr>
              <w:adjustRightInd w:val="0"/>
              <w:snapToGrid w:val="0"/>
              <w:ind w:firstLine="0" w:firstLineChars="0"/>
              <w:jc w:val="center"/>
              <w:rPr>
                <w:sz w:val="24"/>
              </w:rPr>
            </w:pPr>
            <w:r>
              <w:rPr>
                <w:sz w:val="24"/>
              </w:rPr>
              <w:t>雨靴</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rFonts w:hint="eastAsia"/>
                <w:sz w:val="24"/>
              </w:rPr>
              <w:t>3</w:t>
            </w:r>
            <w:r>
              <w:rPr>
                <w:sz w:val="24"/>
              </w:rPr>
              <w:t>双</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86" w:type="pct"/>
            <w:vAlign w:val="center"/>
          </w:tcPr>
          <w:p>
            <w:pPr>
              <w:adjustRightInd w:val="0"/>
              <w:snapToGrid w:val="0"/>
              <w:ind w:firstLine="0" w:firstLineChars="0"/>
              <w:jc w:val="center"/>
              <w:rPr>
                <w:sz w:val="24"/>
              </w:rPr>
            </w:pPr>
            <w:r>
              <w:rPr>
                <w:sz w:val="24"/>
              </w:rPr>
              <w:t>15</w:t>
            </w:r>
          </w:p>
        </w:tc>
        <w:tc>
          <w:tcPr>
            <w:tcW w:w="1124" w:type="pct"/>
            <w:vAlign w:val="center"/>
          </w:tcPr>
          <w:p>
            <w:pPr>
              <w:adjustRightInd w:val="0"/>
              <w:snapToGrid w:val="0"/>
              <w:ind w:firstLine="0" w:firstLineChars="0"/>
              <w:jc w:val="center"/>
              <w:rPr>
                <w:sz w:val="24"/>
              </w:rPr>
            </w:pPr>
            <w:r>
              <w:rPr>
                <w:sz w:val="24"/>
              </w:rPr>
              <w:t>水桶</w:t>
            </w:r>
          </w:p>
        </w:tc>
        <w:tc>
          <w:tcPr>
            <w:tcW w:w="755" w:type="pct"/>
            <w:vAlign w:val="center"/>
          </w:tcPr>
          <w:p>
            <w:pPr>
              <w:adjustRightInd w:val="0"/>
              <w:snapToGrid w:val="0"/>
              <w:ind w:firstLine="0" w:firstLineChars="0"/>
              <w:jc w:val="center"/>
              <w:rPr>
                <w:sz w:val="24"/>
              </w:rPr>
            </w:pPr>
            <w:r>
              <w:rPr>
                <w:sz w:val="24"/>
              </w:rPr>
              <w:t>/</w:t>
            </w:r>
          </w:p>
        </w:tc>
        <w:tc>
          <w:tcPr>
            <w:tcW w:w="776" w:type="pct"/>
            <w:vAlign w:val="center"/>
          </w:tcPr>
          <w:p>
            <w:pPr>
              <w:adjustRightInd w:val="0"/>
              <w:snapToGrid w:val="0"/>
              <w:ind w:firstLine="0" w:firstLineChars="0"/>
              <w:jc w:val="center"/>
              <w:rPr>
                <w:sz w:val="24"/>
              </w:rPr>
            </w:pPr>
            <w:r>
              <w:rPr>
                <w:sz w:val="24"/>
              </w:rPr>
              <w:t>6个</w:t>
            </w:r>
          </w:p>
        </w:tc>
        <w:tc>
          <w:tcPr>
            <w:tcW w:w="711" w:type="pct"/>
            <w:vMerge w:val="continue"/>
            <w:vAlign w:val="center"/>
          </w:tcPr>
          <w:p>
            <w:pPr>
              <w:adjustRightInd w:val="0"/>
              <w:snapToGrid w:val="0"/>
              <w:ind w:firstLine="0" w:firstLineChars="0"/>
              <w:rPr>
                <w:sz w:val="24"/>
              </w:rPr>
            </w:pPr>
          </w:p>
        </w:tc>
        <w:tc>
          <w:tcPr>
            <w:tcW w:w="1147" w:type="pct"/>
            <w:vMerge w:val="continue"/>
            <w:vAlign w:val="center"/>
          </w:tcPr>
          <w:p>
            <w:pPr>
              <w:adjustRightInd w:val="0"/>
              <w:snapToGrid w:val="0"/>
              <w:ind w:firstLine="0" w:firstLineChars="0"/>
              <w:rPr>
                <w:sz w:val="24"/>
              </w:rPr>
            </w:pPr>
          </w:p>
        </w:tc>
      </w:tr>
    </w:tbl>
    <w:p>
      <w:pPr>
        <w:pStyle w:val="17"/>
        <w:ind w:firstLine="352"/>
      </w:pPr>
    </w:p>
    <w:p>
      <w:pPr>
        <w:pStyle w:val="17"/>
        <w:ind w:firstLine="352"/>
        <w:sectPr>
          <w:pgSz w:w="11907" w:h="16840"/>
          <w:pgMar w:top="2098" w:right="1474" w:bottom="1984" w:left="1587" w:header="851" w:footer="1474" w:gutter="0"/>
          <w:cols w:space="720" w:num="1"/>
          <w:titlePg/>
          <w:docGrid w:type="linesAndChars" w:linePitch="579" w:charSpace="-842"/>
        </w:sectPr>
      </w:pPr>
    </w:p>
    <w:p>
      <w:pPr>
        <w:pStyle w:val="4"/>
        <w:ind w:firstLine="0" w:firstLineChars="0"/>
        <w:jc w:val="center"/>
        <w:rPr>
          <w:sz w:val="28"/>
        </w:rPr>
      </w:pPr>
      <w:bookmarkStart w:id="333" w:name="_Toc126335888"/>
      <w:r>
        <w:rPr>
          <w:rFonts w:hint="eastAsia"/>
          <w:sz w:val="28"/>
        </w:rPr>
        <w:t>附表</w:t>
      </w:r>
      <w:r>
        <w:rPr>
          <w:sz w:val="28"/>
        </w:rPr>
        <w:t>5</w:t>
      </w:r>
      <w:r>
        <w:rPr>
          <w:rFonts w:hint="eastAsia"/>
          <w:sz w:val="28"/>
        </w:rPr>
        <w:t xml:space="preserve">  沙坪镇人民政府环境应急物资</w:t>
      </w:r>
      <w:bookmarkEnd w:id="333"/>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54"/>
        <w:gridCol w:w="1309"/>
        <w:gridCol w:w="788"/>
        <w:gridCol w:w="725"/>
        <w:gridCol w:w="1831"/>
        <w:gridCol w:w="1307"/>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spacing w:line="320" w:lineRule="exact"/>
              <w:ind w:firstLine="0" w:firstLineChars="0"/>
              <w:jc w:val="center"/>
              <w:rPr>
                <w:rFonts w:eastAsia="方正黑体_GBK"/>
                <w:sz w:val="24"/>
              </w:rPr>
            </w:pPr>
            <w:r>
              <w:rPr>
                <w:rFonts w:eastAsia="方正黑体_GBK"/>
                <w:sz w:val="24"/>
              </w:rPr>
              <w:t>序号</w:t>
            </w:r>
          </w:p>
        </w:tc>
        <w:tc>
          <w:tcPr>
            <w:tcW w:w="802" w:type="pct"/>
            <w:vAlign w:val="center"/>
          </w:tcPr>
          <w:p>
            <w:pPr>
              <w:spacing w:line="320" w:lineRule="exact"/>
              <w:ind w:firstLine="0" w:firstLineChars="0"/>
              <w:jc w:val="center"/>
              <w:rPr>
                <w:rFonts w:eastAsia="方正黑体_GBK"/>
                <w:sz w:val="24"/>
              </w:rPr>
            </w:pPr>
            <w:r>
              <w:rPr>
                <w:rFonts w:eastAsia="方正黑体_GBK"/>
                <w:sz w:val="24"/>
              </w:rPr>
              <w:t>物资名称</w:t>
            </w:r>
          </w:p>
        </w:tc>
        <w:tc>
          <w:tcPr>
            <w:tcW w:w="722" w:type="pct"/>
            <w:vAlign w:val="center"/>
          </w:tcPr>
          <w:p>
            <w:pPr>
              <w:spacing w:line="320" w:lineRule="exact"/>
              <w:ind w:firstLine="0" w:firstLineChars="0"/>
              <w:jc w:val="center"/>
              <w:rPr>
                <w:rFonts w:eastAsia="方正黑体_GBK"/>
                <w:sz w:val="24"/>
              </w:rPr>
            </w:pPr>
            <w:r>
              <w:rPr>
                <w:rFonts w:eastAsia="方正黑体_GBK"/>
                <w:sz w:val="24"/>
              </w:rPr>
              <w:t>数量</w:t>
            </w:r>
          </w:p>
        </w:tc>
        <w:tc>
          <w:tcPr>
            <w:tcW w:w="435" w:type="pct"/>
            <w:vAlign w:val="center"/>
          </w:tcPr>
          <w:p>
            <w:pPr>
              <w:spacing w:line="320" w:lineRule="exact"/>
              <w:ind w:firstLine="0" w:firstLineChars="0"/>
              <w:jc w:val="center"/>
              <w:rPr>
                <w:rFonts w:eastAsia="方正黑体_GBK"/>
                <w:sz w:val="24"/>
              </w:rPr>
            </w:pPr>
            <w:r>
              <w:rPr>
                <w:rFonts w:eastAsia="方正黑体_GBK"/>
                <w:sz w:val="24"/>
              </w:rPr>
              <w:t>备注</w:t>
            </w:r>
          </w:p>
        </w:tc>
        <w:tc>
          <w:tcPr>
            <w:tcW w:w="400" w:type="pct"/>
            <w:vAlign w:val="center"/>
          </w:tcPr>
          <w:p>
            <w:pPr>
              <w:spacing w:line="320" w:lineRule="exact"/>
              <w:ind w:firstLine="0" w:firstLineChars="0"/>
              <w:jc w:val="center"/>
              <w:rPr>
                <w:rFonts w:eastAsia="方正黑体_GBK"/>
                <w:sz w:val="24"/>
              </w:rPr>
            </w:pPr>
            <w:r>
              <w:rPr>
                <w:rFonts w:eastAsia="方正黑体_GBK"/>
                <w:sz w:val="24"/>
              </w:rPr>
              <w:t>序号</w:t>
            </w:r>
          </w:p>
        </w:tc>
        <w:tc>
          <w:tcPr>
            <w:tcW w:w="1010" w:type="pct"/>
            <w:vAlign w:val="center"/>
          </w:tcPr>
          <w:p>
            <w:pPr>
              <w:spacing w:line="320" w:lineRule="exact"/>
              <w:ind w:firstLine="0" w:firstLineChars="0"/>
              <w:jc w:val="center"/>
              <w:rPr>
                <w:rFonts w:eastAsia="方正黑体_GBK"/>
                <w:sz w:val="24"/>
              </w:rPr>
            </w:pPr>
            <w:r>
              <w:rPr>
                <w:rFonts w:eastAsia="方正黑体_GBK"/>
                <w:sz w:val="24"/>
              </w:rPr>
              <w:t>物资名称</w:t>
            </w:r>
          </w:p>
        </w:tc>
        <w:tc>
          <w:tcPr>
            <w:tcW w:w="721" w:type="pct"/>
            <w:vAlign w:val="center"/>
          </w:tcPr>
          <w:p>
            <w:pPr>
              <w:spacing w:line="320" w:lineRule="exact"/>
              <w:ind w:firstLine="0" w:firstLineChars="0"/>
              <w:jc w:val="center"/>
              <w:rPr>
                <w:rFonts w:eastAsia="方正黑体_GBK"/>
                <w:sz w:val="24"/>
              </w:rPr>
            </w:pPr>
            <w:r>
              <w:rPr>
                <w:rFonts w:eastAsia="方正黑体_GBK"/>
                <w:sz w:val="24"/>
              </w:rPr>
              <w:t>数量</w:t>
            </w:r>
          </w:p>
        </w:tc>
        <w:tc>
          <w:tcPr>
            <w:tcW w:w="431" w:type="pct"/>
            <w:vAlign w:val="center"/>
          </w:tcPr>
          <w:p>
            <w:pPr>
              <w:spacing w:line="320" w:lineRule="exact"/>
              <w:ind w:firstLine="0" w:firstLineChars="0"/>
              <w:jc w:val="center"/>
              <w:rPr>
                <w:rFonts w:eastAsia="方正黑体_GBK"/>
                <w:sz w:val="24"/>
              </w:rPr>
            </w:pPr>
            <w:r>
              <w:rPr>
                <w:rFonts w:eastAsia="方正黑体_GBK"/>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救生衣</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24</w:t>
            </w:r>
            <w:r>
              <w:rPr>
                <w:rFonts w:hint="eastAsia"/>
                <w:color w:val="000000"/>
                <w:kern w:val="0"/>
                <w:sz w:val="24"/>
              </w:rPr>
              <w:t>（</w:t>
            </w:r>
            <w:r>
              <w:rPr>
                <w:color w:val="000000"/>
                <w:kern w:val="0"/>
                <w:sz w:val="24"/>
              </w:rPr>
              <w:t>件</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消防头盔</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24</w:t>
            </w:r>
            <w:r>
              <w:rPr>
                <w:rFonts w:hint="eastAsia"/>
                <w:color w:val="000000"/>
                <w:kern w:val="0"/>
                <w:sz w:val="24"/>
              </w:rPr>
              <w:t>（</w:t>
            </w:r>
            <w:r>
              <w:rPr>
                <w:color w:val="000000"/>
                <w:kern w:val="0"/>
                <w:sz w:val="24"/>
              </w:rPr>
              <w:t>个</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救生圈</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10</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4</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防爆头盔</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78</w:t>
            </w:r>
            <w:r>
              <w:rPr>
                <w:rFonts w:hint="eastAsia"/>
                <w:color w:val="000000"/>
                <w:kern w:val="0"/>
                <w:sz w:val="24"/>
              </w:rPr>
              <w:t>（</w:t>
            </w:r>
            <w:r>
              <w:rPr>
                <w:color w:val="000000"/>
                <w:kern w:val="0"/>
                <w:sz w:val="24"/>
              </w:rPr>
              <w:t>个</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5</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警棍</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26</w:t>
            </w:r>
            <w:r>
              <w:rPr>
                <w:rFonts w:hint="eastAsia"/>
                <w:color w:val="000000"/>
                <w:kern w:val="0"/>
                <w:sz w:val="24"/>
              </w:rPr>
              <w:t>（</w:t>
            </w:r>
            <w:r>
              <w:rPr>
                <w:color w:val="000000"/>
                <w:kern w:val="0"/>
                <w:sz w:val="24"/>
              </w:rPr>
              <w:t>根</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6</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防毒面具</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78</w:t>
            </w:r>
            <w:r>
              <w:rPr>
                <w:rFonts w:hint="eastAsia"/>
                <w:color w:val="000000"/>
                <w:kern w:val="0"/>
                <w:sz w:val="24"/>
              </w:rPr>
              <w:t>（</w:t>
            </w:r>
            <w:r>
              <w:rPr>
                <w:color w:val="000000"/>
                <w:kern w:val="0"/>
                <w:sz w:val="24"/>
              </w:rPr>
              <w:t>个</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7</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应急灯</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29</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8</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军用夹板</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8块</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9</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十字镐</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12</w:t>
            </w:r>
            <w:r>
              <w:rPr>
                <w:rFonts w:hint="eastAsia"/>
                <w:color w:val="000000"/>
                <w:kern w:val="0"/>
                <w:sz w:val="24"/>
              </w:rPr>
              <w:t>（</w:t>
            </w:r>
            <w:r>
              <w:rPr>
                <w:color w:val="000000"/>
                <w:kern w:val="0"/>
                <w:sz w:val="24"/>
              </w:rPr>
              <w:t>把</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10</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军用三角巾</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10（条</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11</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圆锹</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15</w:t>
            </w:r>
            <w:r>
              <w:rPr>
                <w:rFonts w:hint="eastAsia"/>
                <w:color w:val="000000"/>
                <w:kern w:val="0"/>
                <w:sz w:val="24"/>
              </w:rPr>
              <w:t>（</w:t>
            </w:r>
            <w:r>
              <w:rPr>
                <w:color w:val="000000"/>
                <w:kern w:val="0"/>
                <w:sz w:val="24"/>
              </w:rPr>
              <w:t>把</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12</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消防服</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15（套</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13</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作战靴</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8</w:t>
            </w:r>
            <w:r>
              <w:rPr>
                <w:rFonts w:hint="eastAsia"/>
                <w:color w:val="000000"/>
                <w:kern w:val="0"/>
                <w:sz w:val="24"/>
              </w:rPr>
              <w:t>（</w:t>
            </w:r>
            <w:r>
              <w:rPr>
                <w:color w:val="000000"/>
                <w:kern w:val="0"/>
                <w:sz w:val="24"/>
              </w:rPr>
              <w:t>把</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14</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消防腰带</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8</w:t>
            </w:r>
            <w:r>
              <w:rPr>
                <w:rFonts w:hint="eastAsia"/>
                <w:color w:val="000000"/>
                <w:kern w:val="0"/>
                <w:sz w:val="24"/>
              </w:rPr>
              <w:t>（</w:t>
            </w:r>
            <w:r>
              <w:rPr>
                <w:color w:val="000000"/>
                <w:kern w:val="0"/>
                <w:sz w:val="24"/>
              </w:rPr>
              <w:t>根</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15</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作训鞋</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8</w:t>
            </w:r>
            <w:r>
              <w:rPr>
                <w:rFonts w:hint="eastAsia"/>
                <w:color w:val="000000"/>
                <w:kern w:val="0"/>
                <w:sz w:val="24"/>
              </w:rPr>
              <w:t>（</w:t>
            </w:r>
            <w:r>
              <w:rPr>
                <w:color w:val="000000"/>
                <w:kern w:val="0"/>
                <w:sz w:val="24"/>
              </w:rPr>
              <w:t>把</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16</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消防手（套</w:t>
            </w:r>
            <w:r>
              <w:rPr>
                <w:rFonts w:hint="eastAsia"/>
                <w:color w:val="000000"/>
                <w:kern w:val="0"/>
                <w:sz w:val="24"/>
              </w:rPr>
              <w:t>）</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15</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17</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雨鞋</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26</w:t>
            </w:r>
            <w:r>
              <w:rPr>
                <w:rFonts w:hint="eastAsia"/>
                <w:color w:val="000000"/>
                <w:kern w:val="0"/>
                <w:sz w:val="24"/>
              </w:rPr>
              <w:t>（</w:t>
            </w:r>
            <w:r>
              <w:rPr>
                <w:color w:val="000000"/>
                <w:kern w:val="0"/>
                <w:sz w:val="24"/>
              </w:rPr>
              <w:t>把</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18</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防刺服</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10</w:t>
            </w:r>
            <w:r>
              <w:rPr>
                <w:rFonts w:hint="eastAsia"/>
                <w:color w:val="000000"/>
                <w:kern w:val="0"/>
                <w:sz w:val="24"/>
              </w:rPr>
              <w:t>（</w:t>
            </w:r>
            <w:r>
              <w:rPr>
                <w:color w:val="000000"/>
                <w:kern w:val="0"/>
                <w:sz w:val="24"/>
              </w:rPr>
              <w:t>件</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19</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对讲机</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4</w:t>
            </w:r>
            <w:r>
              <w:rPr>
                <w:rFonts w:hint="eastAsia"/>
                <w:color w:val="000000"/>
                <w:kern w:val="0"/>
                <w:sz w:val="24"/>
              </w:rPr>
              <w:t>（</w:t>
            </w:r>
            <w:r>
              <w:rPr>
                <w:color w:val="000000"/>
                <w:kern w:val="0"/>
                <w:sz w:val="24"/>
              </w:rPr>
              <w:t>部</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20</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油锯</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5</w:t>
            </w:r>
            <w:r>
              <w:rPr>
                <w:rFonts w:hint="eastAsia"/>
                <w:color w:val="000000"/>
                <w:kern w:val="0"/>
                <w:sz w:val="24"/>
              </w:rPr>
              <w:t>（</w:t>
            </w:r>
            <w:r>
              <w:rPr>
                <w:color w:val="000000"/>
                <w:kern w:val="0"/>
                <w:sz w:val="24"/>
              </w:rPr>
              <w:t>台</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21</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扩音器</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3</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22</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风力</w:t>
            </w:r>
            <w:r>
              <w:rPr>
                <w:rFonts w:hint="eastAsia"/>
                <w:color w:val="000000"/>
                <w:kern w:val="0"/>
                <w:sz w:val="24"/>
              </w:rPr>
              <w:t>灭火器</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4</w:t>
            </w:r>
            <w:r>
              <w:rPr>
                <w:rFonts w:hint="eastAsia"/>
                <w:color w:val="000000"/>
                <w:kern w:val="0"/>
                <w:sz w:val="24"/>
              </w:rPr>
              <w:t>（</w:t>
            </w:r>
            <w:r>
              <w:rPr>
                <w:color w:val="000000"/>
                <w:kern w:val="0"/>
                <w:sz w:val="24"/>
              </w:rPr>
              <w:t>台</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23</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手电筒</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77</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24</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小手锯</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9</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25</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发电机</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w:t>
            </w:r>
            <w:r>
              <w:rPr>
                <w:rFonts w:hint="eastAsia"/>
                <w:color w:val="000000"/>
                <w:kern w:val="0"/>
                <w:sz w:val="24"/>
              </w:rPr>
              <w:t>（</w:t>
            </w:r>
            <w:r>
              <w:rPr>
                <w:color w:val="000000"/>
                <w:kern w:val="0"/>
                <w:sz w:val="24"/>
              </w:rPr>
              <w:t>台</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26</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工兵锹</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17</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27</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灭火器</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32</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28</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砍刀</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12</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29</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荒漠迷彩服</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15（套</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30</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铁扫</w:t>
            </w:r>
            <w:r>
              <w:rPr>
                <w:rFonts w:hint="eastAsia"/>
                <w:color w:val="000000"/>
                <w:kern w:val="0"/>
                <w:sz w:val="24"/>
              </w:rPr>
              <w:t>（</w:t>
            </w:r>
            <w:r>
              <w:rPr>
                <w:color w:val="000000"/>
                <w:kern w:val="0"/>
                <w:sz w:val="24"/>
              </w:rPr>
              <w:t>把</w:t>
            </w:r>
            <w:r>
              <w:rPr>
                <w:rFonts w:hint="eastAsia"/>
                <w:color w:val="000000"/>
                <w:kern w:val="0"/>
                <w:sz w:val="24"/>
              </w:rPr>
              <w:t>）</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50</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31</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林地迷彩服</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10（套</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32</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铁耙子</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50</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33</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老式挎包</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11</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34</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胶皮扫</w:t>
            </w:r>
            <w:r>
              <w:rPr>
                <w:rFonts w:hint="eastAsia"/>
                <w:color w:val="000000"/>
                <w:kern w:val="0"/>
                <w:sz w:val="24"/>
              </w:rPr>
              <w:t>（</w:t>
            </w:r>
            <w:r>
              <w:rPr>
                <w:color w:val="000000"/>
                <w:kern w:val="0"/>
                <w:sz w:val="24"/>
              </w:rPr>
              <w:t>把</w:t>
            </w:r>
            <w:r>
              <w:rPr>
                <w:rFonts w:hint="eastAsia"/>
                <w:color w:val="000000"/>
                <w:kern w:val="0"/>
                <w:sz w:val="24"/>
              </w:rPr>
              <w:t>）</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50</w:t>
            </w:r>
            <w:r>
              <w:rPr>
                <w:rFonts w:hint="eastAsia"/>
                <w:color w:val="000000"/>
                <w:kern w:val="0"/>
                <w:sz w:val="24"/>
              </w:rPr>
              <w:t>（</w:t>
            </w:r>
            <w:r>
              <w:rPr>
                <w:color w:val="000000"/>
                <w:kern w:val="0"/>
                <w:sz w:val="24"/>
              </w:rPr>
              <w:t>把</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35</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新式挎包</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28（套</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36</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班用帐篷</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1（顶</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37</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军用毛巾</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10（条</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38</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油桶</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w:t>
            </w:r>
            <w:r>
              <w:rPr>
                <w:rFonts w:hint="eastAsia"/>
                <w:color w:val="000000"/>
                <w:kern w:val="0"/>
                <w:sz w:val="24"/>
              </w:rPr>
              <w:t>（</w:t>
            </w:r>
            <w:r>
              <w:rPr>
                <w:color w:val="000000"/>
                <w:kern w:val="0"/>
                <w:sz w:val="24"/>
              </w:rPr>
              <w:t>个</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39</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感应扫描仪</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5</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40</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照明灯</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w:t>
            </w:r>
            <w:r>
              <w:rPr>
                <w:rFonts w:hint="eastAsia"/>
                <w:color w:val="000000"/>
                <w:kern w:val="0"/>
                <w:sz w:val="24"/>
              </w:rPr>
              <w:t>（</w:t>
            </w:r>
            <w:r>
              <w:rPr>
                <w:color w:val="000000"/>
                <w:kern w:val="0"/>
                <w:sz w:val="24"/>
              </w:rPr>
              <w:t>台</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41</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望远镜</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1</w:t>
            </w:r>
            <w:r>
              <w:rPr>
                <w:rFonts w:hint="eastAsia"/>
                <w:color w:val="000000"/>
                <w:kern w:val="0"/>
                <w:sz w:val="24"/>
              </w:rPr>
              <w:t>（</w:t>
            </w:r>
            <w:r>
              <w:rPr>
                <w:color w:val="000000"/>
                <w:kern w:val="0"/>
                <w:sz w:val="24"/>
              </w:rPr>
              <w:t>个</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center"/>
          </w:tcPr>
          <w:p>
            <w:pPr>
              <w:widowControl/>
              <w:spacing w:line="320" w:lineRule="exact"/>
              <w:ind w:firstLine="0" w:firstLineChars="0"/>
              <w:jc w:val="center"/>
              <w:textAlignment w:val="center"/>
              <w:rPr>
                <w:color w:val="000000"/>
                <w:sz w:val="24"/>
              </w:rPr>
            </w:pPr>
            <w:r>
              <w:rPr>
                <w:rFonts w:hint="eastAsia"/>
                <w:color w:val="000000"/>
                <w:sz w:val="24"/>
              </w:rPr>
              <w:t>42</w:t>
            </w:r>
          </w:p>
        </w:tc>
        <w:tc>
          <w:tcPr>
            <w:tcW w:w="1010" w:type="pct"/>
            <w:vAlign w:val="center"/>
          </w:tcPr>
          <w:p>
            <w:pPr>
              <w:widowControl/>
              <w:spacing w:line="320" w:lineRule="exact"/>
              <w:ind w:firstLine="0" w:firstLineChars="0"/>
              <w:jc w:val="center"/>
              <w:textAlignment w:val="center"/>
              <w:rPr>
                <w:color w:val="000000"/>
                <w:sz w:val="24"/>
              </w:rPr>
            </w:pPr>
            <w:r>
              <w:rPr>
                <w:color w:val="000000"/>
                <w:kern w:val="0"/>
                <w:sz w:val="24"/>
              </w:rPr>
              <w:t>喷雾器</w:t>
            </w:r>
          </w:p>
        </w:tc>
        <w:tc>
          <w:tcPr>
            <w:tcW w:w="721" w:type="pct"/>
            <w:vAlign w:val="center"/>
          </w:tcPr>
          <w:p>
            <w:pPr>
              <w:widowControl/>
              <w:spacing w:line="320" w:lineRule="exact"/>
              <w:ind w:firstLine="0" w:firstLineChars="0"/>
              <w:jc w:val="center"/>
              <w:textAlignment w:val="center"/>
              <w:rPr>
                <w:color w:val="000000"/>
                <w:sz w:val="24"/>
              </w:rPr>
            </w:pPr>
            <w:r>
              <w:rPr>
                <w:color w:val="000000"/>
                <w:kern w:val="0"/>
                <w:sz w:val="24"/>
              </w:rPr>
              <w:t>15</w:t>
            </w:r>
            <w:r>
              <w:rPr>
                <w:rFonts w:hint="eastAsia"/>
                <w:color w:val="000000"/>
                <w:kern w:val="0"/>
                <w:sz w:val="24"/>
              </w:rPr>
              <w:t>（</w:t>
            </w:r>
            <w:r>
              <w:rPr>
                <w:color w:val="000000"/>
                <w:kern w:val="0"/>
                <w:sz w:val="24"/>
              </w:rPr>
              <w:t>个</w:t>
            </w:r>
            <w:r>
              <w:rPr>
                <w:rFonts w:hint="eastAsia"/>
                <w:color w:val="000000"/>
                <w:kern w:val="0"/>
                <w:sz w:val="24"/>
              </w:rPr>
              <w:t>）</w:t>
            </w:r>
          </w:p>
        </w:tc>
        <w:tc>
          <w:tcPr>
            <w:tcW w:w="431" w:type="pct"/>
            <w:vAlign w:val="center"/>
          </w:tcPr>
          <w:p>
            <w:pPr>
              <w:spacing w:line="320" w:lineRule="exact"/>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widowControl/>
              <w:spacing w:line="320" w:lineRule="exact"/>
              <w:ind w:firstLine="0" w:firstLineChars="0"/>
              <w:jc w:val="center"/>
              <w:textAlignment w:val="center"/>
              <w:rPr>
                <w:color w:val="000000"/>
                <w:sz w:val="24"/>
              </w:rPr>
            </w:pPr>
            <w:r>
              <w:rPr>
                <w:rFonts w:hint="eastAsia"/>
                <w:color w:val="000000"/>
                <w:sz w:val="24"/>
              </w:rPr>
              <w:t>43</w:t>
            </w:r>
          </w:p>
        </w:tc>
        <w:tc>
          <w:tcPr>
            <w:tcW w:w="802" w:type="pct"/>
            <w:vAlign w:val="center"/>
          </w:tcPr>
          <w:p>
            <w:pPr>
              <w:widowControl/>
              <w:spacing w:line="320" w:lineRule="exact"/>
              <w:ind w:firstLine="0" w:firstLineChars="0"/>
              <w:jc w:val="center"/>
              <w:textAlignment w:val="center"/>
              <w:rPr>
                <w:color w:val="000000"/>
                <w:sz w:val="24"/>
              </w:rPr>
            </w:pPr>
            <w:r>
              <w:rPr>
                <w:color w:val="000000"/>
                <w:kern w:val="0"/>
                <w:sz w:val="24"/>
              </w:rPr>
              <w:t>背囊</w:t>
            </w:r>
          </w:p>
        </w:tc>
        <w:tc>
          <w:tcPr>
            <w:tcW w:w="722" w:type="pct"/>
            <w:vAlign w:val="center"/>
          </w:tcPr>
          <w:p>
            <w:pPr>
              <w:widowControl/>
              <w:spacing w:line="320" w:lineRule="exact"/>
              <w:ind w:firstLine="0" w:firstLineChars="0"/>
              <w:jc w:val="center"/>
              <w:textAlignment w:val="center"/>
              <w:rPr>
                <w:color w:val="000000"/>
                <w:sz w:val="24"/>
              </w:rPr>
            </w:pPr>
            <w:r>
              <w:rPr>
                <w:color w:val="000000"/>
                <w:kern w:val="0"/>
                <w:sz w:val="24"/>
              </w:rPr>
              <w:t>30（套</w:t>
            </w:r>
            <w:r>
              <w:rPr>
                <w:rFonts w:hint="eastAsia"/>
                <w:color w:val="000000"/>
                <w:kern w:val="0"/>
                <w:sz w:val="24"/>
              </w:rPr>
              <w:t>）</w:t>
            </w:r>
          </w:p>
        </w:tc>
        <w:tc>
          <w:tcPr>
            <w:tcW w:w="435" w:type="pct"/>
          </w:tcPr>
          <w:p>
            <w:pPr>
              <w:spacing w:line="320" w:lineRule="exact"/>
              <w:ind w:firstLine="0" w:firstLineChars="0"/>
              <w:jc w:val="center"/>
              <w:rPr>
                <w:sz w:val="24"/>
              </w:rPr>
            </w:pPr>
          </w:p>
        </w:tc>
        <w:tc>
          <w:tcPr>
            <w:tcW w:w="400" w:type="pct"/>
            <w:vAlign w:val="bottom"/>
          </w:tcPr>
          <w:p>
            <w:pPr>
              <w:widowControl/>
              <w:spacing w:line="320" w:lineRule="exact"/>
              <w:ind w:firstLine="0" w:firstLineChars="0"/>
              <w:jc w:val="center"/>
              <w:textAlignment w:val="center"/>
              <w:rPr>
                <w:color w:val="000000"/>
                <w:sz w:val="24"/>
              </w:rPr>
            </w:pPr>
          </w:p>
        </w:tc>
        <w:tc>
          <w:tcPr>
            <w:tcW w:w="1010" w:type="pct"/>
            <w:vAlign w:val="center"/>
          </w:tcPr>
          <w:p>
            <w:pPr>
              <w:widowControl/>
              <w:spacing w:line="320" w:lineRule="exact"/>
              <w:ind w:firstLine="0" w:firstLineChars="0"/>
              <w:jc w:val="center"/>
              <w:textAlignment w:val="center"/>
              <w:rPr>
                <w:color w:val="000000"/>
                <w:sz w:val="24"/>
              </w:rPr>
            </w:pPr>
          </w:p>
        </w:tc>
        <w:tc>
          <w:tcPr>
            <w:tcW w:w="721" w:type="pct"/>
            <w:vAlign w:val="center"/>
          </w:tcPr>
          <w:p>
            <w:pPr>
              <w:widowControl/>
              <w:spacing w:line="320" w:lineRule="exact"/>
              <w:ind w:firstLine="0" w:firstLineChars="0"/>
              <w:jc w:val="center"/>
              <w:textAlignment w:val="center"/>
              <w:rPr>
                <w:color w:val="000000"/>
                <w:sz w:val="24"/>
              </w:rPr>
            </w:pPr>
          </w:p>
        </w:tc>
        <w:tc>
          <w:tcPr>
            <w:tcW w:w="431" w:type="pct"/>
            <w:vAlign w:val="center"/>
          </w:tcPr>
          <w:p>
            <w:pPr>
              <w:spacing w:line="320" w:lineRule="exact"/>
              <w:ind w:firstLine="0" w:firstLineChars="0"/>
              <w:jc w:val="center"/>
              <w:rPr>
                <w:sz w:val="24"/>
              </w:rPr>
            </w:pPr>
          </w:p>
        </w:tc>
      </w:tr>
    </w:tbl>
    <w:p>
      <w:pPr>
        <w:ind w:firstLine="632"/>
      </w:pPr>
      <w:r>
        <w:br w:type="page"/>
      </w:r>
    </w:p>
    <w:p>
      <w:pPr>
        <w:pStyle w:val="4"/>
        <w:ind w:firstLine="0" w:firstLineChars="0"/>
        <w:jc w:val="center"/>
        <w:rPr>
          <w:sz w:val="28"/>
        </w:rPr>
      </w:pPr>
      <w:bookmarkStart w:id="334" w:name="_Toc126335889"/>
      <w:r>
        <w:rPr>
          <w:rFonts w:hint="eastAsia"/>
          <w:sz w:val="28"/>
        </w:rPr>
        <w:t>附表6</w:t>
      </w:r>
      <w:r>
        <w:rPr>
          <w:sz w:val="28"/>
        </w:rPr>
        <w:t xml:space="preserve">  </w:t>
      </w:r>
      <w:r>
        <w:rPr>
          <w:rFonts w:hint="eastAsia"/>
          <w:sz w:val="28"/>
        </w:rPr>
        <w:t>红旗水库水源地监测断面水质超标环境事件应急卡</w:t>
      </w:r>
      <w:bookmarkEnd w:id="334"/>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665"/>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Merge w:val="restart"/>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风险特征</w:t>
            </w:r>
          </w:p>
        </w:tc>
        <w:tc>
          <w:tcPr>
            <w:tcW w:w="1665"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事故地点</w:t>
            </w:r>
          </w:p>
        </w:tc>
        <w:tc>
          <w:tcPr>
            <w:tcW w:w="6005" w:type="dxa"/>
            <w:vAlign w:val="center"/>
          </w:tcPr>
          <w:p>
            <w:pPr>
              <w:adjustRightInd w:val="0"/>
              <w:snapToGrid w:val="0"/>
              <w:ind w:firstLine="0" w:firstLineChars="0"/>
              <w:jc w:val="left"/>
              <w:rPr>
                <w:sz w:val="24"/>
              </w:rPr>
            </w:pPr>
            <w:r>
              <w:rPr>
                <w:rFonts w:hint="eastAsia"/>
                <w:sz w:val="24"/>
              </w:rPr>
              <w:t>红旗水库</w:t>
            </w:r>
            <w:r>
              <w:rPr>
                <w:sz w:val="24"/>
              </w:rPr>
              <w:t>水源地</w:t>
            </w:r>
            <w:r>
              <w:rPr>
                <w:rFonts w:hint="eastAsia"/>
                <w:sz w:val="24"/>
              </w:rPr>
              <w:t>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Merge w:val="continue"/>
            <w:vAlign w:val="center"/>
          </w:tcPr>
          <w:p>
            <w:pPr>
              <w:adjustRightInd w:val="0"/>
              <w:snapToGrid w:val="0"/>
              <w:ind w:firstLine="0" w:firstLineChars="0"/>
              <w:jc w:val="center"/>
              <w:rPr>
                <w:rFonts w:ascii="方正黑体_GBK" w:hAnsi="方正黑体_GBK" w:eastAsia="方正黑体_GBK" w:cs="方正黑体_GBK"/>
                <w:sz w:val="24"/>
              </w:rPr>
            </w:pPr>
          </w:p>
        </w:tc>
        <w:tc>
          <w:tcPr>
            <w:tcW w:w="1665"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风险物质</w:t>
            </w:r>
          </w:p>
        </w:tc>
        <w:tc>
          <w:tcPr>
            <w:tcW w:w="6005" w:type="dxa"/>
            <w:vAlign w:val="center"/>
          </w:tcPr>
          <w:p>
            <w:pPr>
              <w:adjustRightInd w:val="0"/>
              <w:snapToGrid w:val="0"/>
              <w:ind w:firstLine="0" w:firstLineChars="0"/>
              <w:jc w:val="left"/>
              <w:rPr>
                <w:sz w:val="24"/>
              </w:rPr>
            </w:pPr>
            <w:r>
              <w:rPr>
                <w:sz w:val="24"/>
              </w:rPr>
              <w:t>COD、NH</w:t>
            </w:r>
            <w:r>
              <w:rPr>
                <w:sz w:val="24"/>
                <w:vertAlign w:val="subscript"/>
              </w:rPr>
              <w:t>3</w:t>
            </w:r>
            <w:r>
              <w:rPr>
                <w:sz w:val="24"/>
              </w:rPr>
              <w:t>-N、石油类、重金属超标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Merge w:val="continue"/>
            <w:vAlign w:val="center"/>
          </w:tcPr>
          <w:p>
            <w:pPr>
              <w:adjustRightInd w:val="0"/>
              <w:snapToGrid w:val="0"/>
              <w:ind w:firstLine="0" w:firstLineChars="0"/>
              <w:jc w:val="center"/>
              <w:rPr>
                <w:rFonts w:ascii="方正黑体_GBK" w:hAnsi="方正黑体_GBK" w:eastAsia="方正黑体_GBK" w:cs="方正黑体_GBK"/>
                <w:sz w:val="24"/>
              </w:rPr>
            </w:pPr>
          </w:p>
        </w:tc>
        <w:tc>
          <w:tcPr>
            <w:tcW w:w="1665"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事故说明</w:t>
            </w:r>
          </w:p>
        </w:tc>
        <w:tc>
          <w:tcPr>
            <w:tcW w:w="6005" w:type="dxa"/>
            <w:vAlign w:val="center"/>
          </w:tcPr>
          <w:p>
            <w:pPr>
              <w:adjustRightInd w:val="0"/>
              <w:snapToGrid w:val="0"/>
              <w:ind w:firstLine="0" w:firstLineChars="0"/>
              <w:jc w:val="left"/>
              <w:rPr>
                <w:sz w:val="24"/>
              </w:rPr>
            </w:pPr>
            <w:r>
              <w:rPr>
                <w:sz w:val="24"/>
              </w:rPr>
              <w:t>监测断面水质监测项目中，任意1个及以上项目超标3倍及以上的现象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应急程序</w:t>
            </w:r>
          </w:p>
        </w:tc>
        <w:tc>
          <w:tcPr>
            <w:tcW w:w="7670" w:type="dxa"/>
            <w:gridSpan w:val="2"/>
            <w:vAlign w:val="center"/>
          </w:tcPr>
          <w:p>
            <w:pPr>
              <w:adjustRightInd w:val="0"/>
              <w:snapToGrid w:val="0"/>
              <w:ind w:firstLine="0" w:firstLineChars="0"/>
              <w:jc w:val="left"/>
              <w:rPr>
                <w:sz w:val="24"/>
              </w:rPr>
            </w:pPr>
            <w:r>
              <w:rPr>
                <w:sz w:val="24"/>
              </w:rPr>
              <w:t>发现人立即报告</w:t>
            </w:r>
            <w:r>
              <w:rPr>
                <w:rFonts w:hint="eastAsia"/>
                <w:sz w:val="24"/>
              </w:rPr>
              <w:t>生态环境局</w:t>
            </w:r>
            <w:r>
              <w:rPr>
                <w:sz w:val="24"/>
              </w:rPr>
              <w:t>，立即赶赴现场指导事故先期处置工作，并判断事故等级情况；再根据事故的大小及发展态势向</w:t>
            </w:r>
            <w:r>
              <w:rPr>
                <w:rFonts w:hint="eastAsia"/>
                <w:sz w:val="24"/>
              </w:rPr>
              <w:t>红旗水库</w:t>
            </w:r>
            <w:r>
              <w:rPr>
                <w:sz w:val="24"/>
              </w:rPr>
              <w:t>水源地突发环境事件应急指挥部报告，根据事态影响范围和程度，启动相应的应急程序</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Merge w:val="restart"/>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应急报告</w:t>
            </w:r>
          </w:p>
        </w:tc>
        <w:tc>
          <w:tcPr>
            <w:tcW w:w="1665" w:type="dxa"/>
            <w:vAlign w:val="center"/>
          </w:tcPr>
          <w:p>
            <w:pPr>
              <w:adjustRightInd w:val="0"/>
              <w:snapToGrid w:val="0"/>
              <w:ind w:firstLine="0" w:firstLineChars="0"/>
              <w:jc w:val="center"/>
              <w:rPr>
                <w:sz w:val="24"/>
              </w:rPr>
            </w:pPr>
            <w:r>
              <w:rPr>
                <w:sz w:val="24"/>
              </w:rPr>
              <w:t>报告内容</w:t>
            </w:r>
          </w:p>
        </w:tc>
        <w:tc>
          <w:tcPr>
            <w:tcW w:w="6005" w:type="dxa"/>
            <w:vAlign w:val="center"/>
          </w:tcPr>
          <w:p>
            <w:pPr>
              <w:adjustRightInd w:val="0"/>
              <w:snapToGrid w:val="0"/>
              <w:ind w:firstLine="0" w:firstLineChars="0"/>
              <w:jc w:val="left"/>
              <w:rPr>
                <w:sz w:val="24"/>
              </w:rPr>
            </w:pPr>
            <w:r>
              <w:rPr>
                <w:sz w:val="24"/>
              </w:rPr>
              <w:t>超标因子种类、个数、超标情况、超标原因等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Merge w:val="continue"/>
            <w:vAlign w:val="center"/>
          </w:tcPr>
          <w:p>
            <w:pPr>
              <w:adjustRightInd w:val="0"/>
              <w:snapToGrid w:val="0"/>
              <w:ind w:firstLine="0" w:firstLineChars="0"/>
              <w:jc w:val="center"/>
              <w:rPr>
                <w:rFonts w:ascii="方正黑体_GBK" w:hAnsi="方正黑体_GBK" w:eastAsia="方正黑体_GBK" w:cs="方正黑体_GBK"/>
                <w:sz w:val="24"/>
              </w:rPr>
            </w:pPr>
          </w:p>
        </w:tc>
        <w:tc>
          <w:tcPr>
            <w:tcW w:w="1665" w:type="dxa"/>
            <w:vAlign w:val="center"/>
          </w:tcPr>
          <w:p>
            <w:pPr>
              <w:adjustRightInd w:val="0"/>
              <w:snapToGrid w:val="0"/>
              <w:ind w:firstLine="0" w:firstLineChars="0"/>
              <w:jc w:val="center"/>
              <w:rPr>
                <w:sz w:val="24"/>
              </w:rPr>
            </w:pPr>
            <w:r>
              <w:rPr>
                <w:rFonts w:hint="eastAsia"/>
                <w:sz w:val="24"/>
              </w:rPr>
              <w:t>红旗水库</w:t>
            </w:r>
            <w:r>
              <w:rPr>
                <w:sz w:val="24"/>
              </w:rPr>
              <w:t>水源地应急指挥部</w:t>
            </w:r>
          </w:p>
        </w:tc>
        <w:tc>
          <w:tcPr>
            <w:tcW w:w="6005" w:type="dxa"/>
            <w:vAlign w:val="center"/>
          </w:tcPr>
          <w:p>
            <w:pPr>
              <w:adjustRightInd w:val="0"/>
              <w:snapToGrid w:val="0"/>
              <w:ind w:firstLine="0" w:firstLineChars="0"/>
              <w:jc w:val="left"/>
              <w:rPr>
                <w:sz w:val="24"/>
              </w:rPr>
            </w:pPr>
            <w:r>
              <w:rPr>
                <w:sz w:val="24"/>
              </w:rPr>
              <w:t>023-74575118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应急责任单位</w:t>
            </w:r>
          </w:p>
        </w:tc>
        <w:tc>
          <w:tcPr>
            <w:tcW w:w="7670" w:type="dxa"/>
            <w:gridSpan w:val="2"/>
            <w:vAlign w:val="center"/>
          </w:tcPr>
          <w:p>
            <w:pPr>
              <w:adjustRightInd w:val="0"/>
              <w:snapToGrid w:val="0"/>
              <w:ind w:firstLine="0" w:firstLineChars="0"/>
              <w:jc w:val="left"/>
              <w:rPr>
                <w:sz w:val="24"/>
              </w:rPr>
            </w:pPr>
            <w:r>
              <w:rPr>
                <w:rFonts w:hint="eastAsia"/>
                <w:sz w:val="24"/>
              </w:rPr>
              <w:t>垫江县人民政府</w:t>
            </w:r>
            <w:r>
              <w:rPr>
                <w:sz w:val="24"/>
              </w:rPr>
              <w:t>、</w:t>
            </w:r>
            <w:r>
              <w:rPr>
                <w:rFonts w:hint="eastAsia"/>
                <w:sz w:val="24"/>
              </w:rPr>
              <w:t>沙坪镇人民政府</w:t>
            </w:r>
            <w:r>
              <w:rPr>
                <w:sz w:val="24"/>
              </w:rPr>
              <w:t>、</w:t>
            </w:r>
            <w:r>
              <w:rPr>
                <w:rFonts w:hint="eastAsia"/>
                <w:sz w:val="24"/>
              </w:rPr>
              <w:t>沙坪水厂、重庆澜泉供水有限公司新民分公司</w:t>
            </w:r>
            <w:r>
              <w:rPr>
                <w:sz w:val="24"/>
              </w:rPr>
              <w:t>等</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pPr>
              <w:adjustRightInd w:val="0"/>
              <w:snapToGrid w:val="0"/>
              <w:ind w:firstLine="0" w:firstLineChars="0"/>
              <w:jc w:val="center"/>
              <w:rPr>
                <w:rFonts w:ascii="方正黑体_GBK" w:hAnsi="方正黑体_GBK" w:eastAsia="方正黑体_GBK" w:cs="方正黑体_GBK"/>
                <w:sz w:val="24"/>
              </w:rPr>
            </w:pPr>
            <w:r>
              <w:rPr>
                <w:rFonts w:ascii="方正黑体_GBK" w:hAnsi="方正黑体_GBK" w:eastAsia="方正黑体_GBK" w:cs="方正黑体_GBK"/>
                <w:sz w:val="24"/>
              </w:rPr>
              <w:t>应急处置措施</w:t>
            </w:r>
          </w:p>
        </w:tc>
        <w:tc>
          <w:tcPr>
            <w:tcW w:w="7670" w:type="dxa"/>
            <w:gridSpan w:val="2"/>
            <w:vAlign w:val="center"/>
          </w:tcPr>
          <w:p>
            <w:pPr>
              <w:adjustRightInd w:val="0"/>
              <w:snapToGrid w:val="0"/>
              <w:ind w:firstLine="0" w:firstLineChars="0"/>
              <w:jc w:val="left"/>
              <w:rPr>
                <w:sz w:val="24"/>
              </w:rPr>
            </w:pPr>
            <w:r>
              <w:rPr>
                <w:sz w:val="24"/>
              </w:rPr>
              <w:t>启动</w:t>
            </w:r>
            <w:r>
              <w:rPr>
                <w:rFonts w:hint="eastAsia"/>
                <w:sz w:val="24"/>
              </w:rPr>
              <w:t>红旗水库</w:t>
            </w:r>
            <w:r>
              <w:rPr>
                <w:sz w:val="24"/>
              </w:rPr>
              <w:t>水源地突发环境事件应急预案；</w:t>
            </w:r>
          </w:p>
          <w:p>
            <w:pPr>
              <w:adjustRightInd w:val="0"/>
              <w:snapToGrid w:val="0"/>
              <w:ind w:firstLine="0" w:firstLineChars="0"/>
              <w:jc w:val="left"/>
              <w:rPr>
                <w:sz w:val="24"/>
              </w:rPr>
            </w:pPr>
            <w:bookmarkStart w:id="335" w:name="_Hlk126597640"/>
            <w:r>
              <w:rPr>
                <w:rFonts w:hint="eastAsia"/>
                <w:sz w:val="24"/>
              </w:rPr>
              <w:t>（1）现场处置组协助县生态环境局、县水利局等相关部门在水源地中超标断面处及各水源地取水口等位置布点监测，监测因子为饮用水常规监测项目、重点监测超标因子；</w:t>
            </w:r>
          </w:p>
          <w:p>
            <w:pPr>
              <w:adjustRightInd w:val="0"/>
              <w:snapToGrid w:val="0"/>
              <w:ind w:firstLine="0" w:firstLineChars="0"/>
              <w:jc w:val="left"/>
              <w:rPr>
                <w:sz w:val="24"/>
              </w:rPr>
            </w:pPr>
            <w:r>
              <w:rPr>
                <w:rFonts w:hint="eastAsia"/>
                <w:sz w:val="24"/>
              </w:rPr>
              <w:t>（2）应急协调组及时告知水厂，密切关注出水水质情况，并将进出水水质异常情况报告水源地应急指挥部；</w:t>
            </w:r>
          </w:p>
          <w:p>
            <w:pPr>
              <w:adjustRightInd w:val="0"/>
              <w:snapToGrid w:val="0"/>
              <w:ind w:firstLine="0" w:firstLineChars="0"/>
              <w:jc w:val="left"/>
              <w:rPr>
                <w:sz w:val="24"/>
              </w:rPr>
            </w:pPr>
            <w:r>
              <w:rPr>
                <w:rFonts w:hint="eastAsia"/>
                <w:sz w:val="24"/>
              </w:rPr>
              <w:t>（3）现场处置组应及时了解水源保护区内的供水情况，确保饮用水安全；</w:t>
            </w:r>
          </w:p>
          <w:p>
            <w:pPr>
              <w:adjustRightInd w:val="0"/>
              <w:snapToGrid w:val="0"/>
              <w:ind w:firstLine="0" w:firstLineChars="0"/>
              <w:jc w:val="left"/>
              <w:rPr>
                <w:sz w:val="24"/>
              </w:rPr>
            </w:pPr>
            <w:r>
              <w:rPr>
                <w:rFonts w:hint="eastAsia"/>
                <w:sz w:val="24"/>
              </w:rPr>
              <w:t>（4）现场处置组根据超标因子及超标原因进行现场处置，如重金属超标可投放化学药剂、动植物尸体可实施打捞、浮油可收集等。</w:t>
            </w:r>
            <w:bookmarkEnd w:id="335"/>
          </w:p>
          <w:p>
            <w:pPr>
              <w:adjustRightInd w:val="0"/>
              <w:snapToGrid w:val="0"/>
              <w:ind w:firstLine="0" w:firstLineChars="0"/>
              <w:jc w:val="left"/>
              <w:rPr>
                <w:sz w:val="24"/>
              </w:rPr>
            </w:pPr>
            <w:r>
              <w:rPr>
                <w:b/>
                <w:bCs/>
                <w:sz w:val="24"/>
              </w:rPr>
              <w:t>备注：</w:t>
            </w:r>
            <w:r>
              <w:rPr>
                <w:rFonts w:hint="eastAsia"/>
                <w:b/>
                <w:bCs/>
                <w:sz w:val="24"/>
              </w:rPr>
              <w:t>红旗水库</w:t>
            </w:r>
            <w:r>
              <w:rPr>
                <w:b/>
                <w:bCs/>
                <w:sz w:val="24"/>
              </w:rPr>
              <w:t>水源地涉及不同的职能部门，各相关职能部门应根据本部门职责要求履行相应的责任，确保将其危害程度减少到最小。</w:t>
            </w:r>
          </w:p>
        </w:tc>
      </w:tr>
    </w:tbl>
    <w:p>
      <w:pPr>
        <w:pStyle w:val="3"/>
        <w:ind w:firstLine="632"/>
        <w:sectPr>
          <w:pgSz w:w="11907" w:h="16840"/>
          <w:pgMar w:top="2098" w:right="1474" w:bottom="1984" w:left="1587" w:header="851" w:footer="1474" w:gutter="0"/>
          <w:cols w:space="720" w:num="1"/>
          <w:titlePg/>
          <w:docGrid w:type="linesAndChars" w:linePitch="579" w:charSpace="-842"/>
        </w:sectPr>
      </w:pPr>
    </w:p>
    <w:p>
      <w:pPr>
        <w:pStyle w:val="3"/>
        <w:ind w:firstLine="632"/>
      </w:pPr>
      <w:bookmarkStart w:id="336" w:name="_Toc116914527"/>
      <w:bookmarkStart w:id="337" w:name="_Toc126335890"/>
      <w:r>
        <w:t>附图</w:t>
      </w:r>
      <w:bookmarkEnd w:id="336"/>
      <w:bookmarkEnd w:id="337"/>
    </w:p>
    <w:p>
      <w:pPr>
        <w:pStyle w:val="4"/>
        <w:ind w:firstLine="632"/>
      </w:pPr>
      <w:bookmarkStart w:id="338" w:name="_Toc116914528"/>
      <w:bookmarkStart w:id="339" w:name="_Toc126335891"/>
      <w:r>
        <w:t xml:space="preserve">附图1  </w:t>
      </w:r>
      <w:r>
        <w:rPr>
          <w:rFonts w:hint="eastAsia"/>
        </w:rPr>
        <w:t>红旗水库水源地</w:t>
      </w:r>
      <w:r>
        <w:t>保护区范围及位置示意图</w:t>
      </w:r>
      <w:bookmarkEnd w:id="338"/>
      <w:bookmarkEnd w:id="339"/>
    </w:p>
    <w:p>
      <w:pPr>
        <w:pStyle w:val="17"/>
        <w:ind w:firstLine="0" w:firstLineChars="0"/>
        <w:jc w:val="center"/>
      </w:pPr>
      <w:r>
        <w:drawing>
          <wp:inline distT="0" distB="0" distL="0" distR="0">
            <wp:extent cx="5109210" cy="7219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09305" cy="7219950"/>
                    </a:xfrm>
                    <a:prstGeom prst="rect">
                      <a:avLst/>
                    </a:prstGeom>
                    <a:noFill/>
                    <a:ln>
                      <a:noFill/>
                    </a:ln>
                  </pic:spPr>
                </pic:pic>
              </a:graphicData>
            </a:graphic>
          </wp:inline>
        </w:drawing>
      </w:r>
    </w:p>
    <w:p>
      <w:pPr>
        <w:ind w:firstLine="632"/>
        <w:sectPr>
          <w:pgSz w:w="11907" w:h="16840"/>
          <w:pgMar w:top="2098" w:right="1474" w:bottom="1984" w:left="1587" w:header="851" w:footer="1474" w:gutter="0"/>
          <w:cols w:space="720" w:num="1"/>
          <w:titlePg/>
          <w:docGrid w:type="linesAndChars" w:linePitch="579" w:charSpace="-842"/>
        </w:sectPr>
      </w:pPr>
    </w:p>
    <w:p>
      <w:pPr>
        <w:pStyle w:val="4"/>
        <w:ind w:firstLine="632"/>
      </w:pPr>
      <w:bookmarkStart w:id="340" w:name="_Toc116914529"/>
      <w:bookmarkStart w:id="341" w:name="_Toc126335892"/>
      <w:r>
        <w:t xml:space="preserve">附图2  </w:t>
      </w:r>
      <w:r>
        <w:rPr>
          <w:rFonts w:hint="eastAsia"/>
        </w:rPr>
        <w:t>红旗水库水源地汇水区</w:t>
      </w:r>
      <w:r>
        <w:t>范围</w:t>
      </w:r>
      <w:r>
        <w:rPr>
          <w:rFonts w:hint="eastAsia"/>
        </w:rPr>
        <w:t>示意图</w:t>
      </w:r>
      <w:bookmarkEnd w:id="340"/>
      <w:bookmarkEnd w:id="341"/>
    </w:p>
    <w:p>
      <w:pPr>
        <w:pStyle w:val="17"/>
        <w:ind w:firstLine="0" w:firstLineChars="0"/>
        <w:jc w:val="center"/>
      </w:pPr>
      <w:r>
        <w:drawing>
          <wp:inline distT="0" distB="0" distL="0" distR="0">
            <wp:extent cx="5277485" cy="7458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2058" cy="7464067"/>
                    </a:xfrm>
                    <a:prstGeom prst="rect">
                      <a:avLst/>
                    </a:prstGeom>
                    <a:noFill/>
                    <a:ln>
                      <a:noFill/>
                    </a:ln>
                  </pic:spPr>
                </pic:pic>
              </a:graphicData>
            </a:graphic>
          </wp:inline>
        </w:drawing>
      </w:r>
    </w:p>
    <w:p>
      <w:pPr>
        <w:ind w:firstLine="632"/>
        <w:sectPr>
          <w:pgSz w:w="11907" w:h="16840"/>
          <w:pgMar w:top="2098" w:right="1474" w:bottom="1984" w:left="1587" w:header="851" w:footer="1474" w:gutter="0"/>
          <w:cols w:space="720" w:num="1"/>
          <w:titlePg/>
          <w:docGrid w:type="linesAndChars" w:linePitch="579" w:charSpace="-842"/>
        </w:sectPr>
      </w:pPr>
    </w:p>
    <w:p>
      <w:pPr>
        <w:pStyle w:val="4"/>
        <w:ind w:firstLine="632"/>
      </w:pPr>
      <w:bookmarkStart w:id="342" w:name="_Toc116914530"/>
      <w:bookmarkStart w:id="343" w:name="_Toc126335893"/>
      <w:r>
        <w:t xml:space="preserve">附图3  </w:t>
      </w:r>
      <w:r>
        <w:rPr>
          <w:rFonts w:hint="eastAsia"/>
        </w:rPr>
        <w:t>红旗水库水源地</w:t>
      </w:r>
      <w:r>
        <w:t>周边非点源示意图</w:t>
      </w:r>
      <w:bookmarkEnd w:id="342"/>
      <w:bookmarkEnd w:id="343"/>
    </w:p>
    <w:p>
      <w:pPr>
        <w:pStyle w:val="17"/>
        <w:ind w:firstLine="0" w:firstLineChars="0"/>
        <w:jc w:val="center"/>
      </w:pPr>
      <w:r>
        <w:drawing>
          <wp:inline distT="0" distB="0" distL="0" distR="0">
            <wp:extent cx="5236845" cy="740092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39604" cy="7404075"/>
                    </a:xfrm>
                    <a:prstGeom prst="rect">
                      <a:avLst/>
                    </a:prstGeom>
                    <a:noFill/>
                    <a:ln>
                      <a:noFill/>
                    </a:ln>
                  </pic:spPr>
                </pic:pic>
              </a:graphicData>
            </a:graphic>
          </wp:inline>
        </w:drawing>
      </w:r>
    </w:p>
    <w:p>
      <w:pPr>
        <w:ind w:firstLine="632"/>
        <w:sectPr>
          <w:pgSz w:w="11907" w:h="16840"/>
          <w:pgMar w:top="2098" w:right="1474" w:bottom="1984" w:left="1587" w:header="851" w:footer="1474" w:gutter="0"/>
          <w:cols w:space="720" w:num="1"/>
          <w:titlePg/>
          <w:docGrid w:type="linesAndChars" w:linePitch="579" w:charSpace="-842"/>
        </w:sectPr>
      </w:pPr>
    </w:p>
    <w:p>
      <w:pPr>
        <w:pStyle w:val="4"/>
        <w:ind w:firstLine="632"/>
      </w:pPr>
      <w:bookmarkStart w:id="344" w:name="_Toc126335894"/>
      <w:bookmarkStart w:id="345" w:name="_Toc116914531"/>
      <w:r>
        <w:rPr>
          <w:rFonts w:hint="eastAsia"/>
        </w:rPr>
        <w:t>附件4</w:t>
      </w:r>
      <w:r>
        <w:t xml:space="preserve">  </w:t>
      </w:r>
      <w:r>
        <w:rPr>
          <w:rFonts w:hint="eastAsia"/>
        </w:rPr>
        <w:t>红旗水库水源地周边流动源分布示意图</w:t>
      </w:r>
      <w:bookmarkEnd w:id="344"/>
    </w:p>
    <w:p>
      <w:pPr>
        <w:ind w:firstLine="0" w:firstLineChars="0"/>
        <w:jc w:val="center"/>
      </w:pPr>
      <w:r>
        <w:drawing>
          <wp:inline distT="0" distB="0" distL="0" distR="0">
            <wp:extent cx="5092700" cy="71970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95790" cy="7200852"/>
                    </a:xfrm>
                    <a:prstGeom prst="rect">
                      <a:avLst/>
                    </a:prstGeom>
                    <a:noFill/>
                    <a:ln>
                      <a:noFill/>
                    </a:ln>
                  </pic:spPr>
                </pic:pic>
              </a:graphicData>
            </a:graphic>
          </wp:inline>
        </w:drawing>
      </w:r>
    </w:p>
    <w:p>
      <w:pPr>
        <w:pStyle w:val="4"/>
        <w:ind w:firstLine="632"/>
      </w:pPr>
      <w:bookmarkStart w:id="346" w:name="_Toc126335895"/>
      <w:r>
        <w:t xml:space="preserve">附图5  </w:t>
      </w:r>
      <w:r>
        <w:rPr>
          <w:rFonts w:hint="eastAsia"/>
        </w:rPr>
        <w:t>红旗水库水源地</w:t>
      </w:r>
      <w:r>
        <w:t>主要环境应急物资分布示意图</w:t>
      </w:r>
      <w:bookmarkEnd w:id="345"/>
      <w:bookmarkEnd w:id="346"/>
    </w:p>
    <w:p>
      <w:pPr>
        <w:pStyle w:val="17"/>
        <w:ind w:firstLine="0" w:firstLineChars="0"/>
        <w:jc w:val="center"/>
      </w:pPr>
      <w:r>
        <w:drawing>
          <wp:inline distT="0" distB="0" distL="0" distR="0">
            <wp:extent cx="5207000" cy="7358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10144" cy="7362445"/>
                    </a:xfrm>
                    <a:prstGeom prst="rect">
                      <a:avLst/>
                    </a:prstGeom>
                    <a:noFill/>
                    <a:ln>
                      <a:noFill/>
                    </a:ln>
                  </pic:spPr>
                </pic:pic>
              </a:graphicData>
            </a:graphic>
          </wp:inline>
        </w:drawing>
      </w:r>
    </w:p>
    <w:p>
      <w:pPr>
        <w:ind w:firstLine="632"/>
        <w:sectPr>
          <w:pgSz w:w="11907" w:h="16840"/>
          <w:pgMar w:top="2098" w:right="1474" w:bottom="1984" w:left="1587" w:header="851" w:footer="1474" w:gutter="0"/>
          <w:cols w:space="720" w:num="1"/>
          <w:titlePg/>
          <w:docGrid w:type="linesAndChars" w:linePitch="579" w:charSpace="-842"/>
        </w:sectPr>
      </w:pPr>
      <w:bookmarkStart w:id="347" w:name="_Toc13498"/>
    </w:p>
    <w:p>
      <w:pPr>
        <w:pStyle w:val="4"/>
        <w:ind w:firstLine="632"/>
      </w:pPr>
      <w:bookmarkStart w:id="348" w:name="_Toc116914532"/>
      <w:bookmarkStart w:id="349" w:name="_Toc126335896"/>
      <w:r>
        <w:t>附</w:t>
      </w:r>
      <w:r>
        <w:rPr>
          <w:rFonts w:hint="eastAsia"/>
        </w:rPr>
        <w:t>图</w:t>
      </w:r>
      <w:r>
        <w:t xml:space="preserve">6  </w:t>
      </w:r>
      <w:r>
        <w:rPr>
          <w:rFonts w:hint="eastAsia"/>
        </w:rPr>
        <w:t>红旗水库水源地</w:t>
      </w:r>
      <w:r>
        <w:t>突发环境事件应急流程图</w:t>
      </w:r>
      <w:bookmarkEnd w:id="348"/>
      <w:bookmarkEnd w:id="349"/>
    </w:p>
    <w:p>
      <w:pPr>
        <w:pStyle w:val="17"/>
        <w:ind w:firstLine="352"/>
      </w:pPr>
      <w:r>
        <w:drawing>
          <wp:inline distT="0" distB="0" distL="114300" distR="114300">
            <wp:extent cx="5162550" cy="737235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5"/>
                    <a:stretch>
                      <a:fillRect/>
                    </a:stretch>
                  </pic:blipFill>
                  <pic:spPr>
                    <a:xfrm>
                      <a:off x="0" y="0"/>
                      <a:ext cx="5162550" cy="7372350"/>
                    </a:xfrm>
                    <a:prstGeom prst="rect">
                      <a:avLst/>
                    </a:prstGeom>
                    <a:noFill/>
                    <a:ln>
                      <a:noFill/>
                    </a:ln>
                  </pic:spPr>
                </pic:pic>
              </a:graphicData>
            </a:graphic>
          </wp:inline>
        </w:drawing>
      </w:r>
    </w:p>
    <w:bookmarkEnd w:id="347"/>
    <w:p>
      <w:pPr>
        <w:ind w:firstLine="0" w:firstLineChars="0"/>
      </w:pPr>
    </w:p>
    <w:sectPr>
      <w:pgSz w:w="11907" w:h="16840"/>
      <w:pgMar w:top="2098" w:right="1474" w:bottom="1984" w:left="1587" w:header="851" w:footer="1474" w:gutter="0"/>
      <w:cols w:space="720" w:num="1"/>
      <w:titlePg/>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32"/>
      </w:pPr>
      <w:r>
        <w:separator/>
      </w:r>
    </w:p>
  </w:endnote>
  <w:endnote w:type="continuationSeparator" w:id="1">
    <w:p>
      <w:pPr>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28EA56-7E3F-4238-8D8E-6FFF96E10813}"/>
  </w:font>
  <w:font w:name="Arial">
    <w:panose1 w:val="020B0604020202020204"/>
    <w:charset w:val="01"/>
    <w:family w:val="swiss"/>
    <w:pitch w:val="default"/>
    <w:sig w:usb0="E0002AFF" w:usb1="C0007843" w:usb2="00000009" w:usb3="00000000" w:csb0="400001FF" w:csb1="FFFF0000"/>
    <w:embedRegular r:id="rId2" w:fontKey="{57E43E77-7D2D-4234-8B73-657B3EB602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53702F7-086E-4E46-B250-F85593A91A45}"/>
  </w:font>
  <w:font w:name="Symbol">
    <w:panose1 w:val="05050102010706020507"/>
    <w:charset w:val="02"/>
    <w:family w:val="roman"/>
    <w:pitch w:val="default"/>
    <w:sig w:usb0="00000000" w:usb1="00000000" w:usb2="00000000" w:usb3="00000000" w:csb0="80000000" w:csb1="00000000"/>
    <w:embedRegular r:id="rId4" w:fontKey="{41E33298-E644-4F2A-AD25-39376EF4C2A0}"/>
  </w:font>
  <w:font w:name="Calibri">
    <w:panose1 w:val="020F0502020204030204"/>
    <w:charset w:val="00"/>
    <w:family w:val="swiss"/>
    <w:pitch w:val="default"/>
    <w:sig w:usb0="E00002FF" w:usb1="4000ACFF" w:usb2="00000001" w:usb3="00000000" w:csb0="2000019F" w:csb1="00000000"/>
    <w:embedRegular r:id="rId5" w:fontKey="{6D887393-5D6D-476B-AAE3-039FC345F07E}"/>
  </w:font>
  <w:font w:name="方正仿宋_GBK">
    <w:panose1 w:val="02000000000000000000"/>
    <w:charset w:val="86"/>
    <w:family w:val="script"/>
    <w:pitch w:val="default"/>
    <w:sig w:usb0="A00002BF" w:usb1="38CF7CFA" w:usb2="00082016" w:usb3="00000000" w:csb0="00040001" w:csb1="00000000"/>
    <w:embedRegular r:id="rId6" w:fontKey="{14D43E9B-C997-45E0-9601-CBD2C05D62A0}"/>
  </w:font>
  <w:font w:name="方正黑体_GBK">
    <w:panose1 w:val="03000509000000000000"/>
    <w:charset w:val="86"/>
    <w:family w:val="script"/>
    <w:pitch w:val="default"/>
    <w:sig w:usb0="00000001" w:usb1="080E0000" w:usb2="00000000" w:usb3="00000000" w:csb0="00040000" w:csb1="00000000"/>
    <w:embedRegular r:id="rId7" w:fontKey="{A4416ACB-8854-4643-B4D5-FC673BAEAA7E}"/>
  </w:font>
  <w:font w:name="方正楷体_GBK">
    <w:panose1 w:val="02000000000000000000"/>
    <w:charset w:val="86"/>
    <w:family w:val="script"/>
    <w:pitch w:val="default"/>
    <w:sig w:usb0="800002BF" w:usb1="38CF7CFA" w:usb2="00000016" w:usb3="00000000" w:csb0="00040000" w:csb1="00000000"/>
    <w:embedRegular r:id="rId8" w:fontKey="{F4188448-3E06-42DA-B83F-648E6237939E}"/>
  </w:font>
  <w:font w:name="仿宋_GB2312">
    <w:panose1 w:val="02010609030101010101"/>
    <w:charset w:val="86"/>
    <w:family w:val="modern"/>
    <w:pitch w:val="default"/>
    <w:sig w:usb0="00000001" w:usb1="080E0000" w:usb2="00000000" w:usb3="00000000" w:csb0="00040000" w:csb1="00000000"/>
    <w:embedRegular r:id="rId9" w:fontKey="{DF43808B-732F-456F-9D3E-736B42BF6FB0}"/>
  </w:font>
  <w:font w:name="Courier New">
    <w:panose1 w:val="02070309020205020404"/>
    <w:charset w:val="00"/>
    <w:family w:val="modern"/>
    <w:pitch w:val="default"/>
    <w:sig w:usb0="E0002AFF" w:usb1="C0007843" w:usb2="00000009" w:usb3="00000000" w:csb0="400001FF" w:csb1="FFFF0000"/>
    <w:embedRegular r:id="rId10" w:fontKey="{50815EA3-0994-4417-B342-0523D8002F0A}"/>
  </w:font>
  <w:font w:name="Cambria">
    <w:panose1 w:val="02040503050406030204"/>
    <w:charset w:val="00"/>
    <w:family w:val="roman"/>
    <w:pitch w:val="default"/>
    <w:sig w:usb0="E00002FF" w:usb1="400004FF" w:usb2="00000000" w:usb3="00000000" w:csb0="2000019F" w:csb1="00000000"/>
    <w:embedRegular r:id="rId11" w:fontKey="{487ADB85-8F65-4CCE-8041-7B2FFCE6D790}"/>
  </w:font>
  <w:font w:name="方正小标宋_GBK">
    <w:panose1 w:val="02000000000000000000"/>
    <w:charset w:val="86"/>
    <w:family w:val="script"/>
    <w:pitch w:val="default"/>
    <w:sig w:usb0="A00002BF" w:usb1="38CF7CFA" w:usb2="00082016" w:usb3="00000000" w:csb0="00040001" w:csb1="00000000"/>
    <w:embedRegular r:id="rId12" w:fontKey="{13F9EDEC-BC09-4C9D-94E7-02965A2108A0}"/>
  </w:font>
  <w:font w:name="Arial">
    <w:panose1 w:val="020B0604020202020204"/>
    <w:charset w:val="00"/>
    <w:family w:val="swiss"/>
    <w:pitch w:val="default"/>
    <w:sig w:usb0="E0002AFF" w:usb1="C0007843" w:usb2="00000009" w:usb3="00000000" w:csb0="400001FF" w:csb1="FFFF0000"/>
    <w:embedRegular r:id="rId13" w:fontKey="{26B8AB43-1481-4558-9DFA-63C67F947A05}"/>
  </w:font>
  <w:font w:name="仿宋">
    <w:panose1 w:val="02010609060101010101"/>
    <w:charset w:val="86"/>
    <w:family w:val="modern"/>
    <w:pitch w:val="default"/>
    <w:sig w:usb0="800002BF" w:usb1="38CF7CFA" w:usb2="00000016" w:usb3="00000000" w:csb0="00040001" w:csb1="00000000"/>
    <w:embedRegular r:id="rId14" w:fontKey="{15186472-DB23-4571-BB53-019E176B5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ordWrap w:val="0"/>
      <w:ind w:firstLine="560"/>
      <w:rPr>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7136371"/>
      <w:docPartObj>
        <w:docPartGallery w:val="AutoText"/>
      </w:docPartObj>
    </w:sdtPr>
    <w:sdtEndPr>
      <w:rPr>
        <w:sz w:val="32"/>
        <w:szCs w:val="32"/>
      </w:rPr>
    </w:sdtEndPr>
    <w:sdtContent>
      <w:p>
        <w:pPr>
          <w:pStyle w:val="17"/>
          <w:ind w:firstLine="360"/>
          <w:jc w:val="center"/>
          <w:rPr>
            <w:sz w:val="32"/>
            <w:szCs w:val="32"/>
          </w:rPr>
        </w:pPr>
        <w:r>
          <w:rPr>
            <w:rFonts w:hint="eastAsia" w:ascii="仿宋_GB2312"/>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仿宋_GB2312"/>
            <w:sz w:val="32"/>
            <w:szCs w:val="32"/>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56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ordWrap w:val="0"/>
      <w:ind w:firstLine="560"/>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V</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V</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560"/>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IV</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IV</w:t>
                    </w:r>
                    <w:r>
                      <w:rPr>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7"/>
                      <w:adjustRightInd w:val="0"/>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0716960"/>
      <w:docPartObj>
        <w:docPartGallery w:val="AutoText"/>
      </w:docPartObj>
    </w:sdtPr>
    <w:sdtEndPr>
      <w:rPr>
        <w:sz w:val="32"/>
        <w:szCs w:val="32"/>
      </w:rPr>
    </w:sdtEndPr>
    <w:sdtContent>
      <w:p>
        <w:pPr>
          <w:pStyle w:val="17"/>
          <w:ind w:firstLine="360"/>
          <w:jc w:val="center"/>
          <w:rPr>
            <w:sz w:val="32"/>
            <w:szCs w:val="32"/>
          </w:rPr>
        </w:pPr>
        <w:r>
          <w:rPr>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仿宋_GB2312"/>
            <w:sz w:val="32"/>
            <w:szCs w:val="32"/>
          </w:rPr>
          <w:t>－</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3248644"/>
      <w:docPartObj>
        <w:docPartGallery w:val="AutoText"/>
      </w:docPartObj>
    </w:sdtPr>
    <w:sdtEndPr>
      <w:rPr>
        <w:sz w:val="32"/>
        <w:szCs w:val="32"/>
      </w:rPr>
    </w:sdtEndPr>
    <w:sdtContent>
      <w:p>
        <w:pPr>
          <w:pStyle w:val="17"/>
          <w:ind w:firstLine="360"/>
          <w:jc w:val="center"/>
          <w:rPr>
            <w:sz w:val="32"/>
            <w:szCs w:val="32"/>
          </w:rPr>
        </w:pPr>
        <w:r>
          <w:rPr>
            <w:rFonts w:hint="eastAsia" w:ascii="仿宋_GB2312"/>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仿宋_GB2312"/>
            <w:sz w:val="32"/>
            <w:szCs w:val="32"/>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9509080"/>
      <w:docPartObj>
        <w:docPartGallery w:val="AutoText"/>
      </w:docPartObj>
    </w:sdtPr>
    <w:sdtEndPr>
      <w:rPr>
        <w:sz w:val="32"/>
        <w:szCs w:val="32"/>
      </w:rPr>
    </w:sdtEndPr>
    <w:sdtContent>
      <w:p>
        <w:pPr>
          <w:pStyle w:val="17"/>
          <w:ind w:firstLine="360"/>
          <w:jc w:val="center"/>
          <w:rPr>
            <w:sz w:val="32"/>
            <w:szCs w:val="32"/>
          </w:rPr>
        </w:pPr>
        <w:r>
          <w:rPr>
            <w:rFonts w:hint="eastAsia" w:ascii="仿宋_GB2312"/>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仿宋_GB2312"/>
            <w:sz w:val="32"/>
            <w:szCs w:val="32"/>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32"/>
      </w:pPr>
      <w:r>
        <w:separator/>
      </w:r>
    </w:p>
  </w:footnote>
  <w:footnote w:type="continuationSeparator" w:id="1">
    <w:p>
      <w:pPr>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101772"/>
    <w:multiLevelType w:val="multilevel"/>
    <w:tmpl w:val="25101772"/>
    <w:lvl w:ilvl="0" w:tentative="0">
      <w:start w:val="1"/>
      <w:numFmt w:val="decimal"/>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
    <w:nsid w:val="2CA8633D"/>
    <w:multiLevelType w:val="multilevel"/>
    <w:tmpl w:val="2CA8633D"/>
    <w:lvl w:ilvl="0" w:tentative="0">
      <w:start w:val="1"/>
      <w:numFmt w:val="decimal"/>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attachedTemplate r:id="rId1"/>
  <w:documentProtection w:edit="trackedChanges" w:enforcement="0"/>
  <w:defaultTabStop w:val="420"/>
  <w:evenAndOddHeaders w:val="1"/>
  <w:drawingGridHorizontalSpacing w:val="160"/>
  <w:drawingGridVerticalSpacing w:val="43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4MTU1NmQ5ODNjNjdkNDc3MGJjNzdjNjY2MDMzYjEifQ=="/>
  </w:docVars>
  <w:rsids>
    <w:rsidRoot w:val="00E75C27"/>
    <w:rsid w:val="00015CFE"/>
    <w:rsid w:val="0002305A"/>
    <w:rsid w:val="000259BE"/>
    <w:rsid w:val="00033C8F"/>
    <w:rsid w:val="00034D67"/>
    <w:rsid w:val="000377A8"/>
    <w:rsid w:val="00052713"/>
    <w:rsid w:val="00053745"/>
    <w:rsid w:val="000550B4"/>
    <w:rsid w:val="00070504"/>
    <w:rsid w:val="00077E46"/>
    <w:rsid w:val="00086DC8"/>
    <w:rsid w:val="00091880"/>
    <w:rsid w:val="00093BE4"/>
    <w:rsid w:val="00094394"/>
    <w:rsid w:val="00097183"/>
    <w:rsid w:val="00097BCA"/>
    <w:rsid w:val="000A2D08"/>
    <w:rsid w:val="000C41BF"/>
    <w:rsid w:val="000C42D9"/>
    <w:rsid w:val="000C4C13"/>
    <w:rsid w:val="000D799E"/>
    <w:rsid w:val="000E2383"/>
    <w:rsid w:val="000E3B9A"/>
    <w:rsid w:val="000E5A9E"/>
    <w:rsid w:val="000F0E32"/>
    <w:rsid w:val="000F176D"/>
    <w:rsid w:val="000F1DA0"/>
    <w:rsid w:val="000F23EF"/>
    <w:rsid w:val="000F3248"/>
    <w:rsid w:val="000F57C4"/>
    <w:rsid w:val="000F64D5"/>
    <w:rsid w:val="000F6F61"/>
    <w:rsid w:val="00104A2D"/>
    <w:rsid w:val="00104E3E"/>
    <w:rsid w:val="00113752"/>
    <w:rsid w:val="00115936"/>
    <w:rsid w:val="001257D7"/>
    <w:rsid w:val="0013676E"/>
    <w:rsid w:val="00137265"/>
    <w:rsid w:val="00145F43"/>
    <w:rsid w:val="0015006E"/>
    <w:rsid w:val="00171C2E"/>
    <w:rsid w:val="00174B3F"/>
    <w:rsid w:val="00175501"/>
    <w:rsid w:val="001757FF"/>
    <w:rsid w:val="00182BDD"/>
    <w:rsid w:val="00186BE6"/>
    <w:rsid w:val="00187486"/>
    <w:rsid w:val="0019278F"/>
    <w:rsid w:val="00193358"/>
    <w:rsid w:val="00193368"/>
    <w:rsid w:val="00196CC0"/>
    <w:rsid w:val="00197E2E"/>
    <w:rsid w:val="001A0433"/>
    <w:rsid w:val="001A0B9D"/>
    <w:rsid w:val="001A735F"/>
    <w:rsid w:val="001A74CC"/>
    <w:rsid w:val="001C39EB"/>
    <w:rsid w:val="001C3D83"/>
    <w:rsid w:val="001E4AF7"/>
    <w:rsid w:val="00203105"/>
    <w:rsid w:val="00205387"/>
    <w:rsid w:val="00220934"/>
    <w:rsid w:val="002252F9"/>
    <w:rsid w:val="0022587D"/>
    <w:rsid w:val="00225A84"/>
    <w:rsid w:val="00225FD4"/>
    <w:rsid w:val="00226DED"/>
    <w:rsid w:val="00236930"/>
    <w:rsid w:val="002408AC"/>
    <w:rsid w:val="002426E0"/>
    <w:rsid w:val="00244B5A"/>
    <w:rsid w:val="00247D60"/>
    <w:rsid w:val="00250FDD"/>
    <w:rsid w:val="00251036"/>
    <w:rsid w:val="002522BC"/>
    <w:rsid w:val="00253195"/>
    <w:rsid w:val="00253DD3"/>
    <w:rsid w:val="00254061"/>
    <w:rsid w:val="0025597A"/>
    <w:rsid w:val="002637C7"/>
    <w:rsid w:val="00266F7D"/>
    <w:rsid w:val="00270AA3"/>
    <w:rsid w:val="0027306A"/>
    <w:rsid w:val="0027620F"/>
    <w:rsid w:val="00276372"/>
    <w:rsid w:val="00280B97"/>
    <w:rsid w:val="002860EE"/>
    <w:rsid w:val="00292BB5"/>
    <w:rsid w:val="00296707"/>
    <w:rsid w:val="002A2FEB"/>
    <w:rsid w:val="002A6643"/>
    <w:rsid w:val="002B0B76"/>
    <w:rsid w:val="002B31CE"/>
    <w:rsid w:val="002B4D31"/>
    <w:rsid w:val="002B5A1A"/>
    <w:rsid w:val="002C0542"/>
    <w:rsid w:val="002C0B73"/>
    <w:rsid w:val="002D0118"/>
    <w:rsid w:val="002D1F38"/>
    <w:rsid w:val="002E2AD0"/>
    <w:rsid w:val="002E650D"/>
    <w:rsid w:val="002E6932"/>
    <w:rsid w:val="002F4805"/>
    <w:rsid w:val="002F7AD6"/>
    <w:rsid w:val="00303D2E"/>
    <w:rsid w:val="00305B8F"/>
    <w:rsid w:val="003141B0"/>
    <w:rsid w:val="00314C50"/>
    <w:rsid w:val="0032062C"/>
    <w:rsid w:val="0032369F"/>
    <w:rsid w:val="00324D23"/>
    <w:rsid w:val="00330988"/>
    <w:rsid w:val="0033587F"/>
    <w:rsid w:val="00340065"/>
    <w:rsid w:val="00343FCE"/>
    <w:rsid w:val="00344FB6"/>
    <w:rsid w:val="003620D3"/>
    <w:rsid w:val="00362D4D"/>
    <w:rsid w:val="00373A25"/>
    <w:rsid w:val="00373A45"/>
    <w:rsid w:val="00375BA7"/>
    <w:rsid w:val="003834C7"/>
    <w:rsid w:val="00384DAC"/>
    <w:rsid w:val="00386E25"/>
    <w:rsid w:val="00391313"/>
    <w:rsid w:val="003934BE"/>
    <w:rsid w:val="003941E2"/>
    <w:rsid w:val="003A6A97"/>
    <w:rsid w:val="003A72C2"/>
    <w:rsid w:val="003B08C6"/>
    <w:rsid w:val="003B1FBD"/>
    <w:rsid w:val="003B2E7F"/>
    <w:rsid w:val="003B4F6D"/>
    <w:rsid w:val="003B7258"/>
    <w:rsid w:val="003B75E9"/>
    <w:rsid w:val="003C30D7"/>
    <w:rsid w:val="003C56A1"/>
    <w:rsid w:val="003D14F7"/>
    <w:rsid w:val="003D6D81"/>
    <w:rsid w:val="003E22B8"/>
    <w:rsid w:val="003F5AFB"/>
    <w:rsid w:val="00400EDD"/>
    <w:rsid w:val="00401488"/>
    <w:rsid w:val="00402BBC"/>
    <w:rsid w:val="00411442"/>
    <w:rsid w:val="00417EA6"/>
    <w:rsid w:val="0042047F"/>
    <w:rsid w:val="00422FB9"/>
    <w:rsid w:val="00426B7E"/>
    <w:rsid w:val="00442312"/>
    <w:rsid w:val="00443759"/>
    <w:rsid w:val="00451167"/>
    <w:rsid w:val="00453B01"/>
    <w:rsid w:val="00457DE1"/>
    <w:rsid w:val="00460DAB"/>
    <w:rsid w:val="00464544"/>
    <w:rsid w:val="00466DE9"/>
    <w:rsid w:val="00471C02"/>
    <w:rsid w:val="004724AC"/>
    <w:rsid w:val="004746DE"/>
    <w:rsid w:val="00474883"/>
    <w:rsid w:val="00482195"/>
    <w:rsid w:val="0048452D"/>
    <w:rsid w:val="00486C21"/>
    <w:rsid w:val="00491CB5"/>
    <w:rsid w:val="00496A86"/>
    <w:rsid w:val="004A078F"/>
    <w:rsid w:val="004A1935"/>
    <w:rsid w:val="004A2F60"/>
    <w:rsid w:val="004A4532"/>
    <w:rsid w:val="004B1440"/>
    <w:rsid w:val="004B4076"/>
    <w:rsid w:val="004C133C"/>
    <w:rsid w:val="004C4ED8"/>
    <w:rsid w:val="004C629B"/>
    <w:rsid w:val="004C6683"/>
    <w:rsid w:val="004D3E5D"/>
    <w:rsid w:val="004D49C0"/>
    <w:rsid w:val="004D679E"/>
    <w:rsid w:val="004D6E86"/>
    <w:rsid w:val="004E25A6"/>
    <w:rsid w:val="004E4CA9"/>
    <w:rsid w:val="004E5DA8"/>
    <w:rsid w:val="004E79AB"/>
    <w:rsid w:val="004F097D"/>
    <w:rsid w:val="004F4445"/>
    <w:rsid w:val="004F53AF"/>
    <w:rsid w:val="004F5B2B"/>
    <w:rsid w:val="004F6C1E"/>
    <w:rsid w:val="0050319E"/>
    <w:rsid w:val="00503D70"/>
    <w:rsid w:val="00504BAC"/>
    <w:rsid w:val="005054EA"/>
    <w:rsid w:val="00506349"/>
    <w:rsid w:val="0050638A"/>
    <w:rsid w:val="00507F68"/>
    <w:rsid w:val="00510D69"/>
    <w:rsid w:val="00511CF1"/>
    <w:rsid w:val="00512E35"/>
    <w:rsid w:val="005177FA"/>
    <w:rsid w:val="00524FA7"/>
    <w:rsid w:val="00534773"/>
    <w:rsid w:val="00537111"/>
    <w:rsid w:val="00545271"/>
    <w:rsid w:val="00566667"/>
    <w:rsid w:val="00566A9D"/>
    <w:rsid w:val="005704CC"/>
    <w:rsid w:val="00571A1D"/>
    <w:rsid w:val="00576448"/>
    <w:rsid w:val="005807FC"/>
    <w:rsid w:val="0058376D"/>
    <w:rsid w:val="00585424"/>
    <w:rsid w:val="00586C26"/>
    <w:rsid w:val="00590846"/>
    <w:rsid w:val="0059354C"/>
    <w:rsid w:val="005A1CC3"/>
    <w:rsid w:val="005B561C"/>
    <w:rsid w:val="005B722D"/>
    <w:rsid w:val="005C32FA"/>
    <w:rsid w:val="005C7949"/>
    <w:rsid w:val="005D040F"/>
    <w:rsid w:val="005E0133"/>
    <w:rsid w:val="005E28C9"/>
    <w:rsid w:val="005E463C"/>
    <w:rsid w:val="005F5E20"/>
    <w:rsid w:val="00616AE3"/>
    <w:rsid w:val="0062213D"/>
    <w:rsid w:val="0062772D"/>
    <w:rsid w:val="00630088"/>
    <w:rsid w:val="00637D59"/>
    <w:rsid w:val="00641B05"/>
    <w:rsid w:val="00646426"/>
    <w:rsid w:val="00646E8C"/>
    <w:rsid w:val="0064754E"/>
    <w:rsid w:val="0065003D"/>
    <w:rsid w:val="00651E3F"/>
    <w:rsid w:val="006530F5"/>
    <w:rsid w:val="0065718F"/>
    <w:rsid w:val="006575EC"/>
    <w:rsid w:val="006602B1"/>
    <w:rsid w:val="00661D77"/>
    <w:rsid w:val="00664F26"/>
    <w:rsid w:val="00667851"/>
    <w:rsid w:val="00673101"/>
    <w:rsid w:val="006746BA"/>
    <w:rsid w:val="0068082F"/>
    <w:rsid w:val="00683756"/>
    <w:rsid w:val="00684370"/>
    <w:rsid w:val="00685DBA"/>
    <w:rsid w:val="00686348"/>
    <w:rsid w:val="00692443"/>
    <w:rsid w:val="006942AD"/>
    <w:rsid w:val="006A5277"/>
    <w:rsid w:val="006A5BFC"/>
    <w:rsid w:val="006B7B19"/>
    <w:rsid w:val="006C7B6E"/>
    <w:rsid w:val="006E2685"/>
    <w:rsid w:val="006E4E01"/>
    <w:rsid w:val="006E74F9"/>
    <w:rsid w:val="006F00CB"/>
    <w:rsid w:val="006F3C87"/>
    <w:rsid w:val="00701E82"/>
    <w:rsid w:val="007079DC"/>
    <w:rsid w:val="00707ADB"/>
    <w:rsid w:val="00721210"/>
    <w:rsid w:val="007220D5"/>
    <w:rsid w:val="007422B5"/>
    <w:rsid w:val="00744CCB"/>
    <w:rsid w:val="007509F3"/>
    <w:rsid w:val="007566A1"/>
    <w:rsid w:val="007610EE"/>
    <w:rsid w:val="00762D67"/>
    <w:rsid w:val="00763A09"/>
    <w:rsid w:val="00764786"/>
    <w:rsid w:val="007712F5"/>
    <w:rsid w:val="007745FD"/>
    <w:rsid w:val="007759E1"/>
    <w:rsid w:val="00782751"/>
    <w:rsid w:val="00793670"/>
    <w:rsid w:val="00795AF2"/>
    <w:rsid w:val="007A321F"/>
    <w:rsid w:val="007B5B7A"/>
    <w:rsid w:val="007B6175"/>
    <w:rsid w:val="007C0FFB"/>
    <w:rsid w:val="007D2472"/>
    <w:rsid w:val="007D3B43"/>
    <w:rsid w:val="007E038A"/>
    <w:rsid w:val="007E649F"/>
    <w:rsid w:val="00803164"/>
    <w:rsid w:val="0081492E"/>
    <w:rsid w:val="0081603E"/>
    <w:rsid w:val="0083097F"/>
    <w:rsid w:val="00837408"/>
    <w:rsid w:val="00846C6A"/>
    <w:rsid w:val="00853C11"/>
    <w:rsid w:val="00856600"/>
    <w:rsid w:val="008575C8"/>
    <w:rsid w:val="00863D0D"/>
    <w:rsid w:val="00867E5C"/>
    <w:rsid w:val="008702A1"/>
    <w:rsid w:val="008736EF"/>
    <w:rsid w:val="0089066C"/>
    <w:rsid w:val="00895479"/>
    <w:rsid w:val="00895D00"/>
    <w:rsid w:val="00897712"/>
    <w:rsid w:val="00897D31"/>
    <w:rsid w:val="008A6656"/>
    <w:rsid w:val="008B2A9D"/>
    <w:rsid w:val="008B4811"/>
    <w:rsid w:val="008C3FF2"/>
    <w:rsid w:val="008D12D9"/>
    <w:rsid w:val="008D17A2"/>
    <w:rsid w:val="008D5881"/>
    <w:rsid w:val="008D69CE"/>
    <w:rsid w:val="008E1116"/>
    <w:rsid w:val="008E4637"/>
    <w:rsid w:val="008E52FC"/>
    <w:rsid w:val="008E5F48"/>
    <w:rsid w:val="008F4652"/>
    <w:rsid w:val="008F77E4"/>
    <w:rsid w:val="008F7F3C"/>
    <w:rsid w:val="00910C79"/>
    <w:rsid w:val="00911D55"/>
    <w:rsid w:val="00921D52"/>
    <w:rsid w:val="009236A3"/>
    <w:rsid w:val="0092577F"/>
    <w:rsid w:val="00925B22"/>
    <w:rsid w:val="009271F6"/>
    <w:rsid w:val="0093053A"/>
    <w:rsid w:val="00937F62"/>
    <w:rsid w:val="00940E32"/>
    <w:rsid w:val="009420FA"/>
    <w:rsid w:val="009430DB"/>
    <w:rsid w:val="00946C00"/>
    <w:rsid w:val="00947A7D"/>
    <w:rsid w:val="0095178E"/>
    <w:rsid w:val="00956AB4"/>
    <w:rsid w:val="00957055"/>
    <w:rsid w:val="009618A1"/>
    <w:rsid w:val="00966DC1"/>
    <w:rsid w:val="00967010"/>
    <w:rsid w:val="00972D3A"/>
    <w:rsid w:val="00980D8E"/>
    <w:rsid w:val="009828ED"/>
    <w:rsid w:val="0098301E"/>
    <w:rsid w:val="00983D46"/>
    <w:rsid w:val="00985423"/>
    <w:rsid w:val="0098615A"/>
    <w:rsid w:val="009876A3"/>
    <w:rsid w:val="009A01C4"/>
    <w:rsid w:val="009A2569"/>
    <w:rsid w:val="009A266E"/>
    <w:rsid w:val="009B0E43"/>
    <w:rsid w:val="009B32EF"/>
    <w:rsid w:val="009C0B46"/>
    <w:rsid w:val="009C2D86"/>
    <w:rsid w:val="009C3AE6"/>
    <w:rsid w:val="009C44ED"/>
    <w:rsid w:val="009C5DA3"/>
    <w:rsid w:val="009C60F0"/>
    <w:rsid w:val="009C72F2"/>
    <w:rsid w:val="009D2438"/>
    <w:rsid w:val="009D3834"/>
    <w:rsid w:val="009D7069"/>
    <w:rsid w:val="009E10DB"/>
    <w:rsid w:val="009E4128"/>
    <w:rsid w:val="009E5FAB"/>
    <w:rsid w:val="009E6617"/>
    <w:rsid w:val="009E669E"/>
    <w:rsid w:val="009F0ACB"/>
    <w:rsid w:val="009F3173"/>
    <w:rsid w:val="009F3DD2"/>
    <w:rsid w:val="009F76EC"/>
    <w:rsid w:val="00A01A03"/>
    <w:rsid w:val="00A06B4C"/>
    <w:rsid w:val="00A118DB"/>
    <w:rsid w:val="00A1430F"/>
    <w:rsid w:val="00A14D97"/>
    <w:rsid w:val="00A267D3"/>
    <w:rsid w:val="00A3030B"/>
    <w:rsid w:val="00A30BB4"/>
    <w:rsid w:val="00A31534"/>
    <w:rsid w:val="00A3401A"/>
    <w:rsid w:val="00A36E9D"/>
    <w:rsid w:val="00A42D11"/>
    <w:rsid w:val="00A435C6"/>
    <w:rsid w:val="00A47ACA"/>
    <w:rsid w:val="00A50A23"/>
    <w:rsid w:val="00A57E04"/>
    <w:rsid w:val="00A612CA"/>
    <w:rsid w:val="00A6136B"/>
    <w:rsid w:val="00A72CF0"/>
    <w:rsid w:val="00A83386"/>
    <w:rsid w:val="00A86D1C"/>
    <w:rsid w:val="00A96A31"/>
    <w:rsid w:val="00AA3F64"/>
    <w:rsid w:val="00AA6A62"/>
    <w:rsid w:val="00AA7B00"/>
    <w:rsid w:val="00AA7FFD"/>
    <w:rsid w:val="00AB25A6"/>
    <w:rsid w:val="00AB68EB"/>
    <w:rsid w:val="00AB7611"/>
    <w:rsid w:val="00AC3688"/>
    <w:rsid w:val="00AC4B3C"/>
    <w:rsid w:val="00AE2AB9"/>
    <w:rsid w:val="00AE4770"/>
    <w:rsid w:val="00AF2C9C"/>
    <w:rsid w:val="00AF2E31"/>
    <w:rsid w:val="00AF5AAE"/>
    <w:rsid w:val="00B105A9"/>
    <w:rsid w:val="00B1289C"/>
    <w:rsid w:val="00B31636"/>
    <w:rsid w:val="00B35A88"/>
    <w:rsid w:val="00B36174"/>
    <w:rsid w:val="00B461FF"/>
    <w:rsid w:val="00B532BE"/>
    <w:rsid w:val="00B555E8"/>
    <w:rsid w:val="00B55A70"/>
    <w:rsid w:val="00B64B5E"/>
    <w:rsid w:val="00B66A4C"/>
    <w:rsid w:val="00B74659"/>
    <w:rsid w:val="00B765AD"/>
    <w:rsid w:val="00B76E41"/>
    <w:rsid w:val="00B80528"/>
    <w:rsid w:val="00B81A7E"/>
    <w:rsid w:val="00B83551"/>
    <w:rsid w:val="00B8513D"/>
    <w:rsid w:val="00B90E1F"/>
    <w:rsid w:val="00B959C3"/>
    <w:rsid w:val="00BA0E13"/>
    <w:rsid w:val="00BA0E7B"/>
    <w:rsid w:val="00BA165B"/>
    <w:rsid w:val="00BA2E18"/>
    <w:rsid w:val="00BA5865"/>
    <w:rsid w:val="00BA7B76"/>
    <w:rsid w:val="00BC0ED2"/>
    <w:rsid w:val="00BC692B"/>
    <w:rsid w:val="00BD0B52"/>
    <w:rsid w:val="00BD198B"/>
    <w:rsid w:val="00BD7CBD"/>
    <w:rsid w:val="00BE7031"/>
    <w:rsid w:val="00BF0B0B"/>
    <w:rsid w:val="00BF21AA"/>
    <w:rsid w:val="00BF591F"/>
    <w:rsid w:val="00C02B5F"/>
    <w:rsid w:val="00C0365D"/>
    <w:rsid w:val="00C04DB9"/>
    <w:rsid w:val="00C06153"/>
    <w:rsid w:val="00C16851"/>
    <w:rsid w:val="00C21B0E"/>
    <w:rsid w:val="00C22E55"/>
    <w:rsid w:val="00C24200"/>
    <w:rsid w:val="00C32BB6"/>
    <w:rsid w:val="00C33813"/>
    <w:rsid w:val="00C35D37"/>
    <w:rsid w:val="00C456EA"/>
    <w:rsid w:val="00C5136E"/>
    <w:rsid w:val="00C53B54"/>
    <w:rsid w:val="00C61301"/>
    <w:rsid w:val="00C6337B"/>
    <w:rsid w:val="00C72285"/>
    <w:rsid w:val="00C75E08"/>
    <w:rsid w:val="00C76AC9"/>
    <w:rsid w:val="00C81344"/>
    <w:rsid w:val="00C816D1"/>
    <w:rsid w:val="00C8349E"/>
    <w:rsid w:val="00C840ED"/>
    <w:rsid w:val="00C86BDC"/>
    <w:rsid w:val="00C9124B"/>
    <w:rsid w:val="00C93C39"/>
    <w:rsid w:val="00CA1A5A"/>
    <w:rsid w:val="00CA2E64"/>
    <w:rsid w:val="00CA76AC"/>
    <w:rsid w:val="00CB5E27"/>
    <w:rsid w:val="00CD131C"/>
    <w:rsid w:val="00CD265F"/>
    <w:rsid w:val="00CE1FC5"/>
    <w:rsid w:val="00CE7BB6"/>
    <w:rsid w:val="00CF3238"/>
    <w:rsid w:val="00CF4BFD"/>
    <w:rsid w:val="00D037F9"/>
    <w:rsid w:val="00D06AC7"/>
    <w:rsid w:val="00D1018C"/>
    <w:rsid w:val="00D10D86"/>
    <w:rsid w:val="00D1221C"/>
    <w:rsid w:val="00D12D1E"/>
    <w:rsid w:val="00D1675C"/>
    <w:rsid w:val="00D16BD7"/>
    <w:rsid w:val="00D24A98"/>
    <w:rsid w:val="00D25228"/>
    <w:rsid w:val="00D256DF"/>
    <w:rsid w:val="00D35BA3"/>
    <w:rsid w:val="00D37120"/>
    <w:rsid w:val="00D55EA8"/>
    <w:rsid w:val="00D57401"/>
    <w:rsid w:val="00D630B6"/>
    <w:rsid w:val="00D63A84"/>
    <w:rsid w:val="00D74B9B"/>
    <w:rsid w:val="00D75722"/>
    <w:rsid w:val="00D823D8"/>
    <w:rsid w:val="00D850A4"/>
    <w:rsid w:val="00D85EA0"/>
    <w:rsid w:val="00D87CAF"/>
    <w:rsid w:val="00D93BC1"/>
    <w:rsid w:val="00D967F6"/>
    <w:rsid w:val="00D96930"/>
    <w:rsid w:val="00D97499"/>
    <w:rsid w:val="00DA443B"/>
    <w:rsid w:val="00DA575E"/>
    <w:rsid w:val="00DB42C4"/>
    <w:rsid w:val="00DB7006"/>
    <w:rsid w:val="00DB77E0"/>
    <w:rsid w:val="00DC3EF3"/>
    <w:rsid w:val="00DC5C3D"/>
    <w:rsid w:val="00DC762A"/>
    <w:rsid w:val="00DD25E4"/>
    <w:rsid w:val="00DD3856"/>
    <w:rsid w:val="00DD4480"/>
    <w:rsid w:val="00DE0FA8"/>
    <w:rsid w:val="00DE3EEF"/>
    <w:rsid w:val="00DE53A5"/>
    <w:rsid w:val="00DF0640"/>
    <w:rsid w:val="00DF2C59"/>
    <w:rsid w:val="00DF5175"/>
    <w:rsid w:val="00DF71D0"/>
    <w:rsid w:val="00DF7B89"/>
    <w:rsid w:val="00E07AF5"/>
    <w:rsid w:val="00E14CDD"/>
    <w:rsid w:val="00E15180"/>
    <w:rsid w:val="00E21E37"/>
    <w:rsid w:val="00E26095"/>
    <w:rsid w:val="00E3072C"/>
    <w:rsid w:val="00E31B04"/>
    <w:rsid w:val="00E32D4C"/>
    <w:rsid w:val="00E40C7F"/>
    <w:rsid w:val="00E46496"/>
    <w:rsid w:val="00E47A34"/>
    <w:rsid w:val="00E527AE"/>
    <w:rsid w:val="00E53FBF"/>
    <w:rsid w:val="00E5601E"/>
    <w:rsid w:val="00E61D3C"/>
    <w:rsid w:val="00E61EAC"/>
    <w:rsid w:val="00E64CAF"/>
    <w:rsid w:val="00E75C27"/>
    <w:rsid w:val="00E83B13"/>
    <w:rsid w:val="00E874CB"/>
    <w:rsid w:val="00E9065B"/>
    <w:rsid w:val="00E941D2"/>
    <w:rsid w:val="00E96C74"/>
    <w:rsid w:val="00E9784F"/>
    <w:rsid w:val="00EA59E5"/>
    <w:rsid w:val="00EA628B"/>
    <w:rsid w:val="00EA70D6"/>
    <w:rsid w:val="00EA7CBB"/>
    <w:rsid w:val="00EB2AB3"/>
    <w:rsid w:val="00EB3CEB"/>
    <w:rsid w:val="00EB4321"/>
    <w:rsid w:val="00EB63ED"/>
    <w:rsid w:val="00EB69E6"/>
    <w:rsid w:val="00EC3956"/>
    <w:rsid w:val="00EC3F2A"/>
    <w:rsid w:val="00ED5AAD"/>
    <w:rsid w:val="00EE0203"/>
    <w:rsid w:val="00EF1088"/>
    <w:rsid w:val="00EF1240"/>
    <w:rsid w:val="00EF5586"/>
    <w:rsid w:val="00F05ED6"/>
    <w:rsid w:val="00F16273"/>
    <w:rsid w:val="00F17836"/>
    <w:rsid w:val="00F229B5"/>
    <w:rsid w:val="00F3023F"/>
    <w:rsid w:val="00F325B9"/>
    <w:rsid w:val="00F372F4"/>
    <w:rsid w:val="00F37B48"/>
    <w:rsid w:val="00F4180B"/>
    <w:rsid w:val="00F43694"/>
    <w:rsid w:val="00F43BF4"/>
    <w:rsid w:val="00F51084"/>
    <w:rsid w:val="00F538B6"/>
    <w:rsid w:val="00F662BC"/>
    <w:rsid w:val="00F66367"/>
    <w:rsid w:val="00F72622"/>
    <w:rsid w:val="00F73245"/>
    <w:rsid w:val="00F75BB1"/>
    <w:rsid w:val="00F810EE"/>
    <w:rsid w:val="00F83AB1"/>
    <w:rsid w:val="00F853B8"/>
    <w:rsid w:val="00F85DF9"/>
    <w:rsid w:val="00F94719"/>
    <w:rsid w:val="00FA47A7"/>
    <w:rsid w:val="00FA5C2F"/>
    <w:rsid w:val="00FA7DA9"/>
    <w:rsid w:val="00FB4201"/>
    <w:rsid w:val="00FB4E86"/>
    <w:rsid w:val="00FB4F90"/>
    <w:rsid w:val="00FB6D00"/>
    <w:rsid w:val="00FB7815"/>
    <w:rsid w:val="00FC1906"/>
    <w:rsid w:val="00FC41C9"/>
    <w:rsid w:val="00FD165B"/>
    <w:rsid w:val="00FD43DC"/>
    <w:rsid w:val="00FE5E8A"/>
    <w:rsid w:val="00FF02EB"/>
    <w:rsid w:val="00FF09A5"/>
    <w:rsid w:val="00FF3A8A"/>
    <w:rsid w:val="017D3386"/>
    <w:rsid w:val="01E21063"/>
    <w:rsid w:val="02263643"/>
    <w:rsid w:val="03894E5C"/>
    <w:rsid w:val="04AD3F66"/>
    <w:rsid w:val="05512160"/>
    <w:rsid w:val="05F65AEB"/>
    <w:rsid w:val="061F58AE"/>
    <w:rsid w:val="076F17EB"/>
    <w:rsid w:val="08967FFC"/>
    <w:rsid w:val="089A1D73"/>
    <w:rsid w:val="090D1CAB"/>
    <w:rsid w:val="096C2F5B"/>
    <w:rsid w:val="0A49556C"/>
    <w:rsid w:val="0A8B4327"/>
    <w:rsid w:val="0CA11DCF"/>
    <w:rsid w:val="0D9C76F5"/>
    <w:rsid w:val="0DD31789"/>
    <w:rsid w:val="0E25014C"/>
    <w:rsid w:val="0E562298"/>
    <w:rsid w:val="0E856C64"/>
    <w:rsid w:val="0E9D751B"/>
    <w:rsid w:val="0EED235F"/>
    <w:rsid w:val="0F220CC4"/>
    <w:rsid w:val="0F731F52"/>
    <w:rsid w:val="0FD603D4"/>
    <w:rsid w:val="0FDF2ED7"/>
    <w:rsid w:val="109769CA"/>
    <w:rsid w:val="118B5E89"/>
    <w:rsid w:val="121D3B68"/>
    <w:rsid w:val="12435567"/>
    <w:rsid w:val="143A0E3D"/>
    <w:rsid w:val="14840AB9"/>
    <w:rsid w:val="14EC4211"/>
    <w:rsid w:val="15113692"/>
    <w:rsid w:val="168A2F6D"/>
    <w:rsid w:val="176F78E3"/>
    <w:rsid w:val="17863422"/>
    <w:rsid w:val="183124AB"/>
    <w:rsid w:val="18E5273A"/>
    <w:rsid w:val="19AD1AD1"/>
    <w:rsid w:val="19D67A8A"/>
    <w:rsid w:val="1B03607B"/>
    <w:rsid w:val="1C753D14"/>
    <w:rsid w:val="1DC56674"/>
    <w:rsid w:val="1E353667"/>
    <w:rsid w:val="1EB854BE"/>
    <w:rsid w:val="1FA46D2F"/>
    <w:rsid w:val="20444BA0"/>
    <w:rsid w:val="209D570D"/>
    <w:rsid w:val="21467A48"/>
    <w:rsid w:val="225C5DCF"/>
    <w:rsid w:val="228F7BFE"/>
    <w:rsid w:val="23C13548"/>
    <w:rsid w:val="24196ED5"/>
    <w:rsid w:val="24480A14"/>
    <w:rsid w:val="24844D8C"/>
    <w:rsid w:val="25371EA9"/>
    <w:rsid w:val="25C41CAC"/>
    <w:rsid w:val="26CD54CD"/>
    <w:rsid w:val="27441C26"/>
    <w:rsid w:val="27780239"/>
    <w:rsid w:val="283B4385"/>
    <w:rsid w:val="28761210"/>
    <w:rsid w:val="2993635D"/>
    <w:rsid w:val="29C57828"/>
    <w:rsid w:val="29FE0CB2"/>
    <w:rsid w:val="2A7019C9"/>
    <w:rsid w:val="2AB40289"/>
    <w:rsid w:val="2B1A4A41"/>
    <w:rsid w:val="2C5335FD"/>
    <w:rsid w:val="2D111F0F"/>
    <w:rsid w:val="2D1F442A"/>
    <w:rsid w:val="2D477F44"/>
    <w:rsid w:val="2E3C11EA"/>
    <w:rsid w:val="2F197E5C"/>
    <w:rsid w:val="2F3D520F"/>
    <w:rsid w:val="2FC72693"/>
    <w:rsid w:val="2FFC1B0C"/>
    <w:rsid w:val="301575CA"/>
    <w:rsid w:val="315E7DFE"/>
    <w:rsid w:val="319B4EBB"/>
    <w:rsid w:val="322339F6"/>
    <w:rsid w:val="3237566A"/>
    <w:rsid w:val="3254542B"/>
    <w:rsid w:val="32B042C0"/>
    <w:rsid w:val="336501BE"/>
    <w:rsid w:val="33E753F3"/>
    <w:rsid w:val="35057E19"/>
    <w:rsid w:val="359674AA"/>
    <w:rsid w:val="361C2314"/>
    <w:rsid w:val="37101ED0"/>
    <w:rsid w:val="372809A5"/>
    <w:rsid w:val="37E822ED"/>
    <w:rsid w:val="3876136E"/>
    <w:rsid w:val="39292D3D"/>
    <w:rsid w:val="39331D10"/>
    <w:rsid w:val="3B3326AC"/>
    <w:rsid w:val="3B42458F"/>
    <w:rsid w:val="3B7267B8"/>
    <w:rsid w:val="3BC63510"/>
    <w:rsid w:val="3BE47904"/>
    <w:rsid w:val="3C194E1D"/>
    <w:rsid w:val="3C623418"/>
    <w:rsid w:val="3C9F3C32"/>
    <w:rsid w:val="3D3B4C88"/>
    <w:rsid w:val="3D513D8F"/>
    <w:rsid w:val="3D5B7393"/>
    <w:rsid w:val="3D740BD6"/>
    <w:rsid w:val="3D944C09"/>
    <w:rsid w:val="3EF16891"/>
    <w:rsid w:val="406B6464"/>
    <w:rsid w:val="40907A5B"/>
    <w:rsid w:val="40E37C31"/>
    <w:rsid w:val="41576DD7"/>
    <w:rsid w:val="41610F40"/>
    <w:rsid w:val="41D028AB"/>
    <w:rsid w:val="41EA69B5"/>
    <w:rsid w:val="42310309"/>
    <w:rsid w:val="42CB7CF2"/>
    <w:rsid w:val="439118F6"/>
    <w:rsid w:val="43D824DF"/>
    <w:rsid w:val="442D508D"/>
    <w:rsid w:val="4452148A"/>
    <w:rsid w:val="45081B54"/>
    <w:rsid w:val="481F439C"/>
    <w:rsid w:val="48456448"/>
    <w:rsid w:val="48A85595"/>
    <w:rsid w:val="48B16C59"/>
    <w:rsid w:val="48F74299"/>
    <w:rsid w:val="49C31FFB"/>
    <w:rsid w:val="4A5B210E"/>
    <w:rsid w:val="4ADB3309"/>
    <w:rsid w:val="4B4073F3"/>
    <w:rsid w:val="4B945CFD"/>
    <w:rsid w:val="4BE40211"/>
    <w:rsid w:val="4CB94DBE"/>
    <w:rsid w:val="4D3B0DF4"/>
    <w:rsid w:val="4EAB4F19"/>
    <w:rsid w:val="4EDA5A77"/>
    <w:rsid w:val="4EE970FE"/>
    <w:rsid w:val="500F1C74"/>
    <w:rsid w:val="501B781C"/>
    <w:rsid w:val="5020399E"/>
    <w:rsid w:val="50577642"/>
    <w:rsid w:val="50691B98"/>
    <w:rsid w:val="509A0D74"/>
    <w:rsid w:val="50A14DBC"/>
    <w:rsid w:val="51104D73"/>
    <w:rsid w:val="51143ECB"/>
    <w:rsid w:val="51ED6F89"/>
    <w:rsid w:val="52AF6285"/>
    <w:rsid w:val="532E6B8B"/>
    <w:rsid w:val="532F7C12"/>
    <w:rsid w:val="53C55A39"/>
    <w:rsid w:val="547B424C"/>
    <w:rsid w:val="54D60AD0"/>
    <w:rsid w:val="55181838"/>
    <w:rsid w:val="55585363"/>
    <w:rsid w:val="55B0523E"/>
    <w:rsid w:val="56321ADE"/>
    <w:rsid w:val="56514DA6"/>
    <w:rsid w:val="565F5A08"/>
    <w:rsid w:val="56EA5354"/>
    <w:rsid w:val="57597DFF"/>
    <w:rsid w:val="587641AC"/>
    <w:rsid w:val="58803EC3"/>
    <w:rsid w:val="58CC71DD"/>
    <w:rsid w:val="58DE2CCE"/>
    <w:rsid w:val="59476810"/>
    <w:rsid w:val="594C1224"/>
    <w:rsid w:val="59700DDF"/>
    <w:rsid w:val="5AFC6564"/>
    <w:rsid w:val="5B694D7F"/>
    <w:rsid w:val="5BA51171"/>
    <w:rsid w:val="5BE456DC"/>
    <w:rsid w:val="5C68355B"/>
    <w:rsid w:val="5CE40234"/>
    <w:rsid w:val="5DB67904"/>
    <w:rsid w:val="5E2F6C5A"/>
    <w:rsid w:val="5F561D90"/>
    <w:rsid w:val="5F8B6F27"/>
    <w:rsid w:val="5FF2742E"/>
    <w:rsid w:val="5FF45307"/>
    <w:rsid w:val="60304BAC"/>
    <w:rsid w:val="608F1EEA"/>
    <w:rsid w:val="60C1654A"/>
    <w:rsid w:val="60D30CF4"/>
    <w:rsid w:val="621070E0"/>
    <w:rsid w:val="644822F8"/>
    <w:rsid w:val="65166DD5"/>
    <w:rsid w:val="6592424A"/>
    <w:rsid w:val="66367EB6"/>
    <w:rsid w:val="66816C0C"/>
    <w:rsid w:val="66934DD7"/>
    <w:rsid w:val="673D0566"/>
    <w:rsid w:val="678A1C19"/>
    <w:rsid w:val="68810E76"/>
    <w:rsid w:val="68C1749D"/>
    <w:rsid w:val="68DF2A67"/>
    <w:rsid w:val="691B7F7B"/>
    <w:rsid w:val="69265322"/>
    <w:rsid w:val="693B65E4"/>
    <w:rsid w:val="6A5164BC"/>
    <w:rsid w:val="6A6C3808"/>
    <w:rsid w:val="6AC8578D"/>
    <w:rsid w:val="6ADD18C9"/>
    <w:rsid w:val="6B17090C"/>
    <w:rsid w:val="6B5E042E"/>
    <w:rsid w:val="6BD753BD"/>
    <w:rsid w:val="6C6729FB"/>
    <w:rsid w:val="6C7E3C82"/>
    <w:rsid w:val="6C9B23FC"/>
    <w:rsid w:val="6CCF77F0"/>
    <w:rsid w:val="6D361EC5"/>
    <w:rsid w:val="6D482B20"/>
    <w:rsid w:val="6D6E547B"/>
    <w:rsid w:val="6D8C5590"/>
    <w:rsid w:val="6F051C6A"/>
    <w:rsid w:val="6F230609"/>
    <w:rsid w:val="6F9E56FA"/>
    <w:rsid w:val="6FFF2F50"/>
    <w:rsid w:val="715312EF"/>
    <w:rsid w:val="71BF6659"/>
    <w:rsid w:val="72096AC6"/>
    <w:rsid w:val="72DC3AFD"/>
    <w:rsid w:val="73261D1B"/>
    <w:rsid w:val="73960A87"/>
    <w:rsid w:val="74783E88"/>
    <w:rsid w:val="74AF5A36"/>
    <w:rsid w:val="753E4538"/>
    <w:rsid w:val="75635EC0"/>
    <w:rsid w:val="75946F18"/>
    <w:rsid w:val="76751E4A"/>
    <w:rsid w:val="777E1788"/>
    <w:rsid w:val="778F120F"/>
    <w:rsid w:val="781213E1"/>
    <w:rsid w:val="796B666A"/>
    <w:rsid w:val="799D4D63"/>
    <w:rsid w:val="7A782E81"/>
    <w:rsid w:val="7B741CBD"/>
    <w:rsid w:val="7C0A4F50"/>
    <w:rsid w:val="7CE65DD7"/>
    <w:rsid w:val="7CFE1215"/>
    <w:rsid w:val="7DE47DA2"/>
    <w:rsid w:val="7E736E44"/>
    <w:rsid w:val="7F4549FB"/>
    <w:rsid w:val="7F456F0B"/>
    <w:rsid w:val="7F550E7F"/>
    <w:rsid w:val="7F9950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72" w:firstLineChars="200"/>
      <w:jc w:val="both"/>
    </w:pPr>
    <w:rPr>
      <w:rFonts w:ascii="Times New Roman" w:hAnsi="Times New Roman" w:eastAsia="方正仿宋_GBK" w:cs="Times New Roman"/>
      <w:kern w:val="2"/>
      <w:sz w:val="32"/>
      <w:szCs w:val="24"/>
      <w:lang w:val="en-US" w:eastAsia="zh-CN" w:bidi="ar-SA"/>
    </w:rPr>
  </w:style>
  <w:style w:type="paragraph" w:styleId="3">
    <w:name w:val="heading 1"/>
    <w:basedOn w:val="1"/>
    <w:next w:val="1"/>
    <w:link w:val="39"/>
    <w:qFormat/>
    <w:uiPriority w:val="0"/>
    <w:pPr>
      <w:keepNext/>
      <w:keepLines/>
      <w:outlineLvl w:val="0"/>
    </w:pPr>
    <w:rPr>
      <w:rFonts w:eastAsia="方正黑体_GBK"/>
      <w:bCs/>
      <w:kern w:val="44"/>
      <w:szCs w:val="44"/>
    </w:rPr>
  </w:style>
  <w:style w:type="paragraph" w:styleId="4">
    <w:name w:val="heading 2"/>
    <w:basedOn w:val="1"/>
    <w:next w:val="1"/>
    <w:link w:val="41"/>
    <w:qFormat/>
    <w:uiPriority w:val="0"/>
    <w:pPr>
      <w:keepNext/>
      <w:keepLines/>
      <w:outlineLvl w:val="1"/>
    </w:pPr>
    <w:rPr>
      <w:rFonts w:eastAsia="方正楷体_GBK"/>
      <w:bCs/>
      <w:szCs w:val="32"/>
    </w:rPr>
  </w:style>
  <w:style w:type="paragraph" w:styleId="5">
    <w:name w:val="heading 3"/>
    <w:basedOn w:val="1"/>
    <w:next w:val="1"/>
    <w:link w:val="45"/>
    <w:qFormat/>
    <w:uiPriority w:val="0"/>
    <w:pPr>
      <w:keepNext/>
      <w:keepLines/>
      <w:outlineLvl w:val="2"/>
    </w:pPr>
    <w:rPr>
      <w:bCs/>
      <w:szCs w:val="32"/>
    </w:rPr>
  </w:style>
  <w:style w:type="paragraph" w:styleId="6">
    <w:name w:val="heading 4"/>
    <w:basedOn w:val="4"/>
    <w:next w:val="1"/>
    <w:link w:val="54"/>
    <w:qFormat/>
    <w:uiPriority w:val="0"/>
    <w:pPr>
      <w:spacing w:before="280" w:after="290" w:line="376" w:lineRule="auto"/>
      <w:outlineLvl w:val="3"/>
    </w:pPr>
    <w:rPr>
      <w:rFonts w:eastAsia="黑体"/>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style>
  <w:style w:type="paragraph" w:styleId="7">
    <w:name w:val="toc 7"/>
    <w:basedOn w:val="1"/>
    <w:next w:val="1"/>
    <w:unhideWhenUsed/>
    <w:qFormat/>
    <w:uiPriority w:val="39"/>
    <w:pPr>
      <w:ind w:left="2520" w:leftChars="1200" w:firstLine="0" w:firstLineChars="0"/>
    </w:pPr>
    <w:rPr>
      <w:rFonts w:asciiTheme="minorHAnsi" w:hAnsiTheme="minorHAnsi" w:eastAsiaTheme="minorEastAsia" w:cstheme="minorBidi"/>
      <w:sz w:val="21"/>
      <w:szCs w:val="22"/>
    </w:rPr>
  </w:style>
  <w:style w:type="paragraph" w:styleId="8">
    <w:name w:val="annotation text"/>
    <w:basedOn w:val="1"/>
    <w:link w:val="63"/>
    <w:qFormat/>
    <w:uiPriority w:val="0"/>
    <w:pPr>
      <w:ind w:firstLine="616"/>
      <w:jc w:val="left"/>
    </w:pPr>
    <w:rPr>
      <w:rFonts w:cstheme="minorBidi"/>
    </w:rPr>
  </w:style>
  <w:style w:type="paragraph" w:styleId="9">
    <w:name w:val="Body Text"/>
    <w:basedOn w:val="1"/>
    <w:link w:val="42"/>
    <w:unhideWhenUsed/>
    <w:qFormat/>
    <w:uiPriority w:val="1"/>
    <w:pPr>
      <w:spacing w:after="120"/>
    </w:pPr>
    <w:rPr>
      <w:rFonts w:eastAsia="仿宋_GB2312"/>
    </w:rPr>
  </w:style>
  <w:style w:type="paragraph" w:styleId="10">
    <w:name w:val="Body Text Indent"/>
    <w:basedOn w:val="1"/>
    <w:link w:val="46"/>
    <w:qFormat/>
    <w:uiPriority w:val="0"/>
    <w:pPr>
      <w:ind w:firstLine="626"/>
    </w:pPr>
    <w:rPr>
      <w:rFonts w:ascii="仿宋_GB2312" w:eastAsia="仿宋_GB2312"/>
      <w:bCs/>
    </w:rPr>
  </w:style>
  <w:style w:type="paragraph" w:styleId="11">
    <w:name w:val="toc 5"/>
    <w:basedOn w:val="1"/>
    <w:next w:val="1"/>
    <w:qFormat/>
    <w:uiPriority w:val="39"/>
    <w:pPr>
      <w:widowControl w:val="0"/>
      <w:ind w:left="1680" w:leftChars="800"/>
      <w:jc w:val="both"/>
    </w:pPr>
    <w:rPr>
      <w:rFonts w:ascii="Calibri" w:hAnsi="Calibri" w:eastAsia="宋体" w:cs="Times New Roman"/>
      <w:kern w:val="2"/>
      <w:sz w:val="32"/>
      <w:szCs w:val="24"/>
      <w:lang w:val="en-US" w:eastAsia="zh-CN" w:bidi="ar-SA"/>
    </w:rPr>
  </w:style>
  <w:style w:type="paragraph" w:styleId="12">
    <w:name w:val="toc 3"/>
    <w:basedOn w:val="1"/>
    <w:next w:val="1"/>
    <w:qFormat/>
    <w:uiPriority w:val="39"/>
    <w:pPr>
      <w:ind w:left="840" w:leftChars="400"/>
    </w:pPr>
  </w:style>
  <w:style w:type="paragraph" w:styleId="13">
    <w:name w:val="Plain Text"/>
    <w:basedOn w:val="1"/>
    <w:unhideWhenUsed/>
    <w:qFormat/>
    <w:uiPriority w:val="99"/>
    <w:rPr>
      <w:rFonts w:ascii="宋体" w:hAnsi="Courier New" w:eastAsia="宋体"/>
      <w:kern w:val="0"/>
      <w:szCs w:val="20"/>
    </w:rPr>
  </w:style>
  <w:style w:type="paragraph" w:styleId="14">
    <w:name w:val="toc 8"/>
    <w:basedOn w:val="1"/>
    <w:next w:val="1"/>
    <w:unhideWhenUsed/>
    <w:qFormat/>
    <w:uiPriority w:val="39"/>
    <w:pPr>
      <w:ind w:left="2940" w:leftChars="1400" w:firstLine="0" w:firstLineChars="0"/>
    </w:pPr>
    <w:rPr>
      <w:rFonts w:asciiTheme="minorHAnsi" w:hAnsiTheme="minorHAnsi" w:eastAsiaTheme="minorEastAsia" w:cstheme="minorBidi"/>
      <w:sz w:val="21"/>
      <w:szCs w:val="22"/>
    </w:rPr>
  </w:style>
  <w:style w:type="paragraph" w:styleId="15">
    <w:name w:val="Date"/>
    <w:basedOn w:val="1"/>
    <w:next w:val="1"/>
    <w:link w:val="66"/>
    <w:qFormat/>
    <w:uiPriority w:val="0"/>
    <w:pPr>
      <w:ind w:left="100" w:leftChars="2500"/>
    </w:pPr>
  </w:style>
  <w:style w:type="paragraph" w:styleId="16">
    <w:name w:val="Balloon Text"/>
    <w:basedOn w:val="1"/>
    <w:link w:val="40"/>
    <w:qFormat/>
    <w:uiPriority w:val="0"/>
    <w:rPr>
      <w:rFonts w:eastAsia="仿宋_GB2312"/>
      <w:sz w:val="18"/>
      <w:szCs w:val="18"/>
    </w:rPr>
  </w:style>
  <w:style w:type="paragraph" w:styleId="17">
    <w:name w:val="footer"/>
    <w:basedOn w:val="1"/>
    <w:link w:val="44"/>
    <w:qFormat/>
    <w:uiPriority w:val="0"/>
    <w:pPr>
      <w:tabs>
        <w:tab w:val="center" w:pos="4153"/>
        <w:tab w:val="right" w:pos="8306"/>
      </w:tabs>
      <w:snapToGrid w:val="0"/>
      <w:jc w:val="left"/>
    </w:pPr>
    <w:rPr>
      <w:rFonts w:eastAsia="仿宋_GB2312"/>
      <w:sz w:val="18"/>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styleId="19">
    <w:name w:val="toc 1"/>
    <w:basedOn w:val="1"/>
    <w:next w:val="1"/>
    <w:qFormat/>
    <w:uiPriority w:val="39"/>
    <w:rPr>
      <w:rFonts w:eastAsia="方正黑体_GBK"/>
    </w:rPr>
  </w:style>
  <w:style w:type="paragraph" w:styleId="20">
    <w:name w:val="toc 4"/>
    <w:basedOn w:val="1"/>
    <w:next w:val="1"/>
    <w:unhideWhenUsed/>
    <w:qFormat/>
    <w:uiPriority w:val="39"/>
    <w:pPr>
      <w:ind w:left="1260" w:leftChars="600" w:firstLine="0" w:firstLineChars="0"/>
    </w:pPr>
    <w:rPr>
      <w:rFonts w:asciiTheme="minorHAnsi" w:hAnsiTheme="minorHAnsi" w:eastAsiaTheme="minorEastAsia" w:cstheme="minorBidi"/>
      <w:sz w:val="21"/>
      <w:szCs w:val="22"/>
    </w:rPr>
  </w:style>
  <w:style w:type="paragraph" w:styleId="21">
    <w:name w:val="toc 6"/>
    <w:basedOn w:val="1"/>
    <w:next w:val="1"/>
    <w:unhideWhenUsed/>
    <w:qFormat/>
    <w:uiPriority w:val="39"/>
    <w:pPr>
      <w:ind w:left="2100" w:leftChars="1000" w:firstLine="0" w:firstLineChars="0"/>
    </w:pPr>
    <w:rPr>
      <w:rFonts w:asciiTheme="minorHAnsi" w:hAnsiTheme="minorHAnsi" w:eastAsiaTheme="minorEastAsia" w:cstheme="minorBidi"/>
      <w:sz w:val="21"/>
      <w:szCs w:val="22"/>
    </w:rPr>
  </w:style>
  <w:style w:type="paragraph" w:styleId="22">
    <w:name w:val="table of figures"/>
    <w:basedOn w:val="1"/>
    <w:next w:val="1"/>
    <w:qFormat/>
    <w:uiPriority w:val="0"/>
    <w:pPr>
      <w:ind w:left="200" w:leftChars="200" w:hanging="200" w:hangingChars="200"/>
    </w:pPr>
    <w:rPr>
      <w:rFonts w:cstheme="minorBidi"/>
    </w:rPr>
  </w:style>
  <w:style w:type="paragraph" w:styleId="23">
    <w:name w:val="toc 2"/>
    <w:basedOn w:val="1"/>
    <w:next w:val="1"/>
    <w:qFormat/>
    <w:uiPriority w:val="39"/>
    <w:pPr>
      <w:ind w:left="420" w:leftChars="200"/>
    </w:pPr>
    <w:rPr>
      <w:rFonts w:eastAsia="方正楷体_GBK"/>
    </w:rPr>
  </w:style>
  <w:style w:type="paragraph" w:styleId="24">
    <w:name w:val="toc 9"/>
    <w:basedOn w:val="1"/>
    <w:next w:val="1"/>
    <w:unhideWhenUsed/>
    <w:qFormat/>
    <w:uiPriority w:val="39"/>
    <w:pPr>
      <w:ind w:left="3360" w:leftChars="1600" w:firstLine="0" w:firstLineChars="0"/>
    </w:pPr>
    <w:rPr>
      <w:rFonts w:asciiTheme="minorHAnsi" w:hAnsiTheme="minorHAnsi" w:eastAsiaTheme="minorEastAsia" w:cstheme="minorBidi"/>
      <w:sz w:val="21"/>
      <w:szCs w:val="22"/>
    </w:rPr>
  </w:style>
  <w:style w:type="paragraph" w:styleId="25">
    <w:name w:val="Normal (Web)"/>
    <w:basedOn w:val="1"/>
    <w:qFormat/>
    <w:uiPriority w:val="99"/>
    <w:rPr>
      <w:sz w:val="24"/>
    </w:rPr>
  </w:style>
  <w:style w:type="paragraph" w:styleId="26">
    <w:name w:val="annotation subject"/>
    <w:basedOn w:val="8"/>
    <w:next w:val="8"/>
    <w:link w:val="64"/>
    <w:qFormat/>
    <w:uiPriority w:val="0"/>
    <w:rPr>
      <w:b/>
      <w:bCs/>
    </w:rPr>
  </w:style>
  <w:style w:type="paragraph" w:styleId="27">
    <w:name w:val="Body Text First Indent"/>
    <w:basedOn w:val="9"/>
    <w:link w:val="56"/>
    <w:qFormat/>
    <w:uiPriority w:val="0"/>
    <w:pPr>
      <w:spacing w:before="153" w:after="0"/>
      <w:ind w:left="120" w:firstLine="420" w:firstLineChars="100"/>
    </w:pPr>
    <w:rPr>
      <w:rFonts w:ascii="方正仿宋_GBK" w:hAnsi="方正仿宋_GBK" w:eastAsia="方正仿宋_GBK" w:cstheme="minorBidi"/>
      <w:sz w:val="28"/>
      <w:szCs w:val="32"/>
    </w:rPr>
  </w:style>
  <w:style w:type="paragraph" w:styleId="28">
    <w:name w:val="Body Text First Indent 2"/>
    <w:basedOn w:val="10"/>
    <w:next w:val="1"/>
    <w:qFormat/>
    <w:uiPriority w:val="0"/>
    <w:pPr>
      <w:ind w:firstLine="420"/>
    </w:pPr>
  </w:style>
  <w:style w:type="table" w:styleId="30">
    <w:name w:val="Table Grid"/>
    <w:basedOn w:val="2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Emphasis"/>
    <w:basedOn w:val="31"/>
    <w:qFormat/>
    <w:uiPriority w:val="0"/>
    <w:rPr>
      <w:i/>
    </w:rPr>
  </w:style>
  <w:style w:type="character" w:styleId="34">
    <w:name w:val="Hyperlink"/>
    <w:unhideWhenUsed/>
    <w:qFormat/>
    <w:uiPriority w:val="99"/>
    <w:rPr>
      <w:color w:val="0563C1"/>
      <w:u w:val="single"/>
    </w:rPr>
  </w:style>
  <w:style w:type="character" w:styleId="35">
    <w:name w:val="annotation reference"/>
    <w:basedOn w:val="31"/>
    <w:qFormat/>
    <w:uiPriority w:val="0"/>
    <w:rPr>
      <w:sz w:val="21"/>
      <w:szCs w:val="21"/>
    </w:rPr>
  </w:style>
  <w:style w:type="paragraph" w:customStyle="1" w:styleId="36">
    <w:name w:val="Char Char1 Char"/>
    <w:basedOn w:val="1"/>
    <w:qFormat/>
    <w:uiPriority w:val="0"/>
    <w:rPr>
      <w:rFonts w:eastAsia="宋体"/>
      <w:sz w:val="21"/>
      <w:szCs w:val="21"/>
    </w:rPr>
  </w:style>
  <w:style w:type="paragraph" w:customStyle="1" w:styleId="37">
    <w:name w:val="p0"/>
    <w:basedOn w:val="1"/>
    <w:qFormat/>
    <w:uiPriority w:val="0"/>
    <w:pPr>
      <w:widowControl/>
    </w:pPr>
    <w:rPr>
      <w:kern w:val="0"/>
      <w:szCs w:val="21"/>
    </w:rPr>
  </w:style>
  <w:style w:type="character" w:customStyle="1" w:styleId="38">
    <w:name w:val="NormalCharacter"/>
    <w:qFormat/>
    <w:uiPriority w:val="0"/>
    <w:rPr>
      <w:rFonts w:ascii="Times New Roman" w:hAnsi="Times New Roman" w:eastAsia="宋体"/>
    </w:rPr>
  </w:style>
  <w:style w:type="character" w:customStyle="1" w:styleId="39">
    <w:name w:val="标题 1 字符"/>
    <w:link w:val="3"/>
    <w:qFormat/>
    <w:uiPriority w:val="0"/>
    <w:rPr>
      <w:rFonts w:ascii="Times New Roman" w:hAnsi="Times New Roman" w:eastAsia="方正黑体_GBK"/>
      <w:bCs/>
      <w:kern w:val="44"/>
      <w:sz w:val="32"/>
      <w:szCs w:val="44"/>
    </w:rPr>
  </w:style>
  <w:style w:type="character" w:customStyle="1" w:styleId="40">
    <w:name w:val="批注框文本 字符"/>
    <w:link w:val="16"/>
    <w:qFormat/>
    <w:uiPriority w:val="0"/>
    <w:rPr>
      <w:rFonts w:eastAsia="仿宋_GB2312"/>
      <w:kern w:val="2"/>
      <w:sz w:val="18"/>
      <w:szCs w:val="18"/>
    </w:rPr>
  </w:style>
  <w:style w:type="character" w:customStyle="1" w:styleId="41">
    <w:name w:val="标题 2 字符"/>
    <w:link w:val="4"/>
    <w:qFormat/>
    <w:uiPriority w:val="0"/>
    <w:rPr>
      <w:rFonts w:ascii="Times New Roman" w:hAnsi="Times New Roman" w:eastAsia="方正楷体_GBK"/>
      <w:bCs/>
      <w:kern w:val="2"/>
      <w:sz w:val="32"/>
      <w:szCs w:val="32"/>
    </w:rPr>
  </w:style>
  <w:style w:type="character" w:customStyle="1" w:styleId="42">
    <w:name w:val="正文文本 字符"/>
    <w:link w:val="9"/>
    <w:qFormat/>
    <w:uiPriority w:val="0"/>
    <w:rPr>
      <w:rFonts w:eastAsia="仿宋_GB2312"/>
      <w:kern w:val="2"/>
      <w:sz w:val="32"/>
      <w:szCs w:val="24"/>
    </w:rPr>
  </w:style>
  <w:style w:type="character" w:customStyle="1" w:styleId="43">
    <w:name w:val="页眉 字符"/>
    <w:link w:val="18"/>
    <w:qFormat/>
    <w:uiPriority w:val="0"/>
    <w:rPr>
      <w:rFonts w:eastAsia="仿宋_GB2312"/>
      <w:kern w:val="2"/>
      <w:sz w:val="18"/>
      <w:szCs w:val="18"/>
    </w:rPr>
  </w:style>
  <w:style w:type="character" w:customStyle="1" w:styleId="44">
    <w:name w:val="页脚 字符"/>
    <w:link w:val="17"/>
    <w:qFormat/>
    <w:uiPriority w:val="99"/>
    <w:rPr>
      <w:rFonts w:eastAsia="仿宋_GB2312"/>
      <w:kern w:val="2"/>
      <w:sz w:val="18"/>
      <w:szCs w:val="18"/>
    </w:rPr>
  </w:style>
  <w:style w:type="character" w:customStyle="1" w:styleId="45">
    <w:name w:val="标题 3 字符"/>
    <w:link w:val="5"/>
    <w:qFormat/>
    <w:uiPriority w:val="0"/>
    <w:rPr>
      <w:rFonts w:eastAsia="方正仿宋_GBK"/>
      <w:bCs/>
      <w:kern w:val="2"/>
      <w:sz w:val="32"/>
      <w:szCs w:val="32"/>
    </w:rPr>
  </w:style>
  <w:style w:type="character" w:customStyle="1" w:styleId="46">
    <w:name w:val="正文文本缩进 字符"/>
    <w:link w:val="10"/>
    <w:qFormat/>
    <w:uiPriority w:val="0"/>
    <w:rPr>
      <w:rFonts w:ascii="仿宋_GB2312" w:eastAsia="仿宋_GB2312"/>
      <w:bCs/>
      <w:kern w:val="2"/>
      <w:sz w:val="32"/>
      <w:szCs w:val="24"/>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表格文本"/>
    <w:basedOn w:val="13"/>
    <w:qFormat/>
    <w:uiPriority w:val="0"/>
    <w:pPr>
      <w:spacing w:line="240" w:lineRule="atLeast"/>
      <w:ind w:firstLine="0" w:firstLineChars="0"/>
      <w:jc w:val="center"/>
    </w:pPr>
    <w:rPr>
      <w:rFonts w:ascii="Times New Roman" w:hAnsi="Times New Roman"/>
      <w:color w:val="000000"/>
      <w:sz w:val="21"/>
      <w:szCs w:val="21"/>
    </w:rPr>
  </w:style>
  <w:style w:type="paragraph" w:customStyle="1" w:styleId="49">
    <w:name w:val="表格"/>
    <w:basedOn w:val="1"/>
    <w:next w:val="1"/>
    <w:qFormat/>
    <w:uiPriority w:val="0"/>
    <w:pPr>
      <w:jc w:val="center"/>
    </w:pPr>
    <w:rPr>
      <w:spacing w:val="10"/>
      <w:kern w:val="0"/>
      <w:sz w:val="20"/>
      <w:szCs w:val="20"/>
    </w:rPr>
  </w:style>
  <w:style w:type="paragraph" w:customStyle="1" w:styleId="50">
    <w:name w:val="Table Paragraph"/>
    <w:basedOn w:val="1"/>
    <w:qFormat/>
    <w:uiPriority w:val="1"/>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4">
    <w:name w:val="标题 4 字符"/>
    <w:basedOn w:val="31"/>
    <w:link w:val="6"/>
    <w:qFormat/>
    <w:uiPriority w:val="0"/>
    <w:rPr>
      <w:rFonts w:eastAsia="黑体"/>
      <w:bCs/>
      <w:kern w:val="2"/>
      <w:sz w:val="28"/>
      <w:szCs w:val="28"/>
    </w:rPr>
  </w:style>
  <w:style w:type="character" w:customStyle="1" w:styleId="55">
    <w:name w:val="Unresolved Mention"/>
    <w:basedOn w:val="31"/>
    <w:semiHidden/>
    <w:unhideWhenUsed/>
    <w:qFormat/>
    <w:uiPriority w:val="99"/>
    <w:rPr>
      <w:color w:val="605E5C"/>
      <w:shd w:val="clear" w:color="auto" w:fill="E1DFDD"/>
    </w:rPr>
  </w:style>
  <w:style w:type="character" w:customStyle="1" w:styleId="56">
    <w:name w:val="正文文本首行缩进 字符"/>
    <w:basedOn w:val="42"/>
    <w:link w:val="27"/>
    <w:qFormat/>
    <w:uiPriority w:val="0"/>
    <w:rPr>
      <w:rFonts w:ascii="方正仿宋_GBK" w:hAnsi="方正仿宋_GBK" w:eastAsia="方正仿宋_GBK" w:cstheme="minorBidi"/>
      <w:kern w:val="2"/>
      <w:sz w:val="28"/>
      <w:szCs w:val="32"/>
    </w:rPr>
  </w:style>
  <w:style w:type="paragraph" w:customStyle="1" w:styleId="5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图表名称"/>
    <w:basedOn w:val="1"/>
    <w:qFormat/>
    <w:uiPriority w:val="0"/>
    <w:pPr>
      <w:ind w:firstLine="0" w:firstLineChars="0"/>
      <w:jc w:val="center"/>
    </w:pPr>
    <w:rPr>
      <w:rFonts w:eastAsia="方正黑体_GBK"/>
      <w:sz w:val="24"/>
    </w:rPr>
  </w:style>
  <w:style w:type="character" w:styleId="59">
    <w:name w:val="Placeholder Text"/>
    <w:basedOn w:val="31"/>
    <w:semiHidden/>
    <w:qFormat/>
    <w:uiPriority w:val="99"/>
    <w:rPr>
      <w:color w:val="808080"/>
    </w:rPr>
  </w:style>
  <w:style w:type="paragraph" w:customStyle="1" w:styleId="60">
    <w:name w:val="列出段落1"/>
    <w:basedOn w:val="1"/>
    <w:qFormat/>
    <w:uiPriority w:val="34"/>
    <w:pPr>
      <w:ind w:firstLine="420"/>
    </w:pPr>
    <w:rPr>
      <w:rFonts w:cstheme="minorBidi"/>
      <w:szCs w:val="22"/>
    </w:rPr>
  </w:style>
  <w:style w:type="paragraph" w:styleId="61">
    <w:name w:val="List Paragraph"/>
    <w:basedOn w:val="1"/>
    <w:qFormat/>
    <w:uiPriority w:val="99"/>
    <w:pPr>
      <w:ind w:firstLine="420"/>
    </w:pPr>
    <w:rPr>
      <w:rFonts w:cstheme="minorBidi"/>
    </w:rPr>
  </w:style>
  <w:style w:type="character" w:customStyle="1" w:styleId="62">
    <w:name w:val="zi1"/>
    <w:qFormat/>
    <w:uiPriority w:val="0"/>
    <w:rPr>
      <w:color w:val="000000"/>
      <w:sz w:val="18"/>
      <w:szCs w:val="18"/>
    </w:rPr>
  </w:style>
  <w:style w:type="character" w:customStyle="1" w:styleId="63">
    <w:name w:val="批注文字 字符"/>
    <w:basedOn w:val="31"/>
    <w:link w:val="8"/>
    <w:qFormat/>
    <w:uiPriority w:val="0"/>
    <w:rPr>
      <w:rFonts w:eastAsia="方正仿宋_GBK" w:cstheme="minorBidi"/>
      <w:kern w:val="2"/>
      <w:sz w:val="32"/>
      <w:szCs w:val="24"/>
    </w:rPr>
  </w:style>
  <w:style w:type="character" w:customStyle="1" w:styleId="64">
    <w:name w:val="批注主题 字符"/>
    <w:basedOn w:val="63"/>
    <w:link w:val="26"/>
    <w:qFormat/>
    <w:uiPriority w:val="0"/>
    <w:rPr>
      <w:rFonts w:eastAsia="方正仿宋_GBK" w:cstheme="minorBidi"/>
      <w:b/>
      <w:bCs/>
      <w:kern w:val="2"/>
      <w:sz w:val="32"/>
      <w:szCs w:val="24"/>
    </w:rPr>
  </w:style>
  <w:style w:type="paragraph" w:customStyle="1" w:styleId="65">
    <w:name w:val="TOC Heading"/>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376092" w:themeColor="accent1" w:themeShade="BF"/>
      <w:kern w:val="0"/>
      <w:szCs w:val="32"/>
    </w:rPr>
  </w:style>
  <w:style w:type="character" w:customStyle="1" w:styleId="66">
    <w:name w:val="日期 字符"/>
    <w:basedOn w:val="31"/>
    <w:link w:val="15"/>
    <w:qFormat/>
    <w:uiPriority w:val="0"/>
    <w:rPr>
      <w:rFonts w:eastAsia="方正仿宋_GBK"/>
      <w:kern w:val="2"/>
      <w:sz w:val="32"/>
      <w:szCs w:val="24"/>
    </w:r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TOC 标题1"/>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376092"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3458;&#25143;&#21333;&#20301;\&#37325;&#24198;&#24066;&#29615;&#20445;&#23616;\&#21457;&#25991;&#27169;&#26495;\&#21442;&#25968;&#25991;&#26723;\&#28189;&#2961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A00659-AA0F-4C45-A88F-B1A3F51ADD13}">
  <ds:schemaRefs/>
</ds:datastoreItem>
</file>

<file path=docProps/app.xml><?xml version="1.0" encoding="utf-8"?>
<Properties xmlns="http://schemas.openxmlformats.org/officeDocument/2006/extended-properties" xmlns:vt="http://schemas.openxmlformats.org/officeDocument/2006/docPropsVTypes">
  <Template>渝环.dot</Template>
  <Company>重庆市环保局</Company>
  <Pages>68</Pages>
  <Words>24084</Words>
  <Characters>26859</Characters>
  <Lines>242</Lines>
  <Paragraphs>68</Paragraphs>
  <TotalTime>0</TotalTime>
  <ScaleCrop>false</ScaleCrop>
  <LinksUpToDate>false</LinksUpToDate>
  <CharactersWithSpaces>26985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2022-11-14T02:10:00Z</dcterms:created>
  <dc:creator>番茄花园</dc:creator>
  <cp:lastModifiedBy>曾海龙</cp:lastModifiedBy>
  <cp:lastPrinted>2023-04-13T01:56:17Z</cp:lastPrinted>
  <dcterms:modified xsi:type="dcterms:W3CDTF">2023-04-13T02:47:31Z</dcterms:modified>
  <dc:title>重庆市环境保护局</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1154641274_embed</vt:lpwstr>
  </property>
  <property fmtid="{D5CDD505-2E9C-101B-9397-08002B2CF9AE}" pid="4" name="ICV">
    <vt:lpwstr>142146388FCD489597CD32AB294D8323</vt:lpwstr>
  </property>
</Properties>
</file>