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D8E2C">
      <w:pPr>
        <w:spacing w:line="700" w:lineRule="exact"/>
        <w:jc w:val="center"/>
        <w:rPr>
          <w:rFonts w:hint="default" w:ascii="Times New Roman" w:hAnsi="Times New Roman" w:eastAsia="方正小标宋_GBK" w:cs="Times New Roman"/>
          <w:color w:val="auto"/>
          <w:sz w:val="44"/>
          <w:szCs w:val="44"/>
        </w:rPr>
      </w:pPr>
      <w:bookmarkStart w:id="0" w:name="_Toc104020664"/>
    </w:p>
    <w:p w14:paraId="0E4A918E">
      <w:pPr>
        <w:spacing w:line="700" w:lineRule="exact"/>
        <w:jc w:val="center"/>
        <w:rPr>
          <w:rFonts w:hint="default" w:ascii="Times New Roman" w:hAnsi="Times New Roman" w:eastAsia="方正小标宋_GBK" w:cs="Times New Roman"/>
          <w:color w:val="auto"/>
          <w:sz w:val="44"/>
          <w:szCs w:val="44"/>
        </w:rPr>
      </w:pPr>
    </w:p>
    <w:p w14:paraId="529692A6">
      <w:pPr>
        <w:spacing w:line="700" w:lineRule="exact"/>
        <w:jc w:val="center"/>
        <w:rPr>
          <w:rFonts w:hint="default" w:ascii="Times New Roman" w:hAnsi="Times New Roman" w:eastAsia="方正小标宋_GBK" w:cs="Times New Roman"/>
          <w:color w:val="auto"/>
          <w:sz w:val="44"/>
          <w:szCs w:val="44"/>
        </w:rPr>
      </w:pPr>
    </w:p>
    <w:p w14:paraId="21808F66">
      <w:pPr>
        <w:spacing w:line="700" w:lineRule="exact"/>
        <w:jc w:val="center"/>
        <w:rPr>
          <w:rFonts w:hint="default" w:ascii="Times New Roman" w:hAnsi="Times New Roman" w:eastAsia="方正小标宋_GBK" w:cs="Times New Roman"/>
          <w:color w:val="auto"/>
          <w:sz w:val="44"/>
          <w:szCs w:val="44"/>
        </w:rPr>
      </w:pPr>
    </w:p>
    <w:p w14:paraId="647D0570">
      <w:pPr>
        <w:pStyle w:val="2"/>
        <w:keepNext/>
        <w:keepLines/>
        <w:pageBreakBefore w:val="0"/>
        <w:widowControl w:val="0"/>
        <w:kinsoku/>
        <w:wordWrap/>
        <w:overflowPunct/>
        <w:topLinePunct w:val="0"/>
        <w:autoSpaceDE w:val="0"/>
        <w:autoSpaceDN w:val="0"/>
        <w:bidi w:val="0"/>
        <w:adjustRightInd/>
        <w:snapToGrid/>
        <w:spacing w:before="350" w:beforeLines="60"/>
        <w:ind w:left="0" w:leftChars="0" w:firstLine="0" w:firstLineChars="0"/>
        <w:textAlignment w:val="auto"/>
        <w:rPr>
          <w:rFonts w:hint="default" w:ascii="Times New Roman" w:hAnsi="Times New Roman"/>
        </w:rPr>
      </w:pPr>
    </w:p>
    <w:p w14:paraId="58607435">
      <w:pPr>
        <w:rPr>
          <w:rFonts w:hint="default" w:ascii="Times New Roman" w:hAnsi="Times New Roman"/>
        </w:rPr>
      </w:pPr>
    </w:p>
    <w:p w14:paraId="664A58B5">
      <w:pPr>
        <w:keepNext w:val="0"/>
        <w:keepLines w:val="0"/>
        <w:pageBreakBefore w:val="0"/>
        <w:widowControl w:val="0"/>
        <w:kinsoku/>
        <w:wordWrap/>
        <w:overflowPunct/>
        <w:topLinePunct w:val="0"/>
        <w:autoSpaceDE w:val="0"/>
        <w:autoSpaceDN w:val="0"/>
        <w:bidi w:val="0"/>
        <w:adjustRightInd/>
        <w:snapToGrid/>
        <w:spacing w:line="6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垫沙坪府发〔</w:t>
      </w:r>
      <w:r>
        <w:rPr>
          <w:rFonts w:hint="default" w:ascii="Times New Roman" w:hAnsi="Times New Roman" w:eastAsia="方正楷体_GBK" w:cs="Times New Roman"/>
          <w:color w:val="auto"/>
          <w:sz w:val="32"/>
          <w:szCs w:val="32"/>
        </w:rPr>
        <w:t>20</w:t>
      </w:r>
      <w:r>
        <w:rPr>
          <w:rFonts w:hint="default" w:ascii="Times New Roman" w:hAnsi="Times New Roman" w:eastAsia="方正楷体_GBK" w:cs="Times New Roman"/>
          <w:color w:val="auto"/>
          <w:sz w:val="32"/>
          <w:szCs w:val="32"/>
          <w:lang w:val="en-US" w:eastAsia="zh-CN"/>
        </w:rPr>
        <w:t>2</w:t>
      </w:r>
      <w:r>
        <w:rPr>
          <w:rFonts w:hint="eastAsia" w:ascii="Times New Roman" w:hAnsi="Times New Roman" w:eastAsia="方正楷体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p>
    <w:p w14:paraId="1650B3F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default" w:ascii="Times New Roman" w:hAnsi="Times New Roman" w:eastAsia="方正小标宋_GBK" w:cs="Times New Roman"/>
          <w:b/>
          <w:color w:val="auto"/>
          <w:spacing w:val="-6"/>
          <w:kern w:val="0"/>
          <w:sz w:val="44"/>
          <w:szCs w:val="44"/>
          <w:lang w:val="en-US" w:eastAsia="zh-CN"/>
        </w:rPr>
      </w:pPr>
    </w:p>
    <w:p w14:paraId="3198D4C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default" w:ascii="Times New Roman" w:hAnsi="Times New Roman" w:eastAsia="方正小标宋_GBK" w:cs="Times New Roman"/>
          <w:b/>
          <w:color w:val="auto"/>
          <w:spacing w:val="-6"/>
          <w:kern w:val="0"/>
          <w:sz w:val="44"/>
          <w:szCs w:val="44"/>
          <w:lang w:val="en-US" w:eastAsia="zh-CN"/>
        </w:rPr>
      </w:pPr>
    </w:p>
    <w:p w14:paraId="465AB6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方正小标宋_GBK"/>
          <w:color w:val="auto"/>
          <w:sz w:val="44"/>
          <w:szCs w:val="44"/>
        </w:rPr>
        <w:t>垫江县沙坪镇人民政府</w:t>
      </w:r>
      <w:bookmarkEnd w:id="0"/>
    </w:p>
    <w:p w14:paraId="2F122453">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Times New Roman" w:hAnsi="Times New Roman" w:eastAsia="方正小标宋_GBK" w:cs="方正小标宋_GBK"/>
          <w:b w:val="0"/>
          <w:bCs/>
          <w:sz w:val="44"/>
          <w:szCs w:val="44"/>
        </w:rPr>
      </w:pPr>
      <w:r>
        <w:rPr>
          <w:rFonts w:hint="eastAsia" w:ascii="Times New Roman" w:hAnsi="Times New Roman" w:eastAsia="方正小标宋_GBK" w:cs="方正小标宋_GBK"/>
          <w:b w:val="0"/>
          <w:bCs/>
          <w:sz w:val="44"/>
          <w:szCs w:val="44"/>
        </w:rPr>
        <w:t>关于印发</w:t>
      </w:r>
      <w:r>
        <w:rPr>
          <w:rFonts w:hint="eastAsia" w:ascii="Times New Roman" w:hAnsi="Times New Roman" w:eastAsia="方正小标宋_GBK" w:cs="方正小标宋_GBK"/>
          <w:b w:val="0"/>
          <w:bCs/>
          <w:color w:val="000000"/>
          <w:sz w:val="44"/>
          <w:szCs w:val="44"/>
        </w:rPr>
        <w:t>202</w:t>
      </w:r>
      <w:r>
        <w:rPr>
          <w:rFonts w:hint="eastAsia" w:ascii="Times New Roman" w:hAnsi="Times New Roman" w:eastAsia="方正小标宋_GBK" w:cs="方正小标宋_GBK"/>
          <w:b w:val="0"/>
          <w:bCs/>
          <w:color w:val="000000"/>
          <w:sz w:val="44"/>
          <w:szCs w:val="44"/>
          <w:lang w:val="en-US" w:eastAsia="zh-CN"/>
        </w:rPr>
        <w:t>5</w:t>
      </w:r>
      <w:r>
        <w:rPr>
          <w:rFonts w:hint="eastAsia" w:ascii="Times New Roman" w:hAnsi="Times New Roman" w:eastAsia="方正小标宋_GBK" w:cs="方正小标宋_GBK"/>
          <w:b w:val="0"/>
          <w:bCs/>
          <w:color w:val="000000"/>
          <w:sz w:val="44"/>
          <w:szCs w:val="44"/>
        </w:rPr>
        <w:t>年安全</w:t>
      </w:r>
      <w:r>
        <w:rPr>
          <w:rFonts w:hint="eastAsia" w:ascii="Times New Roman" w:hAnsi="Times New Roman" w:eastAsia="方正小标宋_GBK" w:cs="方正小标宋_GBK"/>
          <w:b w:val="0"/>
          <w:bCs/>
          <w:color w:val="000000"/>
          <w:sz w:val="44"/>
          <w:szCs w:val="44"/>
          <w:lang w:eastAsia="zh-CN"/>
        </w:rPr>
        <w:t>生产监督检查</w:t>
      </w:r>
      <w:r>
        <w:rPr>
          <w:rFonts w:hint="eastAsia" w:ascii="Times New Roman" w:hAnsi="Times New Roman" w:eastAsia="方正小标宋_GBK" w:cs="方正小标宋_GBK"/>
          <w:b w:val="0"/>
          <w:bCs/>
          <w:color w:val="000000"/>
          <w:sz w:val="44"/>
          <w:szCs w:val="44"/>
        </w:rPr>
        <w:t>执法计划</w:t>
      </w:r>
      <w:r>
        <w:rPr>
          <w:rFonts w:hint="eastAsia" w:ascii="Times New Roman" w:hAnsi="Times New Roman" w:eastAsia="方正小标宋_GBK" w:cs="方正小标宋_GBK"/>
          <w:b w:val="0"/>
          <w:bCs/>
          <w:sz w:val="44"/>
          <w:szCs w:val="44"/>
        </w:rPr>
        <w:t>的通</w:t>
      </w:r>
      <w:r>
        <w:rPr>
          <w:rFonts w:hint="eastAsia" w:ascii="Times New Roman" w:hAnsi="Times New Roman" w:eastAsia="方正小标宋_GBK" w:cs="方正小标宋_GBK"/>
          <w:b w:val="0"/>
          <w:bCs/>
          <w:sz w:val="44"/>
          <w:szCs w:val="44"/>
          <w:lang w:val="en-US" w:eastAsia="zh-CN"/>
        </w:rPr>
        <w:t xml:space="preserve">  </w:t>
      </w:r>
      <w:r>
        <w:rPr>
          <w:rFonts w:hint="eastAsia" w:ascii="Times New Roman" w:hAnsi="Times New Roman" w:eastAsia="方正小标宋_GBK" w:cs="方正小标宋_GBK"/>
          <w:b w:val="0"/>
          <w:bCs/>
          <w:sz w:val="44"/>
          <w:szCs w:val="44"/>
        </w:rPr>
        <w:t>知</w:t>
      </w:r>
    </w:p>
    <w:p w14:paraId="40D0543F">
      <w:pPr>
        <w:widowControl w:val="0"/>
        <w:autoSpaceDE w:val="0"/>
        <w:autoSpaceDN w:val="0"/>
        <w:adjustRightInd w:val="0"/>
        <w:rPr>
          <w:rFonts w:hint="eastAsia" w:ascii="Times New Roman" w:hAnsi="Times New Roman" w:eastAsia="仿宋_GB2312" w:cs="仿宋_GB2312"/>
          <w:color w:val="000000"/>
          <w:sz w:val="24"/>
          <w:szCs w:val="24"/>
          <w:lang w:val="en-US" w:eastAsia="zh-CN" w:bidi="ar-SA"/>
        </w:rPr>
      </w:pPr>
    </w:p>
    <w:p w14:paraId="750A449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Times New Roman" w:hAnsi="Times New Roman" w:eastAsia="方正楷体_GBK" w:cs="方正楷体_GBK"/>
          <w:kern w:val="0"/>
          <w:sz w:val="32"/>
          <w:szCs w:val="32"/>
          <w:lang w:val="en-US" w:eastAsia="zh-CN" w:bidi="ar-SA"/>
        </w:rPr>
      </w:pPr>
      <w:r>
        <w:rPr>
          <w:rFonts w:hint="eastAsia" w:ascii="Times New Roman" w:hAnsi="Times New Roman" w:eastAsia="方正楷体_GBK" w:cs="方正楷体_GBK"/>
          <w:kern w:val="0"/>
          <w:sz w:val="32"/>
          <w:szCs w:val="32"/>
          <w:lang w:val="en-US" w:eastAsia="zh-CN" w:bidi="ar-SA"/>
        </w:rPr>
        <w:t>各村（社区），镇级各部门，镇辖各单位：　　</w:t>
      </w:r>
    </w:p>
    <w:p w14:paraId="057E5DF6">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Times New Roman" w:hAnsi="Times New Roman" w:eastAsia="方正楷体_GBK" w:cs="方正楷体_GBK"/>
          <w:kern w:val="0"/>
          <w:sz w:val="32"/>
          <w:szCs w:val="32"/>
          <w:lang w:val="en-US" w:eastAsia="zh-CN" w:bidi="ar-SA"/>
        </w:rPr>
      </w:pPr>
      <w:r>
        <w:rPr>
          <w:rFonts w:hint="eastAsia" w:ascii="Times New Roman" w:hAnsi="Times New Roman" w:eastAsia="方正楷体_GBK" w:cs="方正楷体_GBK"/>
          <w:kern w:val="0"/>
          <w:sz w:val="32"/>
          <w:szCs w:val="32"/>
          <w:lang w:val="en-US" w:eastAsia="zh-CN" w:bidi="ar-SA"/>
        </w:rPr>
        <w:t>　　《沙坪镇2025年安全生产监督检查执法计划》已经镇政府同意，现印发给你们，请遵照执行。</w:t>
      </w:r>
    </w:p>
    <w:p w14:paraId="70D9191E">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Times New Roman" w:hAnsi="Times New Roman" w:eastAsia="方正楷体_GBK" w:cs="方正楷体_GBK"/>
          <w:kern w:val="0"/>
          <w:sz w:val="32"/>
          <w:szCs w:val="32"/>
          <w:lang w:val="en-US" w:eastAsia="zh-CN" w:bidi="ar-SA"/>
        </w:rPr>
      </w:pPr>
    </w:p>
    <w:p w14:paraId="6A3423F1">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Times New Roman" w:hAnsi="Times New Roman" w:eastAsia="方正楷体_GBK" w:cs="方正楷体_GBK"/>
          <w:kern w:val="0"/>
          <w:sz w:val="32"/>
          <w:szCs w:val="32"/>
          <w:lang w:val="en-US" w:eastAsia="zh-CN" w:bidi="ar-SA"/>
        </w:rPr>
      </w:pPr>
    </w:p>
    <w:p w14:paraId="13CA4927">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eastAsia" w:ascii="Times New Roman" w:hAnsi="Times New Roman" w:eastAsia="方正楷体_GBK" w:cs="方正楷体_GBK"/>
          <w:kern w:val="0"/>
          <w:sz w:val="32"/>
          <w:szCs w:val="32"/>
          <w:lang w:val="en-US" w:eastAsia="zh-CN" w:bidi="ar-SA"/>
        </w:rPr>
      </w:pPr>
      <w:r>
        <w:rPr>
          <w:rFonts w:hint="eastAsia" w:ascii="Times New Roman" w:hAnsi="Times New Roman" w:eastAsia="方正楷体_GBK" w:cs="方正楷体_GBK"/>
          <w:kern w:val="0"/>
          <w:sz w:val="32"/>
          <w:szCs w:val="32"/>
          <w:lang w:val="en-US" w:eastAsia="zh-CN" w:bidi="ar-SA"/>
        </w:rPr>
        <w:t>　　　　　　　　　　　　　　　垫江县沙坪镇人民政府</w:t>
      </w:r>
    </w:p>
    <w:p w14:paraId="2B606D1D">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Times New Roman" w:hAnsi="Times New Roman" w:eastAsia="方正楷体_GBK" w:cs="方正楷体_GBK"/>
          <w:kern w:val="0"/>
          <w:sz w:val="32"/>
          <w:szCs w:val="32"/>
          <w:lang w:val="en-US" w:eastAsia="zh-CN" w:bidi="ar-SA"/>
        </w:rPr>
      </w:pPr>
      <w:r>
        <w:rPr>
          <w:rFonts w:hint="eastAsia" w:ascii="Times New Roman" w:hAnsi="Times New Roman" w:eastAsia="方正楷体_GBK" w:cs="方正楷体_GBK"/>
          <w:kern w:val="0"/>
          <w:sz w:val="32"/>
          <w:szCs w:val="32"/>
          <w:lang w:val="en-US" w:eastAsia="zh-CN" w:bidi="ar-SA"/>
        </w:rPr>
        <w:t>　　　　　　　　　　　　　　　　2025年1月20日</w:t>
      </w:r>
    </w:p>
    <w:p w14:paraId="69236ADB">
      <w:pPr>
        <w:ind w:firstLine="640" w:firstLineChars="200"/>
        <w:rPr>
          <w:rFonts w:ascii="Times New Roman" w:hAnsi="Times New Roman" w:eastAsia="方正仿宋_GBK" w:cs="Times New Roman"/>
          <w:color w:val="000000"/>
          <w:sz w:val="32"/>
          <w:szCs w:val="24"/>
        </w:rPr>
      </w:pPr>
    </w:p>
    <w:p w14:paraId="0A048394">
      <w:pPr>
        <w:adjustRightInd w:val="0"/>
        <w:snapToGrid w:val="0"/>
        <w:spacing w:line="560" w:lineRule="exact"/>
        <w:jc w:val="center"/>
        <w:rPr>
          <w:rFonts w:hint="eastAsia" w:ascii="Times New Roman" w:hAnsi="Times New Roman" w:eastAsia="方正小标宋_GBK" w:cs="方正小标宋_GBK"/>
          <w:b w:val="0"/>
          <w:bCs w:val="0"/>
          <w:color w:val="000000"/>
          <w:sz w:val="44"/>
          <w:szCs w:val="44"/>
        </w:rPr>
      </w:pPr>
      <w:r>
        <w:rPr>
          <w:rFonts w:hint="eastAsia" w:ascii="Times New Roman" w:hAnsi="Times New Roman" w:eastAsia="方正小标宋_GBK" w:cs="方正小标宋_GBK"/>
          <w:b w:val="0"/>
          <w:bCs w:val="0"/>
          <w:color w:val="000000"/>
          <w:sz w:val="44"/>
          <w:szCs w:val="44"/>
          <w:lang w:val="en-US" w:eastAsia="zh-CN"/>
        </w:rPr>
        <w:t>沙坪镇</w:t>
      </w:r>
      <w:r>
        <w:rPr>
          <w:rFonts w:hint="eastAsia" w:ascii="Times New Roman" w:hAnsi="Times New Roman" w:eastAsia="方正小标宋_GBK" w:cs="方正小标宋_GBK"/>
          <w:b w:val="0"/>
          <w:bCs w:val="0"/>
          <w:color w:val="000000"/>
          <w:sz w:val="44"/>
          <w:szCs w:val="44"/>
        </w:rPr>
        <w:t>202</w:t>
      </w:r>
      <w:r>
        <w:rPr>
          <w:rFonts w:hint="eastAsia" w:ascii="Times New Roman" w:hAnsi="Times New Roman" w:eastAsia="方正小标宋_GBK" w:cs="方正小标宋_GBK"/>
          <w:b w:val="0"/>
          <w:bCs w:val="0"/>
          <w:color w:val="000000"/>
          <w:sz w:val="44"/>
          <w:szCs w:val="44"/>
          <w:lang w:val="en-US" w:eastAsia="zh-CN"/>
        </w:rPr>
        <w:t>5</w:t>
      </w:r>
      <w:r>
        <w:rPr>
          <w:rFonts w:hint="eastAsia" w:ascii="Times New Roman" w:hAnsi="Times New Roman" w:eastAsia="方正小标宋_GBK" w:cs="方正小标宋_GBK"/>
          <w:b w:val="0"/>
          <w:bCs w:val="0"/>
          <w:color w:val="000000"/>
          <w:sz w:val="44"/>
          <w:szCs w:val="44"/>
        </w:rPr>
        <w:t>年安全</w:t>
      </w:r>
      <w:r>
        <w:rPr>
          <w:rFonts w:hint="eastAsia" w:ascii="Times New Roman" w:hAnsi="Times New Roman" w:eastAsia="方正小标宋_GBK" w:cs="方正小标宋_GBK"/>
          <w:b w:val="0"/>
          <w:bCs w:val="0"/>
          <w:color w:val="000000"/>
          <w:sz w:val="44"/>
          <w:szCs w:val="44"/>
          <w:lang w:eastAsia="zh-CN"/>
        </w:rPr>
        <w:t>生产监督检查</w:t>
      </w:r>
      <w:r>
        <w:rPr>
          <w:rFonts w:hint="eastAsia" w:ascii="Times New Roman" w:hAnsi="Times New Roman" w:eastAsia="方正小标宋_GBK" w:cs="方正小标宋_GBK"/>
          <w:b w:val="0"/>
          <w:bCs w:val="0"/>
          <w:color w:val="000000"/>
          <w:sz w:val="44"/>
          <w:szCs w:val="44"/>
        </w:rPr>
        <w:t>执法计划</w:t>
      </w:r>
    </w:p>
    <w:p w14:paraId="25C30787">
      <w:pPr>
        <w:widowControl w:val="0"/>
        <w:autoSpaceDE w:val="0"/>
        <w:autoSpaceDN w:val="0"/>
        <w:adjustRightInd w:val="0"/>
        <w:rPr>
          <w:rFonts w:hint="eastAsia" w:ascii="Times New Roman" w:hAnsi="Times New Roman" w:eastAsia="宋体" w:cs="宋体"/>
          <w:i w:val="0"/>
          <w:caps w:val="0"/>
          <w:color w:val="000000"/>
          <w:spacing w:val="0"/>
          <w:sz w:val="31"/>
          <w:szCs w:val="31"/>
          <w:shd w:val="clear" w:color="auto" w:fill="FFFFFF"/>
          <w:lang w:val="en-US" w:eastAsia="zh-CN" w:bidi="ar-SA"/>
        </w:rPr>
      </w:pPr>
    </w:p>
    <w:p w14:paraId="201B06B9">
      <w:pPr>
        <w:keepNext w:val="0"/>
        <w:keepLines w:val="0"/>
        <w:pageBreakBefore w:val="0"/>
        <w:widowControl w:val="0"/>
        <w:kinsoku/>
        <w:wordWrap/>
        <w:overflowPunct/>
        <w:topLinePunct w:val="0"/>
        <w:autoSpaceDE w:val="0"/>
        <w:autoSpaceDN w:val="0"/>
        <w:bidi w:val="0"/>
        <w:adjustRightInd w:val="0"/>
        <w:snapToGrid/>
        <w:spacing w:line="596" w:lineRule="exact"/>
        <w:textAlignment w:val="auto"/>
        <w:rPr>
          <w:rFonts w:hint="eastAsia" w:ascii="Times New Roman" w:hAnsi="Times New Roman" w:eastAsia="方正仿宋_GBK" w:cs="方正仿宋_GBK"/>
          <w:color w:val="auto"/>
          <w:sz w:val="32"/>
          <w:szCs w:val="32"/>
          <w:lang w:val="en-US" w:eastAsia="zh-CN" w:bidi="ar-SA"/>
        </w:rPr>
      </w:pPr>
      <w:r>
        <w:rPr>
          <w:rFonts w:hint="eastAsia" w:ascii="Times New Roman" w:hAnsi="Times New Roman" w:eastAsia="宋体" w:cs="宋体"/>
          <w:i w:val="0"/>
          <w:caps w:val="0"/>
          <w:color w:val="000000"/>
          <w:spacing w:val="0"/>
          <w:sz w:val="31"/>
          <w:szCs w:val="31"/>
          <w:shd w:val="clear" w:color="auto" w:fill="FFFFFF"/>
          <w:lang w:val="en-US" w:eastAsia="zh-CN" w:bidi="ar-SA"/>
        </w:rPr>
        <w:t xml:space="preserve">   </w:t>
      </w:r>
      <w:r>
        <w:rPr>
          <w:rFonts w:hint="eastAsia" w:ascii="Times New Roman" w:hAnsi="Times New Roman" w:eastAsia="仿宋" w:cs="仿宋"/>
          <w:i w:val="0"/>
          <w:caps w:val="0"/>
          <w:color w:val="000000"/>
          <w:spacing w:val="0"/>
          <w:sz w:val="32"/>
          <w:szCs w:val="32"/>
          <w:shd w:val="clear" w:color="auto" w:fill="FFFFFF"/>
          <w:lang w:val="en-US" w:eastAsia="zh-CN" w:bidi="ar-SA"/>
        </w:rPr>
        <w:t xml:space="preserve"> </w:t>
      </w:r>
      <w:r>
        <w:rPr>
          <w:rFonts w:hint="eastAsia" w:ascii="Times New Roman" w:hAnsi="Times New Roman" w:eastAsia="方正仿宋_GBK" w:cs="方正仿宋_GBK"/>
          <w:i w:val="0"/>
          <w:caps w:val="0"/>
          <w:color w:val="auto"/>
          <w:spacing w:val="0"/>
          <w:sz w:val="32"/>
          <w:szCs w:val="32"/>
          <w:shd w:val="clear" w:color="auto" w:fill="FFFFFF"/>
          <w:lang w:val="en-US" w:eastAsia="zh-CN" w:bidi="ar-SA"/>
        </w:rPr>
        <w:t>为进一步增强安全生产监管工作的针对性和有效性，正确履行安全生产监管职责，规范监管执法行为，提高监管执法效能，防范和减少生产安全事故的发生，确保全镇安全生产形势持续稳定，根据《中华人民共和国安全生产法》《安全生产监管监察职责和行政执法责任追究的规定》《中共中央 国务院关于推进安全生产领域改革发展的意见》等有关规定，结合我镇法定职责、监管权限、执法人员数量、生产经营单位状况、技术装备和经费保障等实际，制定本计划。</w:t>
      </w:r>
    </w:p>
    <w:p w14:paraId="42A3041E">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黑体_GBK" w:cs="Times New Roman"/>
          <w:color w:val="auto"/>
          <w:sz w:val="32"/>
          <w:szCs w:val="24"/>
        </w:rPr>
      </w:pPr>
      <w:r>
        <w:rPr>
          <w:rFonts w:ascii="Times New Roman" w:hAnsi="Times New Roman" w:eastAsia="方正黑体_GBK" w:cs="Times New Roman"/>
          <w:color w:val="auto"/>
          <w:sz w:val="32"/>
          <w:szCs w:val="24"/>
        </w:rPr>
        <w:t>一、工作目标</w:t>
      </w:r>
    </w:p>
    <w:p w14:paraId="1EEE7824">
      <w:pPr>
        <w:keepNext w:val="0"/>
        <w:keepLines w:val="0"/>
        <w:pageBreakBefore w:val="0"/>
        <w:widowControl w:val="0"/>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i w:val="0"/>
          <w:caps w:val="0"/>
          <w:color w:val="auto"/>
          <w:spacing w:val="0"/>
          <w:sz w:val="32"/>
          <w:szCs w:val="32"/>
          <w:shd w:val="clear" w:color="auto" w:fill="FFFFFF"/>
          <w:lang w:val="en-US" w:eastAsia="zh-CN" w:bidi="ar-SA"/>
        </w:rPr>
      </w:pPr>
      <w:r>
        <w:rPr>
          <w:rFonts w:hint="eastAsia" w:ascii="Times New Roman" w:hAnsi="Times New Roman" w:eastAsia="方正仿宋_GBK" w:cs="方正仿宋_GBK"/>
          <w:i w:val="0"/>
          <w:caps w:val="0"/>
          <w:color w:val="auto"/>
          <w:spacing w:val="0"/>
          <w:sz w:val="32"/>
          <w:szCs w:val="32"/>
          <w:shd w:val="clear" w:color="auto" w:fill="FFFFFF"/>
          <w:lang w:val="en-US" w:eastAsia="zh-CN" w:bidi="ar-SA"/>
        </w:rPr>
        <w:t>通过安全生产监督检查计划的落实，结合我镇当前正在全面推行的“检查诊断、行政处罚、整改复查”执法检查“三部曲”基本程序要求，按计划实施监督检查，切实增强监督检查的科学性、规范性、实效性，增强执法力度、提高执法效果，促进我镇安全生产走向法治轨道。</w:t>
      </w:r>
    </w:p>
    <w:p w14:paraId="5E590B25">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黑体_GBK" w:cs="Times New Roman"/>
          <w:color w:val="auto"/>
          <w:sz w:val="32"/>
          <w:szCs w:val="24"/>
        </w:rPr>
      </w:pPr>
      <w:r>
        <w:rPr>
          <w:rFonts w:hint="eastAsia" w:ascii="Times New Roman" w:hAnsi="Times New Roman" w:eastAsia="方正黑体_GBK" w:cs="Times New Roman"/>
          <w:color w:val="auto"/>
          <w:sz w:val="32"/>
          <w:szCs w:val="24"/>
        </w:rPr>
        <w:t>二</w:t>
      </w:r>
      <w:r>
        <w:rPr>
          <w:rFonts w:ascii="Times New Roman" w:hAnsi="Times New Roman" w:eastAsia="方正黑体_GBK" w:cs="Times New Roman"/>
          <w:color w:val="auto"/>
          <w:sz w:val="32"/>
          <w:szCs w:val="24"/>
        </w:rPr>
        <w:t xml:space="preserve">、工作要求 </w:t>
      </w:r>
    </w:p>
    <w:p w14:paraId="794D9F3C">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楷体_GBK" w:cs="Times New Roman"/>
          <w:color w:val="auto"/>
          <w:sz w:val="32"/>
          <w:szCs w:val="24"/>
        </w:rPr>
      </w:pPr>
      <w:r>
        <w:rPr>
          <w:rFonts w:ascii="Times New Roman" w:hAnsi="Times New Roman" w:eastAsia="方正楷体_GBK" w:cs="Times New Roman"/>
          <w:color w:val="auto"/>
          <w:sz w:val="32"/>
          <w:szCs w:val="24"/>
        </w:rPr>
        <w:t>（一）科学编制计划</w:t>
      </w:r>
    </w:p>
    <w:p w14:paraId="16E3ED72">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结合本区域内经济规模、行业特征等实际情况，科学、合理地制定年度监督检查计划，确定日常监督检查、专项监督检查的相关内容，明确检查的重点和难点。</w:t>
      </w:r>
    </w:p>
    <w:p w14:paraId="1EB5F355">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楷体_GBK" w:cs="Times New Roman"/>
          <w:color w:val="auto"/>
          <w:sz w:val="32"/>
          <w:szCs w:val="24"/>
        </w:rPr>
      </w:pPr>
      <w:r>
        <w:rPr>
          <w:rFonts w:ascii="Times New Roman" w:hAnsi="Times New Roman" w:eastAsia="方正楷体_GBK" w:cs="Times New Roman"/>
          <w:color w:val="auto"/>
          <w:sz w:val="32"/>
          <w:szCs w:val="24"/>
        </w:rPr>
        <w:t>（二）分级履行职责</w:t>
      </w:r>
    </w:p>
    <w:p w14:paraId="34F5F3F1">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按照管行业必须管安全、管业务必须管安全、管生产经营必须管安全和分级负责、属地监管的原则，确保综合监管、行业监管相互衔接，落实具体监督检查任务。</w:t>
      </w:r>
    </w:p>
    <w:p w14:paraId="6D9FCA24">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楷体_GBK" w:cs="Times New Roman"/>
          <w:color w:val="auto"/>
          <w:sz w:val="32"/>
          <w:szCs w:val="24"/>
        </w:rPr>
      </w:pPr>
      <w:r>
        <w:rPr>
          <w:rFonts w:ascii="Times New Roman" w:hAnsi="Times New Roman" w:eastAsia="方正楷体_GBK" w:cs="Times New Roman"/>
          <w:color w:val="auto"/>
          <w:sz w:val="32"/>
          <w:szCs w:val="24"/>
        </w:rPr>
        <w:t>（三）依法严格执法</w:t>
      </w:r>
    </w:p>
    <w:p w14:paraId="48D3EC92">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按照</w:t>
      </w:r>
      <w:r>
        <w:rPr>
          <w:rFonts w:hint="eastAsia" w:ascii="Times New Roman" w:hAnsi="Times New Roman" w:eastAsia="方正仿宋_GBK" w:cs="Times New Roman"/>
          <w:color w:val="auto"/>
          <w:sz w:val="32"/>
          <w:szCs w:val="24"/>
          <w:lang w:eastAsia="zh-CN"/>
        </w:rPr>
        <w:t>“</w:t>
      </w:r>
      <w:r>
        <w:rPr>
          <w:rFonts w:ascii="Times New Roman" w:hAnsi="Times New Roman" w:eastAsia="方正仿宋_GBK" w:cs="Times New Roman"/>
          <w:color w:val="auto"/>
          <w:sz w:val="32"/>
          <w:szCs w:val="24"/>
        </w:rPr>
        <w:t>严字当头、落实到位</w:t>
      </w:r>
      <w:r>
        <w:rPr>
          <w:rFonts w:hint="eastAsia" w:ascii="Times New Roman" w:hAnsi="Times New Roman" w:eastAsia="方正仿宋_GBK" w:cs="Times New Roman"/>
          <w:color w:val="auto"/>
          <w:sz w:val="32"/>
          <w:szCs w:val="24"/>
          <w:lang w:eastAsia="zh-CN"/>
        </w:rPr>
        <w:t>”</w:t>
      </w:r>
      <w:r>
        <w:rPr>
          <w:rFonts w:ascii="Times New Roman" w:hAnsi="Times New Roman" w:eastAsia="方正仿宋_GBK" w:cs="Times New Roman"/>
          <w:color w:val="auto"/>
          <w:sz w:val="32"/>
          <w:szCs w:val="24"/>
        </w:rPr>
        <w:t>要求，依法严厉处罚安全生产违法行为，确保执法必严、违法必究，保证抓铁有痕，确保监督检查的严肃性和执法的公正性。</w:t>
      </w:r>
    </w:p>
    <w:p w14:paraId="7036580E">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楷体_GBK" w:cs="Times New Roman"/>
          <w:color w:val="auto"/>
          <w:sz w:val="32"/>
          <w:szCs w:val="24"/>
        </w:rPr>
      </w:pPr>
      <w:r>
        <w:rPr>
          <w:rFonts w:ascii="Times New Roman" w:hAnsi="Times New Roman" w:eastAsia="方正楷体_GBK" w:cs="Times New Roman"/>
          <w:color w:val="auto"/>
          <w:sz w:val="32"/>
          <w:szCs w:val="24"/>
        </w:rPr>
        <w:t>（四）注重检查效果</w:t>
      </w:r>
    </w:p>
    <w:p w14:paraId="1EE1505A">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对查处的每一个事故隐患要</w:t>
      </w:r>
      <w:r>
        <w:rPr>
          <w:rFonts w:hint="eastAsia" w:ascii="Times New Roman" w:hAnsi="Times New Roman" w:eastAsia="方正仿宋_GBK" w:cs="Times New Roman"/>
          <w:color w:val="auto"/>
          <w:sz w:val="32"/>
          <w:szCs w:val="24"/>
          <w:lang w:eastAsia="zh-CN"/>
        </w:rPr>
        <w:t>“</w:t>
      </w:r>
      <w:r>
        <w:rPr>
          <w:rFonts w:ascii="Times New Roman" w:hAnsi="Times New Roman" w:eastAsia="方正仿宋_GBK" w:cs="Times New Roman"/>
          <w:color w:val="auto"/>
          <w:sz w:val="32"/>
          <w:szCs w:val="24"/>
        </w:rPr>
        <w:t>追踪到底、整改到位</w:t>
      </w:r>
      <w:r>
        <w:rPr>
          <w:rFonts w:hint="eastAsia" w:ascii="Times New Roman" w:hAnsi="Times New Roman" w:eastAsia="方正仿宋_GBK" w:cs="Times New Roman"/>
          <w:color w:val="auto"/>
          <w:sz w:val="32"/>
          <w:szCs w:val="24"/>
          <w:lang w:eastAsia="zh-CN"/>
        </w:rPr>
        <w:t>”</w:t>
      </w:r>
      <w:r>
        <w:rPr>
          <w:rFonts w:ascii="Times New Roman" w:hAnsi="Times New Roman" w:eastAsia="方正仿宋_GBK" w:cs="Times New Roman"/>
          <w:color w:val="auto"/>
          <w:sz w:val="32"/>
          <w:szCs w:val="24"/>
        </w:rPr>
        <w:t>， 形成违法行为和事故隐患整改的闭环管理，切实提高安全生产执法效能，做到踏石留印，确保监督检查的实效性。</w:t>
      </w:r>
    </w:p>
    <w:p w14:paraId="1459D31A">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黑体_GBK" w:cs="Times New Roman"/>
          <w:color w:val="auto"/>
          <w:sz w:val="32"/>
          <w:szCs w:val="24"/>
        </w:rPr>
      </w:pPr>
      <w:r>
        <w:rPr>
          <w:rFonts w:hint="eastAsia" w:ascii="Times New Roman" w:hAnsi="Times New Roman" w:eastAsia="方正黑体_GBK" w:cs="Times New Roman"/>
          <w:color w:val="auto"/>
          <w:sz w:val="32"/>
          <w:szCs w:val="24"/>
        </w:rPr>
        <w:t>三</w:t>
      </w:r>
      <w:r>
        <w:rPr>
          <w:rFonts w:ascii="Times New Roman" w:hAnsi="Times New Roman" w:eastAsia="方正黑体_GBK" w:cs="Times New Roman"/>
          <w:color w:val="auto"/>
          <w:sz w:val="32"/>
          <w:szCs w:val="24"/>
        </w:rPr>
        <w:t>、监督检查重点内容</w:t>
      </w:r>
    </w:p>
    <w:p w14:paraId="084A25F7">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b/>
          <w:color w:val="auto"/>
          <w:sz w:val="32"/>
          <w:szCs w:val="24"/>
        </w:rPr>
      </w:pPr>
      <w:r>
        <w:rPr>
          <w:rFonts w:ascii="Times New Roman" w:hAnsi="Times New Roman" w:eastAsia="方正仿宋_GBK" w:cs="Times New Roman"/>
          <w:color w:val="auto"/>
          <w:sz w:val="32"/>
          <w:szCs w:val="24"/>
        </w:rPr>
        <w:t>重点检查生产经营单位是否具备有关法律、法规、规章和国家标准或者行业标准、地方标准规定的安全生产条件进行监督检查，包括：</w:t>
      </w:r>
      <w:r>
        <w:rPr>
          <w:rFonts w:hint="eastAsia" w:ascii="Times New Roman" w:hAnsi="Times New Roman" w:eastAsia="方正仿宋_GBK" w:cs="Times New Roman"/>
          <w:color w:val="auto"/>
          <w:sz w:val="32"/>
          <w:szCs w:val="24"/>
        </w:rPr>
        <w:t>（</w:t>
      </w:r>
      <w:r>
        <w:rPr>
          <w:rFonts w:hint="eastAsia" w:ascii="Times New Roman" w:hAnsi="Times New Roman" w:eastAsia="方正仿宋_GBK" w:cs="Times New Roman"/>
          <w:b/>
          <w:color w:val="auto"/>
          <w:sz w:val="32"/>
          <w:szCs w:val="24"/>
        </w:rPr>
        <w:t>以下内容是《安全生产监管监察职责和行政执法责任追究的暂行规定》第八条规定的内容）</w:t>
      </w:r>
      <w:r>
        <w:rPr>
          <w:rFonts w:ascii="Times New Roman" w:hAnsi="Times New Roman" w:eastAsia="方正仿宋_GBK" w:cs="Times New Roman"/>
          <w:b/>
          <w:color w:val="auto"/>
          <w:sz w:val="32"/>
          <w:szCs w:val="24"/>
        </w:rPr>
        <w:t xml:space="preserve"> </w:t>
      </w:r>
    </w:p>
    <w:p w14:paraId="39D5F486">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（一）依法通过有关安全生产行政审批情况。</w:t>
      </w:r>
    </w:p>
    <w:p w14:paraId="7FE633F4">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（二）安全生产教育和培训、考核情况。</w:t>
      </w:r>
    </w:p>
    <w:p w14:paraId="5E6F0A36">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（三）建立和落实安全生产责任制、安全生产规章制度和操作规程、作业规程的情况。</w:t>
      </w:r>
    </w:p>
    <w:p w14:paraId="32593BAD">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（四）按照规定提取和使用安全生产费用，用于劳动防护用品、安全生产教育培训情况，以及其他安全生产投入情况。</w:t>
      </w:r>
    </w:p>
    <w:p w14:paraId="4D6801D4">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（五）依法设置安全生产管理机构和配备安全生产技术管理人员情况。</w:t>
      </w:r>
    </w:p>
    <w:p w14:paraId="62F0183F">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（六）危险物品的生产、储存单位以及矿山、金属冶炼单位配备注册安全工程师情况。</w:t>
      </w:r>
    </w:p>
    <w:p w14:paraId="53E50525">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（七）从业人员、被派遣劳动者和实习生受到安全生产教育、培训及其技术交底情况。</w:t>
      </w:r>
    </w:p>
    <w:p w14:paraId="52B1E69E">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pacing w:val="-6"/>
          <w:sz w:val="32"/>
          <w:szCs w:val="24"/>
        </w:rPr>
      </w:pPr>
      <w:r>
        <w:rPr>
          <w:rFonts w:ascii="Times New Roman" w:hAnsi="Times New Roman" w:eastAsia="方正仿宋_GBK" w:cs="Times New Roman"/>
          <w:color w:val="auto"/>
          <w:sz w:val="32"/>
          <w:szCs w:val="24"/>
        </w:rPr>
        <w:t>（八）新建、</w:t>
      </w:r>
      <w:r>
        <w:rPr>
          <w:rFonts w:ascii="Times New Roman" w:hAnsi="Times New Roman" w:eastAsia="方正仿宋_GBK" w:cs="Times New Roman"/>
          <w:color w:val="auto"/>
          <w:spacing w:val="-6"/>
          <w:sz w:val="32"/>
          <w:szCs w:val="24"/>
        </w:rPr>
        <w:t>改建、扩建工程项目的安全设施与主体工程同时设计、同时施工、同时投入使用，以及设计审查和竣工验收情况。</w:t>
      </w:r>
    </w:p>
    <w:p w14:paraId="3851B4FD">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（九）较大危险因素的生产经营场所和有关设施、设备，设置安全公示、警示的情况。</w:t>
      </w:r>
    </w:p>
    <w:p w14:paraId="0BCE9D45">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（十）对安全设备的维护、保养、定期检测的情况。</w:t>
      </w:r>
    </w:p>
    <w:p w14:paraId="6703A7B1">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（十一）重大危险源登记建档、定期检测、评估、监控和制定演练应急预案的情况。</w:t>
      </w:r>
    </w:p>
    <w:p w14:paraId="1FC8F4BE">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（十二）教育和督促从业人员严格执行本单位的安全生产规章制度和安全操作规程，并向从业人员如实告知作业场所和工作岗位存在的危险因素、防范措施以及事故应急措施的情况。</w:t>
      </w:r>
    </w:p>
    <w:p w14:paraId="41D3C9B4">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（十三）为从业人员提供符合国家标准或者行业标准的劳动防护用品，并监督、教育从业人员按照使用规则正确佩戴和使用的情况。</w:t>
      </w:r>
    </w:p>
    <w:p w14:paraId="08088037">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3821A44B">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（十五）对承包单位、承租单位的安全生产工作实行统一协调、管理，定期进行安全检查，督促整改安全问题的情况。</w:t>
      </w:r>
    </w:p>
    <w:p w14:paraId="25407FD7">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（十六）建立健全生产安全事故隐患排查治理制度，及时发现并消除事故隐患，如实记录事故隐患治理，以及向从业人员通报的情况。</w:t>
      </w:r>
    </w:p>
    <w:p w14:paraId="5E8EACBA">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（十七）制定、实施生产安全事故应急预案，定期组织应急预案演练，以及有关应急预案备案的情况。</w:t>
      </w:r>
    </w:p>
    <w:p w14:paraId="02D3F7ED">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（十八）危险物品的生产、经营、储存单位以及矿山、金属冶炼单位建立应急救援组织或者兼职救援队伍、签订应急救援协议，以及应急救援器材、设备和物资的配备、维护、保养的情况。</w:t>
      </w:r>
    </w:p>
    <w:p w14:paraId="6C28E6BC">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（十九）按照规定报告生产安全事故的情况。</w:t>
      </w:r>
    </w:p>
    <w:p w14:paraId="69409F63">
      <w:pPr>
        <w:keepNext w:val="0"/>
        <w:keepLines w:val="0"/>
        <w:pageBreakBefore w:val="0"/>
        <w:widowControl w:val="0"/>
        <w:kinsoku/>
        <w:wordWrap/>
        <w:overflowPunct/>
        <w:topLinePunct w:val="0"/>
        <w:bidi w:val="0"/>
        <w:snapToGrid/>
        <w:spacing w:line="596" w:lineRule="exact"/>
        <w:ind w:left="0" w:leftChars="0" w:right="0" w:firstLine="640" w:firstLineChars="200"/>
        <w:textAlignment w:val="auto"/>
        <w:outlineLvl w:val="9"/>
        <w:rPr>
          <w:rFonts w:ascii="Times New Roman" w:hAnsi="Times New Roman" w:eastAsia="方正仿宋_GBK" w:cs="Times New Roman"/>
          <w:color w:val="auto"/>
          <w:sz w:val="32"/>
          <w:szCs w:val="24"/>
        </w:rPr>
      </w:pPr>
      <w:r>
        <w:rPr>
          <w:rFonts w:ascii="Times New Roman" w:hAnsi="Times New Roman" w:eastAsia="方正仿宋_GBK" w:cs="Times New Roman"/>
          <w:color w:val="auto"/>
          <w:sz w:val="32"/>
          <w:szCs w:val="24"/>
        </w:rPr>
        <w:t>（二十）依法应当监督检查的其他情况。</w:t>
      </w:r>
    </w:p>
    <w:p w14:paraId="7CBB2B34">
      <w:pPr>
        <w:keepNext w:val="0"/>
        <w:keepLines w:val="0"/>
        <w:pageBreakBefore w:val="0"/>
        <w:widowControl w:val="0"/>
        <w:kinsoku/>
        <w:wordWrap/>
        <w:overflowPunct/>
        <w:topLinePunct w:val="0"/>
        <w:autoSpaceDE w:val="0"/>
        <w:autoSpaceDN w:val="0"/>
        <w:bidi w:val="0"/>
        <w:adjustRightInd w:val="0"/>
        <w:snapToGrid/>
        <w:spacing w:line="596" w:lineRule="exact"/>
        <w:ind w:left="0" w:leftChars="0" w:right="0"/>
        <w:textAlignment w:val="auto"/>
        <w:outlineLvl w:val="9"/>
        <w:rPr>
          <w:rFonts w:ascii="Times New Roman" w:hAnsi="Times New Roman" w:eastAsia="仿宋_GB2312" w:cs="Times New Roman"/>
          <w:color w:val="auto"/>
          <w:sz w:val="24"/>
          <w:szCs w:val="24"/>
          <w:lang w:val="en-US" w:eastAsia="zh-CN" w:bidi="ar-SA"/>
        </w:rPr>
      </w:pPr>
    </w:p>
    <w:p w14:paraId="29687AEB">
      <w:pPr>
        <w:keepNext w:val="0"/>
        <w:keepLines w:val="0"/>
        <w:pageBreakBefore w:val="0"/>
        <w:widowControl w:val="0"/>
        <w:kinsoku/>
        <w:wordWrap/>
        <w:overflowPunct/>
        <w:topLinePunct w:val="0"/>
        <w:autoSpaceDE w:val="0"/>
        <w:autoSpaceDN w:val="0"/>
        <w:bidi w:val="0"/>
        <w:adjustRightInd w:val="0"/>
        <w:snapToGrid/>
        <w:spacing w:line="596" w:lineRule="exact"/>
        <w:ind w:left="1280" w:leftChars="0" w:right="0" w:hanging="1280" w:hangingChars="400"/>
        <w:textAlignment w:val="auto"/>
        <w:outlineLvl w:val="9"/>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附件：1.沙坪镇2025年平安法治办（应急管理岗）安全生产监督检查执法计划</w:t>
      </w:r>
    </w:p>
    <w:p w14:paraId="0645202F">
      <w:pPr>
        <w:keepNext w:val="0"/>
        <w:keepLines w:val="0"/>
        <w:pageBreakBefore w:val="0"/>
        <w:widowControl w:val="0"/>
        <w:kinsoku/>
        <w:wordWrap/>
        <w:overflowPunct/>
        <w:topLinePunct w:val="0"/>
        <w:autoSpaceDE w:val="0"/>
        <w:autoSpaceDN w:val="0"/>
        <w:bidi w:val="0"/>
        <w:adjustRightInd w:val="0"/>
        <w:snapToGrid/>
        <w:spacing w:line="596" w:lineRule="exact"/>
        <w:ind w:left="0" w:leftChars="0" w:right="0"/>
        <w:textAlignment w:val="auto"/>
        <w:outlineLvl w:val="9"/>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 xml:space="preserve">      2.</w:t>
      </w:r>
      <w:r>
        <w:rPr>
          <w:rFonts w:hint="eastAsia" w:ascii="Times New Roman" w:hAnsi="Times New Roman" w:eastAsia="仿宋_GB2312" w:cs="Times New Roman"/>
          <w:color w:val="auto"/>
          <w:spacing w:val="-20"/>
          <w:sz w:val="32"/>
          <w:szCs w:val="32"/>
          <w:lang w:val="en-US" w:eastAsia="zh-CN" w:bidi="ar-SA"/>
        </w:rPr>
        <w:t>沙坪镇2025年经济发展办公室安全生产监督检查执法计划</w:t>
      </w:r>
    </w:p>
    <w:p w14:paraId="72848CAB">
      <w:pPr>
        <w:keepNext w:val="0"/>
        <w:keepLines w:val="0"/>
        <w:pageBreakBefore w:val="0"/>
        <w:widowControl w:val="0"/>
        <w:kinsoku/>
        <w:wordWrap/>
        <w:overflowPunct/>
        <w:topLinePunct w:val="0"/>
        <w:autoSpaceDE w:val="0"/>
        <w:autoSpaceDN w:val="0"/>
        <w:bidi w:val="0"/>
        <w:adjustRightInd w:val="0"/>
        <w:snapToGrid/>
        <w:spacing w:line="596" w:lineRule="exact"/>
        <w:ind w:left="0" w:leftChars="0" w:right="0"/>
        <w:textAlignment w:val="auto"/>
        <w:outlineLvl w:val="9"/>
        <w:rPr>
          <w:rFonts w:hint="eastAsia" w:ascii="Times New Roman" w:hAnsi="Times New Roman" w:eastAsia="仿宋_GB2312" w:cs="Times New Roman"/>
          <w:color w:val="auto"/>
          <w:spacing w:val="-20"/>
          <w:sz w:val="32"/>
          <w:szCs w:val="32"/>
          <w:lang w:val="en-US" w:eastAsia="zh-CN" w:bidi="ar-SA"/>
        </w:rPr>
      </w:pPr>
      <w:r>
        <w:rPr>
          <w:rFonts w:hint="eastAsia" w:ascii="Times New Roman" w:hAnsi="Times New Roman" w:eastAsia="仿宋_GB2312" w:cs="Times New Roman"/>
          <w:color w:val="auto"/>
          <w:sz w:val="32"/>
          <w:szCs w:val="32"/>
          <w:lang w:val="en-US" w:eastAsia="zh-CN" w:bidi="ar-SA"/>
        </w:rPr>
        <w:t xml:space="preserve">      3.</w:t>
      </w:r>
      <w:r>
        <w:rPr>
          <w:rFonts w:hint="eastAsia" w:ascii="Times New Roman" w:hAnsi="Times New Roman" w:eastAsia="仿宋_GB2312" w:cs="Times New Roman"/>
          <w:color w:val="auto"/>
          <w:spacing w:val="-20"/>
          <w:sz w:val="32"/>
          <w:szCs w:val="32"/>
          <w:lang w:val="en-US" w:eastAsia="zh-CN" w:bidi="ar-SA"/>
        </w:rPr>
        <w:t>沙坪镇2025年村镇建设服务中心安全生产监督检查执法计划</w:t>
      </w:r>
    </w:p>
    <w:p w14:paraId="03A59914">
      <w:pPr>
        <w:keepNext w:val="0"/>
        <w:keepLines w:val="0"/>
        <w:pageBreakBefore w:val="0"/>
        <w:widowControl w:val="0"/>
        <w:kinsoku/>
        <w:wordWrap/>
        <w:overflowPunct/>
        <w:topLinePunct w:val="0"/>
        <w:autoSpaceDE w:val="0"/>
        <w:autoSpaceDN w:val="0"/>
        <w:bidi w:val="0"/>
        <w:adjustRightInd w:val="0"/>
        <w:snapToGrid/>
        <w:spacing w:line="596" w:lineRule="exact"/>
        <w:ind w:left="0" w:leftChars="0" w:right="0"/>
        <w:textAlignment w:val="auto"/>
        <w:outlineLvl w:val="9"/>
        <w:rPr>
          <w:rFonts w:hint="eastAsia" w:ascii="Times New Roman" w:hAnsi="Times New Roman" w:eastAsia="仿宋_GB2312" w:cs="Times New Roman"/>
          <w:color w:val="auto"/>
          <w:spacing w:val="-20"/>
          <w:sz w:val="32"/>
          <w:szCs w:val="32"/>
          <w:lang w:val="en-US" w:eastAsia="zh-CN" w:bidi="ar-SA"/>
        </w:rPr>
      </w:pPr>
      <w:r>
        <w:rPr>
          <w:rFonts w:hint="eastAsia" w:ascii="Times New Roman" w:hAnsi="Times New Roman" w:eastAsia="仿宋_GB2312" w:cs="Times New Roman"/>
          <w:color w:val="auto"/>
          <w:sz w:val="32"/>
          <w:szCs w:val="32"/>
          <w:lang w:val="en-US" w:eastAsia="zh-CN" w:bidi="ar-SA"/>
        </w:rPr>
        <w:t xml:space="preserve">      4.</w:t>
      </w:r>
      <w:r>
        <w:rPr>
          <w:rFonts w:hint="eastAsia" w:ascii="Times New Roman" w:hAnsi="Times New Roman" w:eastAsia="仿宋_GB2312" w:cs="Times New Roman"/>
          <w:color w:val="auto"/>
          <w:spacing w:val="-20"/>
          <w:sz w:val="32"/>
          <w:szCs w:val="32"/>
          <w:lang w:val="en-US" w:eastAsia="zh-CN" w:bidi="ar-SA"/>
        </w:rPr>
        <w:t>沙坪镇2025年产业发展服务中心安全生产监督检查执法计划</w:t>
      </w:r>
    </w:p>
    <w:p w14:paraId="095C8C64">
      <w:pPr>
        <w:widowControl w:val="0"/>
        <w:wordWrap/>
        <w:autoSpaceDE w:val="0"/>
        <w:autoSpaceDN w:val="0"/>
        <w:adjustRightInd w:val="0"/>
        <w:spacing w:line="0" w:lineRule="atLeast"/>
        <w:ind w:left="0" w:leftChars="0" w:right="0"/>
        <w:textAlignment w:val="auto"/>
        <w:outlineLvl w:val="9"/>
        <w:rPr>
          <w:rFonts w:hint="eastAsia" w:ascii="Times New Roman" w:hAnsi="Times New Roman" w:eastAsia="仿宋_GB2312" w:cs="Times New Roman"/>
          <w:color w:val="000000"/>
          <w:sz w:val="32"/>
          <w:szCs w:val="32"/>
          <w:lang w:val="en-US" w:eastAsia="zh-CN" w:bidi="ar-SA"/>
        </w:rPr>
      </w:pPr>
    </w:p>
    <w:p w14:paraId="0554A979">
      <w:pPr>
        <w:widowControl w:val="0"/>
        <w:wordWrap/>
        <w:autoSpaceDE w:val="0"/>
        <w:autoSpaceDN w:val="0"/>
        <w:adjustRightInd w:val="0"/>
        <w:spacing w:line="0" w:lineRule="atLeast"/>
        <w:ind w:left="0" w:leftChars="0" w:right="0"/>
        <w:textAlignment w:val="auto"/>
        <w:outlineLvl w:val="9"/>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 xml:space="preserve">      </w:t>
      </w:r>
    </w:p>
    <w:p w14:paraId="5559938F">
      <w:pPr>
        <w:widowControl w:val="0"/>
        <w:wordWrap/>
        <w:autoSpaceDE w:val="0"/>
        <w:autoSpaceDN w:val="0"/>
        <w:adjustRightInd w:val="0"/>
        <w:spacing w:line="0" w:lineRule="atLeast"/>
        <w:ind w:left="0" w:leftChars="0" w:right="0"/>
        <w:textAlignment w:val="auto"/>
        <w:outlineLvl w:val="9"/>
        <w:rPr>
          <w:rFonts w:hint="eastAsia" w:ascii="Times New Roman" w:hAnsi="Times New Roman" w:eastAsia="仿宋_GB2312" w:cs="Times New Roman"/>
          <w:color w:val="000000"/>
          <w:sz w:val="32"/>
          <w:szCs w:val="32"/>
          <w:lang w:val="en-US" w:eastAsia="zh-CN" w:bidi="ar-SA"/>
        </w:rPr>
      </w:pPr>
    </w:p>
    <w:p w14:paraId="28DBE133">
      <w:pPr>
        <w:widowControl w:val="0"/>
        <w:wordWrap/>
        <w:autoSpaceDE w:val="0"/>
        <w:autoSpaceDN w:val="0"/>
        <w:adjustRightInd w:val="0"/>
        <w:spacing w:line="0" w:lineRule="atLeast"/>
        <w:ind w:left="0" w:leftChars="0" w:right="0"/>
        <w:textAlignment w:val="auto"/>
        <w:outlineLvl w:val="9"/>
        <w:rPr>
          <w:rFonts w:hint="eastAsia" w:ascii="Times New Roman" w:hAnsi="Times New Roman" w:eastAsia="仿宋_GB2312" w:cs="Times New Roman"/>
          <w:color w:val="000000"/>
          <w:sz w:val="32"/>
          <w:szCs w:val="32"/>
          <w:lang w:val="en-US" w:eastAsia="zh-CN" w:bidi="ar-SA"/>
        </w:rPr>
      </w:pPr>
    </w:p>
    <w:p w14:paraId="47749DAE">
      <w:pPr>
        <w:widowControl w:val="0"/>
        <w:wordWrap/>
        <w:autoSpaceDE w:val="0"/>
        <w:autoSpaceDN w:val="0"/>
        <w:adjustRightInd w:val="0"/>
        <w:spacing w:line="0" w:lineRule="atLeast"/>
        <w:ind w:left="0" w:leftChars="0" w:right="0"/>
        <w:textAlignment w:val="auto"/>
        <w:outlineLvl w:val="9"/>
        <w:rPr>
          <w:rFonts w:hint="eastAsia" w:ascii="Times New Roman" w:hAnsi="Times New Roman" w:eastAsia="仿宋_GB2312" w:cs="Times New Roman"/>
          <w:color w:val="000000"/>
          <w:sz w:val="32"/>
          <w:szCs w:val="32"/>
          <w:lang w:val="en-US" w:eastAsia="zh-CN" w:bidi="ar-SA"/>
        </w:rPr>
      </w:pPr>
    </w:p>
    <w:p w14:paraId="2831A64D">
      <w:pPr>
        <w:widowControl w:val="0"/>
        <w:wordWrap/>
        <w:autoSpaceDE w:val="0"/>
        <w:autoSpaceDN w:val="0"/>
        <w:adjustRightInd w:val="0"/>
        <w:spacing w:line="0" w:lineRule="atLeast"/>
        <w:ind w:left="0" w:leftChars="0" w:right="0"/>
        <w:jc w:val="left"/>
        <w:textAlignment w:val="auto"/>
        <w:outlineLvl w:val="9"/>
        <w:rPr>
          <w:rFonts w:hint="eastAsia" w:ascii="Times New Roman" w:hAnsi="Times New Roman" w:eastAsia="方正黑体_GBK" w:cs="方正黑体_GBK"/>
          <w:b w:val="0"/>
          <w:bCs w:val="0"/>
          <w:color w:val="000000"/>
          <w:sz w:val="32"/>
          <w:szCs w:val="32"/>
          <w:lang w:val="en-US" w:eastAsia="zh-CN" w:bidi="ar-SA"/>
        </w:rPr>
      </w:pPr>
      <w:r>
        <w:rPr>
          <w:rFonts w:hint="eastAsia" w:ascii="Times New Roman" w:hAnsi="Times New Roman" w:eastAsia="方正黑体_GBK" w:cs="方正黑体_GBK"/>
          <w:b w:val="0"/>
          <w:bCs w:val="0"/>
          <w:color w:val="000000"/>
          <w:sz w:val="32"/>
          <w:szCs w:val="32"/>
          <w:lang w:val="en-US" w:eastAsia="zh-CN" w:bidi="ar-SA"/>
        </w:rPr>
        <w:t>附件1</w:t>
      </w:r>
    </w:p>
    <w:p w14:paraId="6DA75EAF">
      <w:pPr>
        <w:widowControl w:val="0"/>
        <w:wordWrap/>
        <w:autoSpaceDE w:val="0"/>
        <w:autoSpaceDN w:val="0"/>
        <w:adjustRightInd w:val="0"/>
        <w:spacing w:line="0" w:lineRule="atLeast"/>
        <w:ind w:left="0" w:leftChars="0" w:right="0"/>
        <w:jc w:val="left"/>
        <w:textAlignment w:val="auto"/>
        <w:outlineLvl w:val="9"/>
        <w:rPr>
          <w:rFonts w:hint="eastAsia" w:ascii="Times New Roman" w:hAnsi="Times New Roman" w:eastAsia="宋体" w:cs="宋体"/>
          <w:b w:val="0"/>
          <w:bCs w:val="0"/>
          <w:color w:val="000000"/>
          <w:sz w:val="32"/>
          <w:szCs w:val="32"/>
          <w:lang w:val="en-US" w:eastAsia="zh-CN" w:bidi="ar-SA"/>
        </w:rPr>
      </w:pPr>
    </w:p>
    <w:p w14:paraId="1F75DA67">
      <w:pPr>
        <w:widowControl w:val="0"/>
        <w:wordWrap/>
        <w:autoSpaceDE w:val="0"/>
        <w:autoSpaceDN w:val="0"/>
        <w:adjustRightInd w:val="0"/>
        <w:spacing w:line="0" w:lineRule="atLeast"/>
        <w:ind w:left="0" w:leftChars="0" w:right="0"/>
        <w:jc w:val="center"/>
        <w:textAlignment w:val="auto"/>
        <w:outlineLvl w:val="9"/>
        <w:rPr>
          <w:rFonts w:hint="eastAsia" w:ascii="Times New Roman" w:hAnsi="Times New Roman" w:eastAsia="方正小标宋_GBK" w:cs="方正小标宋_GBK"/>
          <w:b w:val="0"/>
          <w:bCs w:val="0"/>
          <w:color w:val="000000"/>
          <w:sz w:val="44"/>
          <w:szCs w:val="44"/>
          <w:lang w:val="en-US" w:eastAsia="zh-CN" w:bidi="ar-SA"/>
        </w:rPr>
      </w:pPr>
      <w:r>
        <w:rPr>
          <w:rFonts w:hint="eastAsia" w:ascii="Times New Roman" w:hAnsi="Times New Roman" w:eastAsia="方正小标宋_GBK" w:cs="方正小标宋_GBK"/>
          <w:b w:val="0"/>
          <w:bCs w:val="0"/>
          <w:color w:val="000000"/>
          <w:sz w:val="44"/>
          <w:szCs w:val="44"/>
          <w:lang w:val="en-US" w:eastAsia="zh-CN" w:bidi="ar-SA"/>
        </w:rPr>
        <w:t>沙坪镇2025年平安法治办（应急管理岗）</w:t>
      </w:r>
    </w:p>
    <w:p w14:paraId="32C21CD1">
      <w:pPr>
        <w:widowControl w:val="0"/>
        <w:wordWrap/>
        <w:autoSpaceDE w:val="0"/>
        <w:autoSpaceDN w:val="0"/>
        <w:adjustRightInd w:val="0"/>
        <w:spacing w:line="0" w:lineRule="atLeast"/>
        <w:ind w:left="0" w:leftChars="0" w:right="0"/>
        <w:jc w:val="center"/>
        <w:textAlignment w:val="auto"/>
        <w:outlineLvl w:val="9"/>
        <w:rPr>
          <w:rFonts w:hint="eastAsia" w:ascii="Times New Roman" w:hAnsi="Times New Roman" w:eastAsia="方正小标宋_GBK" w:cs="方正小标宋_GBK"/>
          <w:b w:val="0"/>
          <w:bCs w:val="0"/>
          <w:color w:val="000000"/>
          <w:sz w:val="44"/>
          <w:szCs w:val="44"/>
          <w:lang w:val="en-US" w:eastAsia="zh-CN" w:bidi="ar-SA"/>
        </w:rPr>
      </w:pPr>
      <w:r>
        <w:rPr>
          <w:rFonts w:hint="eastAsia" w:ascii="Times New Roman" w:hAnsi="Times New Roman" w:eastAsia="方正小标宋_GBK" w:cs="方正小标宋_GBK"/>
          <w:b w:val="0"/>
          <w:bCs w:val="0"/>
          <w:color w:val="000000"/>
          <w:sz w:val="44"/>
          <w:szCs w:val="44"/>
          <w:lang w:val="en-US" w:eastAsia="zh-CN" w:bidi="ar-SA"/>
        </w:rPr>
        <w:t>安全生产监督检查执法计划</w:t>
      </w:r>
    </w:p>
    <w:p w14:paraId="7AE7B404">
      <w:pPr>
        <w:widowControl w:val="0"/>
        <w:wordWrap/>
        <w:autoSpaceDE w:val="0"/>
        <w:autoSpaceDN w:val="0"/>
        <w:adjustRightInd w:val="0"/>
        <w:spacing w:line="0" w:lineRule="atLeast"/>
        <w:ind w:left="0" w:leftChars="0" w:right="0"/>
        <w:jc w:val="center"/>
        <w:textAlignment w:val="auto"/>
        <w:outlineLvl w:val="9"/>
        <w:rPr>
          <w:rFonts w:hint="eastAsia" w:ascii="Times New Roman" w:hAnsi="Times New Roman" w:eastAsia="方正大标宋_GBK" w:cs="方正大标宋_GBK"/>
          <w:b w:val="0"/>
          <w:bCs w:val="0"/>
          <w:color w:val="000000"/>
          <w:sz w:val="36"/>
          <w:szCs w:val="36"/>
          <w:lang w:val="en-US" w:eastAsia="zh-CN" w:bidi="ar-SA"/>
        </w:rPr>
      </w:pPr>
    </w:p>
    <w:p w14:paraId="460F624D">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楷体" w:cs="楷体"/>
          <w:color w:val="000000"/>
          <w:sz w:val="32"/>
          <w:szCs w:val="32"/>
        </w:rPr>
      </w:pPr>
      <w:r>
        <w:rPr>
          <w:rFonts w:hint="eastAsia" w:ascii="Times New Roman" w:hAnsi="Times New Roman" w:eastAsia="方正黑体_GBK" w:cs="Times New Roman"/>
          <w:color w:val="000000"/>
          <w:sz w:val="32"/>
          <w:szCs w:val="24"/>
          <w:lang w:val="en-US" w:eastAsia="zh-CN"/>
        </w:rPr>
        <w:t>一</w:t>
      </w:r>
      <w:r>
        <w:rPr>
          <w:rFonts w:ascii="Times New Roman" w:hAnsi="Times New Roman" w:eastAsia="方正黑体_GBK" w:cs="Times New Roman"/>
          <w:color w:val="000000"/>
          <w:sz w:val="32"/>
          <w:szCs w:val="24"/>
        </w:rPr>
        <w:t>、</w:t>
      </w:r>
      <w:r>
        <w:rPr>
          <w:rFonts w:hint="eastAsia" w:ascii="Times New Roman" w:hAnsi="Times New Roman" w:eastAsia="方正黑体_GBK" w:cs="黑体"/>
          <w:kern w:val="2"/>
          <w:sz w:val="32"/>
          <w:szCs w:val="32"/>
          <w:lang w:val="en-US" w:eastAsia="zh-CN"/>
        </w:rPr>
        <w:t>监督检</w:t>
      </w:r>
      <w:r>
        <w:rPr>
          <w:rFonts w:hint="eastAsia" w:ascii="Times New Roman" w:hAnsi="Times New Roman" w:eastAsia="方正黑体_GBK" w:cs="黑体"/>
          <w:kern w:val="2"/>
          <w:sz w:val="32"/>
          <w:szCs w:val="32"/>
        </w:rPr>
        <w:t>查对</w:t>
      </w:r>
      <w:r>
        <w:rPr>
          <w:rFonts w:ascii="Times New Roman" w:hAnsi="Times New Roman" w:eastAsia="黑体" w:cs="黑体"/>
          <w:i w:val="0"/>
          <w:caps w:val="0"/>
          <w:color w:val="000000"/>
          <w:spacing w:val="0"/>
          <w:sz w:val="31"/>
          <w:szCs w:val="31"/>
          <w:shd w:val="clear" w:color="auto" w:fill="FFFFFF"/>
        </w:rPr>
        <w:t>象</w:t>
      </w:r>
    </w:p>
    <w:p w14:paraId="42CAF93A">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沙坪镇</w:t>
      </w:r>
      <w:r>
        <w:rPr>
          <w:rFonts w:hint="eastAsia" w:ascii="Times New Roman" w:hAnsi="Times New Roman" w:eastAsia="方正仿宋_GBK" w:cs="Times New Roman"/>
          <w:color w:val="000000"/>
          <w:sz w:val="32"/>
          <w:szCs w:val="32"/>
          <w:lang w:val="en-US" w:eastAsia="zh-CN"/>
        </w:rPr>
        <w:t>平安法治办（应急管理岗）</w:t>
      </w:r>
      <w:r>
        <w:rPr>
          <w:rFonts w:hint="eastAsia" w:ascii="Times New Roman" w:hAnsi="Times New Roman" w:eastAsia="方正仿宋_GBK" w:cs="方正仿宋_GBK"/>
          <w:color w:val="000000"/>
          <w:sz w:val="32"/>
          <w:szCs w:val="32"/>
        </w:rPr>
        <w:t>纳入监</w:t>
      </w:r>
      <w:r>
        <w:rPr>
          <w:rFonts w:hint="eastAsia" w:ascii="Times New Roman" w:hAnsi="Times New Roman" w:eastAsia="方正仿宋_GBK" w:cs="方正仿宋_GBK"/>
          <w:color w:val="000000"/>
          <w:sz w:val="32"/>
          <w:szCs w:val="32"/>
          <w:lang w:val="en-US" w:eastAsia="zh-CN"/>
        </w:rPr>
        <w:t>督检查</w:t>
      </w:r>
      <w:r>
        <w:rPr>
          <w:rFonts w:hint="eastAsia" w:ascii="Times New Roman" w:hAnsi="Times New Roman" w:eastAsia="方正仿宋_GBK" w:cs="方正仿宋_GBK"/>
          <w:color w:val="000000"/>
          <w:sz w:val="32"/>
          <w:szCs w:val="32"/>
        </w:rPr>
        <w:t>执法计划</w:t>
      </w:r>
      <w:r>
        <w:rPr>
          <w:rFonts w:hint="eastAsia" w:ascii="Times New Roman" w:hAnsi="Times New Roman" w:eastAsia="方正仿宋_GBK" w:cs="方正仿宋_GBK"/>
          <w:color w:val="000000"/>
          <w:sz w:val="32"/>
          <w:szCs w:val="32"/>
          <w:lang w:val="en-US" w:eastAsia="zh-CN"/>
        </w:rPr>
        <w:t>的共有29家：</w:t>
      </w:r>
      <w:r>
        <w:rPr>
          <w:rFonts w:hint="eastAsia" w:ascii="Times New Roman" w:hAnsi="Times New Roman" w:eastAsia="方正仿宋_GBK" w:cs="方正仿宋_GBK"/>
          <w:color w:val="000000"/>
          <w:sz w:val="32"/>
          <w:szCs w:val="32"/>
          <w:lang w:eastAsia="zh-CN"/>
        </w:rPr>
        <w:t>危险化学品经营企业（点）</w:t>
      </w:r>
      <w:r>
        <w:rPr>
          <w:rFonts w:hint="eastAsia" w:ascii="Times New Roman" w:hAnsi="Times New Roman" w:eastAsia="方正仿宋_GBK" w:cs="方正仿宋_GBK"/>
          <w:color w:val="000000"/>
          <w:sz w:val="32"/>
          <w:szCs w:val="32"/>
          <w:lang w:val="en-US" w:eastAsia="zh-CN"/>
        </w:rPr>
        <w:t>3家</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en-US" w:eastAsia="zh-CN"/>
        </w:rPr>
        <w:t>危险化学品使用企业2家，</w:t>
      </w:r>
      <w:r>
        <w:rPr>
          <w:rFonts w:hint="eastAsia" w:ascii="Times New Roman" w:hAnsi="Times New Roman" w:eastAsia="方正仿宋_GBK" w:cs="方正仿宋_GBK"/>
          <w:color w:val="000000"/>
          <w:sz w:val="32"/>
          <w:szCs w:val="32"/>
          <w:lang w:eastAsia="zh-CN"/>
        </w:rPr>
        <w:t>烟花爆竹零售经营</w:t>
      </w:r>
      <w:r>
        <w:rPr>
          <w:rFonts w:hint="eastAsia" w:ascii="Times New Roman" w:hAnsi="Times New Roman" w:eastAsia="方正仿宋_GBK" w:cs="方正仿宋_GBK"/>
          <w:color w:val="000000"/>
          <w:sz w:val="32"/>
          <w:szCs w:val="32"/>
          <w:lang w:val="en-US" w:eastAsia="zh-CN"/>
        </w:rPr>
        <w:t>19户，关停煤矿洞口5个。</w:t>
      </w:r>
    </w:p>
    <w:p w14:paraId="141ADFA9">
      <w:pPr>
        <w:keepNext w:val="0"/>
        <w:keepLines w:val="0"/>
        <w:pageBreakBefore w:val="0"/>
        <w:numPr>
          <w:ilvl w:val="0"/>
          <w:numId w:val="1"/>
        </w:numPr>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黑体_GBK" w:cs="Times New Roman"/>
          <w:color w:val="000000"/>
          <w:sz w:val="32"/>
          <w:szCs w:val="24"/>
          <w:lang w:val="en-US" w:eastAsia="zh-CN"/>
        </w:rPr>
      </w:pPr>
      <w:r>
        <w:rPr>
          <w:rFonts w:hint="eastAsia" w:ascii="Times New Roman" w:hAnsi="Times New Roman" w:eastAsia="方正黑体_GBK" w:cs="Times New Roman"/>
          <w:color w:val="000000"/>
          <w:sz w:val="32"/>
          <w:szCs w:val="24"/>
          <w:lang w:val="en-US" w:eastAsia="zh-CN"/>
        </w:rPr>
        <w:t>行政执法人员数量和执法工作日确定</w:t>
      </w:r>
    </w:p>
    <w:p w14:paraId="542DC120">
      <w:pPr>
        <w:keepNext w:val="0"/>
        <w:keepLines w:val="0"/>
        <w:pageBreakBefore w:val="0"/>
        <w:widowControl/>
        <w:kinsoku/>
        <w:wordWrap/>
        <w:overflowPunct/>
        <w:topLinePunct w:val="0"/>
        <w:bidi w:val="0"/>
        <w:spacing w:beforeAutospacing="0" w:afterAutospacing="0" w:line="596" w:lineRule="exact"/>
        <w:ind w:left="0" w:leftChars="0" w:right="0"/>
        <w:jc w:val="left"/>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楷体_GBK" w:cs="方正楷体_GBK"/>
          <w:color w:val="000000"/>
          <w:kern w:val="2"/>
          <w:sz w:val="32"/>
          <w:szCs w:val="32"/>
          <w:lang w:val="en-US" w:eastAsia="zh-CN" w:bidi="ar-SA"/>
        </w:rPr>
        <w:t xml:space="preserve">    （一）行政执法人员数量。</w:t>
      </w:r>
      <w:r>
        <w:rPr>
          <w:rFonts w:hint="eastAsia" w:ascii="Times New Roman" w:hAnsi="Times New Roman" w:eastAsia="方正仿宋_GBK" w:cs="方正仿宋_GBK"/>
          <w:color w:val="000000"/>
          <w:kern w:val="2"/>
          <w:sz w:val="32"/>
          <w:szCs w:val="32"/>
          <w:lang w:val="en-US" w:eastAsia="zh-CN" w:bidi="ar-SA"/>
        </w:rPr>
        <w:t>沙坪镇</w:t>
      </w:r>
      <w:r>
        <w:rPr>
          <w:rFonts w:hint="eastAsia" w:ascii="Times New Roman" w:hAnsi="Times New Roman" w:eastAsia="方正仿宋_GBK" w:cs="Times New Roman"/>
          <w:color w:val="000000"/>
          <w:sz w:val="32"/>
          <w:szCs w:val="32"/>
          <w:lang w:val="en-US" w:eastAsia="zh-CN"/>
        </w:rPr>
        <w:t>平安法治办（应急管理岗）</w:t>
      </w:r>
      <w:r>
        <w:rPr>
          <w:rFonts w:hint="eastAsia" w:ascii="Times New Roman" w:hAnsi="Times New Roman" w:eastAsia="方正仿宋_GBK" w:cs="方正仿宋_GBK"/>
          <w:color w:val="000000"/>
          <w:kern w:val="2"/>
          <w:sz w:val="32"/>
          <w:szCs w:val="32"/>
          <w:lang w:val="en-US" w:eastAsia="zh-CN" w:bidi="ar-SA"/>
        </w:rPr>
        <w:t>现有工作人员6名，实际行政监管人员 2 人。</w:t>
      </w:r>
    </w:p>
    <w:p w14:paraId="3C46AA46">
      <w:pPr>
        <w:keepNext w:val="0"/>
        <w:keepLines w:val="0"/>
        <w:pageBreakBefore w:val="0"/>
        <w:numPr>
          <w:ilvl w:val="0"/>
          <w:numId w:val="0"/>
        </w:numPr>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楷体_GBK" w:cs="方正楷体_GBK"/>
          <w:color w:val="000000"/>
          <w:kern w:val="2"/>
          <w:sz w:val="32"/>
          <w:szCs w:val="32"/>
          <w:lang w:val="en-US" w:eastAsia="zh-CN" w:bidi="ar-SA"/>
        </w:rPr>
      </w:pPr>
      <w:r>
        <w:rPr>
          <w:rFonts w:hint="eastAsia" w:ascii="Times New Roman" w:hAnsi="Times New Roman" w:eastAsia="方正楷体_GBK" w:cs="方正楷体_GBK"/>
          <w:color w:val="000000"/>
          <w:kern w:val="2"/>
          <w:sz w:val="32"/>
          <w:szCs w:val="32"/>
          <w:lang w:val="en-US" w:eastAsia="zh-CN" w:bidi="ar-SA"/>
        </w:rPr>
        <w:t>（二）工作日确定</w:t>
      </w:r>
    </w:p>
    <w:p w14:paraId="5812EDC5">
      <w:pPr>
        <w:keepNext w:val="0"/>
        <w:keepLines w:val="0"/>
        <w:pageBreakBefore w:val="0"/>
        <w:numPr>
          <w:ilvl w:val="0"/>
          <w:numId w:val="0"/>
        </w:numPr>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1.总法定工作日=248天×2人=496天</w:t>
      </w:r>
    </w:p>
    <w:p w14:paraId="76230F66">
      <w:pPr>
        <w:keepNext w:val="0"/>
        <w:keepLines w:val="0"/>
        <w:pageBreakBefore w:val="0"/>
        <w:numPr>
          <w:ilvl w:val="0"/>
          <w:numId w:val="0"/>
        </w:numPr>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2.监督检查工作日=496天-102 天-196天=198天</w:t>
      </w:r>
    </w:p>
    <w:p w14:paraId="5161E3D2">
      <w:pPr>
        <w:keepNext w:val="0"/>
        <w:keepLines w:val="0"/>
        <w:pageBreakBefore w:val="0"/>
        <w:numPr>
          <w:ilvl w:val="0"/>
          <w:numId w:val="0"/>
        </w:numPr>
        <w:kinsoku/>
        <w:wordWrap/>
        <w:overflowPunct/>
        <w:topLinePunct w:val="0"/>
        <w:bidi w:val="0"/>
        <w:spacing w:line="596" w:lineRule="exact"/>
        <w:ind w:left="0" w:leftChars="0" w:right="0" w:firstLine="640" w:firstLineChars="200"/>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3.其它执法工作日：估测约为102天。包括生产安全事故调查处理、安全生产举报查处、参加有关部门联合执法及国家应急部、市局、县局组织的重点时间段安全督查、重点节假日、汛期、两会期间等安全检查、参加其他部门联合执法检查、完成领导或上级部门交办的工作任务等事项。</w:t>
      </w:r>
    </w:p>
    <w:p w14:paraId="231DD77E">
      <w:pPr>
        <w:keepNext w:val="0"/>
        <w:keepLines w:val="0"/>
        <w:pageBreakBefore w:val="0"/>
        <w:numPr>
          <w:ilvl w:val="0"/>
          <w:numId w:val="0"/>
        </w:numPr>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黑体"/>
          <w:sz w:val="32"/>
          <w:szCs w:val="24"/>
        </w:rPr>
      </w:pPr>
      <w:r>
        <w:rPr>
          <w:rFonts w:hint="eastAsia" w:ascii="Times New Roman" w:hAnsi="Times New Roman" w:eastAsia="方正仿宋_GBK" w:cs="方正仿宋_GBK"/>
          <w:color w:val="000000"/>
          <w:kern w:val="2"/>
          <w:sz w:val="32"/>
          <w:szCs w:val="32"/>
          <w:lang w:val="en-US" w:eastAsia="zh-CN" w:bidi="ar-SA"/>
        </w:rPr>
        <w:t>4.非执法工作日：估测约为196天 。包括业务学习培训考核及工作会议、检查指导村（社区）工作、参加党群活动、病事假和法定年休假等事项。</w:t>
      </w:r>
    </w:p>
    <w:p w14:paraId="2D14184A">
      <w:pPr>
        <w:keepNext w:val="0"/>
        <w:keepLines w:val="0"/>
        <w:pageBreakBefore w:val="0"/>
        <w:widowControl w:val="0"/>
        <w:kinsoku/>
        <w:wordWrap/>
        <w:overflowPunct/>
        <w:topLinePunct w:val="0"/>
        <w:autoSpaceDE w:val="0"/>
        <w:autoSpaceDN w:val="0"/>
        <w:bidi w:val="0"/>
        <w:adjustRightInd w:val="0"/>
        <w:spacing w:line="596" w:lineRule="exact"/>
        <w:ind w:left="0" w:leftChars="0" w:right="0"/>
        <w:textAlignment w:val="auto"/>
        <w:outlineLvl w:val="9"/>
        <w:rPr>
          <w:rFonts w:hint="eastAsia" w:ascii="Times New Roman" w:hAnsi="Times New Roman" w:eastAsia="方正黑体_GBK" w:cs="黑体"/>
          <w:color w:val="000000"/>
          <w:kern w:val="2"/>
          <w:sz w:val="32"/>
          <w:szCs w:val="32"/>
          <w:lang w:val="en-US" w:eastAsia="zh-CN" w:bidi="ar-SA"/>
        </w:rPr>
      </w:pPr>
      <w:r>
        <w:rPr>
          <w:rFonts w:hint="eastAsia" w:ascii="Times New Roman" w:hAnsi="Times New Roman" w:eastAsia="仿宋_GB2312" w:cs="仿宋_GB2312"/>
          <w:color w:val="000000"/>
          <w:sz w:val="24"/>
          <w:szCs w:val="24"/>
          <w:lang w:val="en-US" w:eastAsia="zh-CN" w:bidi="ar-SA"/>
        </w:rPr>
        <w:t xml:space="preserve">     </w:t>
      </w:r>
      <w:r>
        <w:rPr>
          <w:rFonts w:hint="eastAsia" w:ascii="Times New Roman" w:hAnsi="Times New Roman" w:eastAsia="方正黑体_GBK" w:cs="黑体"/>
          <w:color w:val="000000"/>
          <w:kern w:val="2"/>
          <w:sz w:val="32"/>
          <w:szCs w:val="32"/>
          <w:lang w:val="en-US" w:eastAsia="zh-CN" w:bidi="ar-SA"/>
        </w:rPr>
        <w:t>三、监督检查对象分类</w:t>
      </w:r>
    </w:p>
    <w:p w14:paraId="736AEF59">
      <w:pPr>
        <w:keepNext w:val="0"/>
        <w:keepLines w:val="0"/>
        <w:pageBreakBefore w:val="0"/>
        <w:widowControl w:val="0"/>
        <w:numPr>
          <w:ilvl w:val="0"/>
          <w:numId w:val="2"/>
        </w:numPr>
        <w:kinsoku/>
        <w:wordWrap/>
        <w:overflowPunct/>
        <w:topLinePunct w:val="0"/>
        <w:autoSpaceDE w:val="0"/>
        <w:autoSpaceDN w:val="0"/>
        <w:bidi w:val="0"/>
        <w:adjustRightInd w:val="0"/>
        <w:spacing w:line="596" w:lineRule="exact"/>
        <w:ind w:left="0" w:leftChars="0" w:right="0" w:firstLine="615"/>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重点检查26家，分别为危险化学品经营企业（点）2家：沙坪加油站、沙坪天然气配气站；烟花爆竹零售经营19户：沙坪镇黄大彬烟花爆竹经营部、沙坪镇蒋代容烟花爆竹经营部、沙坪镇李俊杰烟花爆竹经营部、沙坪镇陈发全烟花爆竹经营部、沙坪镇杨双平烟花爆竹经营部、沙坪镇李明容烟花爆竹经营部、沙坪镇谭光良烟花爆竹经营部、沙坪镇李艳烟花爆竹经营部、沙坪镇黄容烟花爆竹经营部、沙坪镇兰秀东烟花爆竹经营部、沙坪镇徐华烟花爆竹经营部、沙坪镇黎万顺烟花爆竹经营部、沙坪镇陈义琴烟花爆竹经营部、沙坪镇黄历烟花爆竹经营部、沙坪镇兰达英烟花爆竹经营部、沙坪镇兰小俊烟花爆竹经营部、沙坪镇章殊豪烟花爆竹经营部、沙坪镇谭明亮烟花爆竹经营部、沙坪镇董娅灵烟花爆竹经营部；关停煤矿洞口5个：衡新煤矿乐天村洞口、衡新煤矿竹鸡村洞口、平乐煤矿安坪村洞口、平乐煤矿民安洞口、化水沟煤矿环大村洞口，检查频次为每季度一次。</w:t>
      </w:r>
    </w:p>
    <w:p w14:paraId="2FA642B9">
      <w:pPr>
        <w:keepNext w:val="0"/>
        <w:keepLines w:val="0"/>
        <w:pageBreakBefore w:val="0"/>
        <w:widowControl w:val="0"/>
        <w:kinsoku/>
        <w:wordWrap/>
        <w:overflowPunct/>
        <w:topLinePunct w:val="0"/>
        <w:autoSpaceDE w:val="0"/>
        <w:autoSpaceDN w:val="0"/>
        <w:bidi w:val="0"/>
        <w:adjustRightInd w:val="0"/>
        <w:spacing w:line="596" w:lineRule="exact"/>
        <w:ind w:left="0" w:leftChars="0" w:right="0" w:firstLine="615"/>
        <w:textAlignment w:val="auto"/>
        <w:outlineLvl w:val="9"/>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（二）一般检查3家，分别为危险化学品经营单位：欣秀电器经营部（液化气）、危险化学品使用单位：重庆豪文文体用品有限公司、重庆安博奇门业有限公司，检查频次为每四个月一次。</w:t>
      </w:r>
    </w:p>
    <w:p w14:paraId="6619B9CA">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黑体_GBK" w:cs="黑体"/>
          <w:color w:val="000000"/>
          <w:sz w:val="32"/>
          <w:szCs w:val="32"/>
        </w:rPr>
      </w:pPr>
      <w:r>
        <w:rPr>
          <w:rFonts w:hint="eastAsia" w:ascii="Times New Roman" w:hAnsi="Times New Roman" w:eastAsia="方正黑体_GBK" w:cs="黑体"/>
          <w:color w:val="000000"/>
          <w:sz w:val="32"/>
          <w:szCs w:val="32"/>
          <w:lang w:val="en-US" w:eastAsia="zh-CN"/>
        </w:rPr>
        <w:t>四</w:t>
      </w:r>
      <w:r>
        <w:rPr>
          <w:rFonts w:hint="eastAsia" w:ascii="Times New Roman" w:hAnsi="Times New Roman" w:eastAsia="方正黑体_GBK" w:cs="黑体"/>
          <w:color w:val="000000"/>
          <w:sz w:val="32"/>
          <w:szCs w:val="32"/>
        </w:rPr>
        <w:t>、工作要求</w:t>
      </w:r>
    </w:p>
    <w:p w14:paraId="408E1E14">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（一）细化月度执法计划。</w:t>
      </w:r>
      <w:r>
        <w:rPr>
          <w:rFonts w:hint="eastAsia" w:ascii="Times New Roman" w:hAnsi="Times New Roman" w:eastAsia="方正仿宋_GBK" w:cs="方正仿宋_GBK"/>
          <w:color w:val="000000"/>
          <w:sz w:val="32"/>
          <w:szCs w:val="32"/>
        </w:rPr>
        <w:t>按照年度监管执法计划，制定下达月度监管执法具体计划，原则上在上一个月底前完成;按照月度检查计划，每次检查前编制《</w:t>
      </w:r>
      <w:r>
        <w:rPr>
          <w:rFonts w:hint="eastAsia" w:ascii="Times New Roman" w:hAnsi="Times New Roman" w:eastAsia="方正仿宋_GBK" w:cs="方正仿宋_GBK"/>
          <w:color w:val="000000"/>
          <w:sz w:val="32"/>
          <w:szCs w:val="32"/>
          <w:lang w:val="en-US" w:eastAsia="zh-CN"/>
        </w:rPr>
        <w:t>现场执法计划</w:t>
      </w:r>
      <w:r>
        <w:rPr>
          <w:rFonts w:hint="eastAsia" w:ascii="Times New Roman" w:hAnsi="Times New Roman" w:eastAsia="方正仿宋_GBK" w:cs="方正仿宋_GBK"/>
          <w:color w:val="000000"/>
          <w:sz w:val="32"/>
          <w:szCs w:val="32"/>
        </w:rPr>
        <w:t>》，报经分管领导审批后实施。</w:t>
      </w:r>
    </w:p>
    <w:p w14:paraId="3F7881E7">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（二）提高文书制作质量。</w:t>
      </w:r>
      <w:r>
        <w:rPr>
          <w:rFonts w:hint="eastAsia" w:ascii="Times New Roman" w:hAnsi="Times New Roman" w:eastAsia="方正仿宋_GBK" w:cs="方正仿宋_GBK"/>
          <w:color w:val="000000"/>
          <w:sz w:val="32"/>
          <w:szCs w:val="32"/>
        </w:rPr>
        <w:t>正确使用安全生产行政执法文书，严格按照方案开展执法检查。</w:t>
      </w:r>
    </w:p>
    <w:p w14:paraId="6A3C556B">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（三）加强监管执法力度。</w:t>
      </w:r>
      <w:r>
        <w:rPr>
          <w:rFonts w:hint="eastAsia" w:ascii="Times New Roman" w:hAnsi="Times New Roman" w:eastAsia="方正仿宋_GBK" w:cs="方正仿宋_GBK"/>
          <w:color w:val="000000"/>
          <w:sz w:val="32"/>
          <w:szCs w:val="32"/>
        </w:rPr>
        <w:t>监管执法过程中发现的问题和隐患应当责任生产经营单位立即整改或限期整改，对依法可当场处罚的，应当当场处罚，对需移送县级主管部门立案查处的，必需移送上级行政主管部门立案查处</w:t>
      </w:r>
    </w:p>
    <w:p w14:paraId="3D815E64">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（四）及时履行变更手续。</w:t>
      </w:r>
      <w:r>
        <w:rPr>
          <w:rFonts w:hint="eastAsia" w:ascii="Times New Roman" w:hAnsi="Times New Roman" w:eastAsia="方正仿宋_GBK" w:cs="方正仿宋_GBK"/>
          <w:color w:val="000000"/>
          <w:sz w:val="32"/>
          <w:szCs w:val="32"/>
        </w:rPr>
        <w:t>年度执法计划若因工作需要作重大调整的，应及时将调整情况报镇政府备案。月度执法计划确需作出调整的，应及时编制调整方案报分管局领导签字同意。</w:t>
      </w:r>
    </w:p>
    <w:p w14:paraId="023C29B6">
      <w:pPr>
        <w:keepNext w:val="0"/>
        <w:keepLines w:val="0"/>
        <w:pageBreakBefore w:val="0"/>
        <w:kinsoku/>
        <w:wordWrap/>
        <w:overflowPunct/>
        <w:topLinePunct w:val="0"/>
        <w:bidi w:val="0"/>
        <w:spacing w:line="596" w:lineRule="exact"/>
        <w:ind w:left="0" w:leftChars="0" w:right="0" w:firstLine="640" w:firstLineChars="200"/>
        <w:textAlignment w:val="auto"/>
        <w:outlineLvl w:val="9"/>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（五）严格廉政执法纪律。</w:t>
      </w:r>
      <w:r>
        <w:rPr>
          <w:rFonts w:hint="eastAsia" w:ascii="Times New Roman" w:hAnsi="Times New Roman" w:eastAsia="方正仿宋_GBK" w:cs="方正仿宋_GBK"/>
          <w:color w:val="000000"/>
          <w:sz w:val="32"/>
          <w:szCs w:val="32"/>
        </w:rPr>
        <w:t>执法检查人员在实施监管执法工作时，必须严格落实中央八项规定精神，廉洁自律，秉公执法。</w:t>
      </w:r>
    </w:p>
    <w:p w14:paraId="12597651">
      <w:pPr>
        <w:keepNext w:val="0"/>
        <w:keepLines w:val="0"/>
        <w:pageBreakBefore w:val="0"/>
        <w:kinsoku/>
        <w:wordWrap/>
        <w:overflowPunct/>
        <w:topLinePunct w:val="0"/>
        <w:autoSpaceDE w:val="0"/>
        <w:autoSpaceDN w:val="0"/>
        <w:bidi w:val="0"/>
        <w:snapToGrid w:val="0"/>
        <w:spacing w:line="596" w:lineRule="exact"/>
        <w:ind w:left="0" w:leftChars="0" w:right="0"/>
        <w:jc w:val="left"/>
        <w:textAlignment w:val="auto"/>
        <w:outlineLvl w:val="9"/>
        <w:rPr>
          <w:rFonts w:hint="eastAsia" w:ascii="Times New Roman" w:hAnsi="Times New Roman" w:eastAsia="仿宋_GB2312" w:cs="仿宋_GB2312"/>
          <w:color w:val="000000"/>
          <w:sz w:val="24"/>
          <w:szCs w:val="24"/>
          <w:lang w:val="en-US" w:eastAsia="zh-CN" w:bidi="ar-SA"/>
        </w:rPr>
      </w:pPr>
      <w:r>
        <w:rPr>
          <w:rFonts w:hint="eastAsia" w:ascii="Times New Roman" w:hAnsi="Times New Roman" w:eastAsia="仿宋" w:cs="仿宋"/>
          <w:sz w:val="32"/>
          <w:szCs w:val="32"/>
          <w:lang w:val="en-US" w:eastAsia="zh-CN"/>
        </w:rPr>
        <w:t xml:space="preserve"> </w:t>
      </w:r>
    </w:p>
    <w:p w14:paraId="0EC25DF8">
      <w:pPr>
        <w:keepNext w:val="0"/>
        <w:keepLines w:val="0"/>
        <w:pageBreakBefore w:val="0"/>
        <w:kinsoku/>
        <w:wordWrap/>
        <w:overflowPunct/>
        <w:topLinePunct w:val="0"/>
        <w:autoSpaceDE w:val="0"/>
        <w:autoSpaceDN w:val="0"/>
        <w:bidi w:val="0"/>
        <w:snapToGrid w:val="0"/>
        <w:spacing w:line="596" w:lineRule="exact"/>
        <w:ind w:firstLine="640" w:firstLineChars="200"/>
        <w:jc w:val="left"/>
        <w:textAlignment w:val="auto"/>
        <w:rPr>
          <w:rFonts w:hint="eastAsia" w:ascii="Times New Roman" w:hAnsi="Times New Roman" w:eastAsia="方正仿宋_GBK" w:cs="方正仿宋_GBK"/>
          <w:sz w:val="32"/>
          <w:szCs w:val="24"/>
          <w:lang w:val="en-US" w:eastAsia="zh-CN"/>
        </w:rPr>
      </w:pPr>
      <w:r>
        <w:rPr>
          <w:rFonts w:hint="eastAsia" w:ascii="Times New Roman" w:hAnsi="Times New Roman" w:eastAsia="方正仿宋_GBK" w:cs="方正仿宋_GBK"/>
          <w:sz w:val="32"/>
          <w:szCs w:val="32"/>
        </w:rPr>
        <w:t>附</w:t>
      </w:r>
      <w:r>
        <w:rPr>
          <w:rFonts w:hint="eastAsia" w:ascii="Times New Roman" w:hAnsi="Times New Roman" w:eastAsia="方正仿宋_GBK" w:cs="方正仿宋_GBK"/>
          <w:sz w:val="32"/>
          <w:szCs w:val="32"/>
          <w:lang w:val="en-US" w:eastAsia="zh-CN"/>
        </w:rPr>
        <w:t>表</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年重点检查计划表</w:t>
      </w:r>
    </w:p>
    <w:p w14:paraId="2CBE29FF">
      <w:pPr>
        <w:keepNext w:val="0"/>
        <w:keepLines w:val="0"/>
        <w:pageBreakBefore w:val="0"/>
        <w:kinsoku/>
        <w:wordWrap/>
        <w:overflowPunct/>
        <w:topLinePunct w:val="0"/>
        <w:autoSpaceDE w:val="0"/>
        <w:autoSpaceDN w:val="0"/>
        <w:bidi w:val="0"/>
        <w:snapToGrid w:val="0"/>
        <w:spacing w:line="596" w:lineRule="exact"/>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sz w:val="32"/>
          <w:szCs w:val="32"/>
          <w:lang w:val="en-US" w:eastAsia="zh-CN"/>
        </w:rPr>
        <w:t xml:space="preserve">          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年一般检查计划表</w:t>
      </w:r>
    </w:p>
    <w:p w14:paraId="51DEB9BB">
      <w:pPr>
        <w:keepNext w:val="0"/>
        <w:keepLines w:val="0"/>
        <w:pageBreakBefore w:val="0"/>
        <w:kinsoku/>
        <w:wordWrap/>
        <w:overflowPunct/>
        <w:topLinePunct w:val="0"/>
        <w:bidi w:val="0"/>
        <w:spacing w:line="596" w:lineRule="exact"/>
        <w:textAlignment w:val="auto"/>
        <w:rPr>
          <w:rFonts w:hint="eastAsia" w:ascii="Times New Roman" w:hAnsi="Times New Roman" w:eastAsia="方正黑体_GBK" w:cs="方正黑体_GBK"/>
          <w:color w:val="000000"/>
          <w:sz w:val="32"/>
          <w:szCs w:val="24"/>
        </w:rPr>
      </w:pPr>
    </w:p>
    <w:p w14:paraId="7FD3BBC9">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561C4B9F">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179E5DA0">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7A0E0BE">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6D742773">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076ED362">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B234475">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53D1937E">
      <w:pPr>
        <w:rPr>
          <w:rFonts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附表</w:t>
      </w:r>
      <w:r>
        <w:rPr>
          <w:rFonts w:hint="eastAsia" w:ascii="Times New Roman" w:hAnsi="Times New Roman" w:eastAsia="方正黑体_GBK" w:cs="方正黑体_GBK"/>
          <w:color w:val="000000"/>
          <w:sz w:val="32"/>
          <w:szCs w:val="24"/>
          <w:lang w:val="en-US" w:eastAsia="zh-CN"/>
        </w:rPr>
        <w:t>1</w:t>
      </w:r>
    </w:p>
    <w:p w14:paraId="5B6816EA">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2F238CE3">
      <w:pPr>
        <w:autoSpaceDE w:val="0"/>
        <w:autoSpaceDN w:val="0"/>
        <w:snapToGrid w:val="0"/>
        <w:jc w:val="center"/>
        <w:rPr>
          <w:rFonts w:ascii="Times New Roman" w:hAnsi="Times New Roman" w:eastAsia="方正仿宋_GBK" w:cs="黑体"/>
          <w:sz w:val="32"/>
          <w:szCs w:val="24"/>
        </w:rPr>
      </w:pPr>
      <w:r>
        <w:rPr>
          <w:rFonts w:hint="eastAsia" w:ascii="Times New Roman" w:hAnsi="Times New Roman" w:eastAsia="方正小标宋_GBK" w:cs="方正小标宋_GBK"/>
          <w:color w:val="000000"/>
          <w:sz w:val="44"/>
          <w:szCs w:val="44"/>
        </w:rPr>
        <w:t>202</w:t>
      </w:r>
      <w:r>
        <w:rPr>
          <w:rFonts w:hint="eastAsia" w:ascii="Times New Roman" w:hAnsi="Times New Roman" w:eastAsia="方正小标宋_GBK" w:cs="方正小标宋_GBK"/>
          <w:color w:val="000000"/>
          <w:sz w:val="44"/>
          <w:szCs w:val="44"/>
          <w:lang w:val="en-US" w:eastAsia="zh-CN"/>
        </w:rPr>
        <w:t>5</w:t>
      </w:r>
      <w:r>
        <w:rPr>
          <w:rFonts w:hint="eastAsia" w:ascii="Times New Roman" w:hAnsi="Times New Roman" w:eastAsia="方正小标宋_GBK" w:cs="方正小标宋_GBK"/>
          <w:color w:val="000000"/>
          <w:sz w:val="44"/>
          <w:szCs w:val="44"/>
        </w:rPr>
        <w:t>年重点检查计划表</w:t>
      </w:r>
    </w:p>
    <w:tbl>
      <w:tblPr>
        <w:tblStyle w:val="18"/>
        <w:tblW w:w="953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58"/>
        <w:gridCol w:w="7142"/>
        <w:gridCol w:w="720"/>
      </w:tblGrid>
      <w:tr w14:paraId="27E2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top"/>
          </w:tcPr>
          <w:p w14:paraId="22F97D4C">
            <w:pPr>
              <w:autoSpaceDE w:val="0"/>
              <w:autoSpaceDN w:val="0"/>
              <w:snapToGrid w:val="0"/>
              <w:spacing w:line="200" w:lineRule="atLeast"/>
              <w:jc w:val="left"/>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序号</w:t>
            </w:r>
          </w:p>
        </w:tc>
        <w:tc>
          <w:tcPr>
            <w:tcW w:w="958" w:type="dxa"/>
            <w:vAlign w:val="top"/>
          </w:tcPr>
          <w:p w14:paraId="7D71AE8C">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时间</w:t>
            </w:r>
          </w:p>
        </w:tc>
        <w:tc>
          <w:tcPr>
            <w:tcW w:w="7142" w:type="dxa"/>
            <w:vAlign w:val="top"/>
          </w:tcPr>
          <w:p w14:paraId="61B35BD1">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企业名称</w:t>
            </w:r>
          </w:p>
        </w:tc>
        <w:tc>
          <w:tcPr>
            <w:tcW w:w="720" w:type="dxa"/>
            <w:vAlign w:val="top"/>
          </w:tcPr>
          <w:p w14:paraId="188F9F0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家次</w:t>
            </w:r>
          </w:p>
        </w:tc>
      </w:tr>
      <w:tr w14:paraId="38E4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714" w:type="dxa"/>
            <w:vAlign w:val="center"/>
          </w:tcPr>
          <w:p w14:paraId="35358B4B">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w:t>
            </w:r>
          </w:p>
        </w:tc>
        <w:tc>
          <w:tcPr>
            <w:tcW w:w="958" w:type="dxa"/>
            <w:vAlign w:val="center"/>
          </w:tcPr>
          <w:p w14:paraId="0EFC3A36">
            <w:pPr>
              <w:widowControl/>
              <w:jc w:val="left"/>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一季度</w:t>
            </w:r>
          </w:p>
        </w:tc>
        <w:tc>
          <w:tcPr>
            <w:tcW w:w="7142" w:type="dxa"/>
            <w:vAlign w:val="center"/>
          </w:tcPr>
          <w:p w14:paraId="77D5D880">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沙坪加油站、沙坪天然气配气站、衡新煤矿乐天村洞口、衡新煤矿竹鸡村洞口、平乐煤矿安坪村洞口、平乐煤矿民安洞口、化水沟煤矿环大村洞口、沙坪镇黄大彬烟花爆竹经营部、沙坪镇蒋代容烟花爆竹经营部、沙坪镇李俊杰烟花爆竹经营部、沙坪镇陈发全烟花爆竹经营部、沙坪镇杨双平烟花爆竹经营部、沙坪镇李明容烟花爆竹经营部、沙坪镇谭光良烟花爆竹经营部、沙坪镇李艳烟花爆竹经营部、沙坪镇黄容烟花爆竹经营部、沙坪镇兰秀东烟花爆竹经营部、沙坪镇徐华烟花爆竹经营部、沙坪镇黎万顺烟花爆竹经营部、沙坪镇陈义琴烟花爆竹经营部、沙坪镇黄历烟花爆竹经营部、沙坪镇兰达英烟花爆竹经营部、沙坪镇兰小俊烟花爆竹经营部、沙坪镇章殊豪烟花爆竹经营部、沙坪镇谭明亮烟花爆竹经营部、沙坪镇董娅灵烟花爆竹经营部</w:t>
            </w:r>
          </w:p>
        </w:tc>
        <w:tc>
          <w:tcPr>
            <w:tcW w:w="720" w:type="dxa"/>
            <w:vAlign w:val="center"/>
          </w:tcPr>
          <w:p w14:paraId="3C9372D6">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26</w:t>
            </w:r>
          </w:p>
        </w:tc>
      </w:tr>
      <w:tr w14:paraId="00F8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4" w:type="dxa"/>
            <w:vAlign w:val="center"/>
          </w:tcPr>
          <w:p w14:paraId="164EDF20">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2</w:t>
            </w:r>
          </w:p>
        </w:tc>
        <w:tc>
          <w:tcPr>
            <w:tcW w:w="958" w:type="dxa"/>
            <w:vAlign w:val="center"/>
          </w:tcPr>
          <w:p w14:paraId="2B3F78FD">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二季度</w:t>
            </w:r>
          </w:p>
        </w:tc>
        <w:tc>
          <w:tcPr>
            <w:tcW w:w="7142" w:type="dxa"/>
            <w:vAlign w:val="center"/>
          </w:tcPr>
          <w:p w14:paraId="3784A47A">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沙坪加油站、沙坪天然气配气站、衡新煤矿乐天村洞口、衡新煤矿竹鸡村洞口、平乐煤矿安坪村洞口、平乐煤矿民安洞口、化水沟煤矿环大村洞口、沙坪镇黄大彬烟花爆竹经营部、沙坪镇蒋代容烟花爆竹经营部、沙坪镇李俊杰烟花爆竹经营部、沙坪镇陈发全烟花爆竹经营部、沙坪镇杨双平烟花爆竹经营部、沙坪镇李明容烟花爆竹经营部、沙坪镇谭光良烟花爆竹经营部、沙坪镇李艳烟花爆竹经营部、沙坪镇黄容烟花爆竹经营部、沙坪镇兰秀东烟花爆竹经营部、沙坪镇徐华烟花爆竹经营部、沙坪镇黎万顺烟花爆竹经营部、沙坪镇陈义琴烟花爆竹经营部、沙坪镇黄历烟花爆竹经营部、沙坪镇兰达英烟花爆竹经营部、沙坪镇兰小俊烟花爆竹经营部、沙坪镇章殊豪烟花爆竹经营部、沙坪镇谭明亮烟花爆竹经营部、沙坪镇董娅灵烟花爆竹经营部</w:t>
            </w:r>
          </w:p>
        </w:tc>
        <w:tc>
          <w:tcPr>
            <w:tcW w:w="720" w:type="dxa"/>
            <w:vAlign w:val="center"/>
          </w:tcPr>
          <w:p w14:paraId="78143C30">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26</w:t>
            </w:r>
          </w:p>
        </w:tc>
      </w:tr>
      <w:tr w14:paraId="6D3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4" w:type="dxa"/>
            <w:vAlign w:val="center"/>
          </w:tcPr>
          <w:p w14:paraId="5E92BD69">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3</w:t>
            </w:r>
          </w:p>
        </w:tc>
        <w:tc>
          <w:tcPr>
            <w:tcW w:w="958" w:type="dxa"/>
            <w:vAlign w:val="center"/>
          </w:tcPr>
          <w:p w14:paraId="24C4CD2B">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三季度</w:t>
            </w:r>
          </w:p>
        </w:tc>
        <w:tc>
          <w:tcPr>
            <w:tcW w:w="7142" w:type="dxa"/>
            <w:vAlign w:val="center"/>
          </w:tcPr>
          <w:p w14:paraId="1814FA3C">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沙坪加油站、沙坪天然气配气站、衡新煤矿乐天村洞口、衡新煤矿竹鸡村洞口、平乐煤矿安坪村洞口、平乐煤矿民安洞口、化水沟煤矿环大村洞口、沙坪镇黄大彬烟花爆竹经营部、沙坪镇蒋代容烟花爆竹经营部、沙坪镇李俊杰烟花爆竹经营部、沙坪镇陈发全烟花爆竹经营部、沙坪镇杨双平烟花爆竹经营部、沙坪镇李明容烟花爆竹经营部、沙坪镇谭光良烟花爆竹经营部、沙坪镇李艳烟花爆竹经营部、沙坪镇黄容烟花爆竹经营部、沙坪镇兰秀东烟花爆竹经营部、沙坪镇徐华烟花爆竹经营部、沙坪镇黎万顺烟花爆竹经营部、沙坪镇陈义琴烟花爆竹经营部、沙坪镇黄历烟花爆竹经营部、沙坪镇兰达英烟花爆竹经营部、沙坪镇兰小俊烟花爆竹经营部、沙坪镇章殊豪烟花爆竹经营部、沙坪镇谭明亮烟花爆竹经营部、沙坪镇董娅灵烟花爆竹经营部</w:t>
            </w:r>
          </w:p>
        </w:tc>
        <w:tc>
          <w:tcPr>
            <w:tcW w:w="720" w:type="dxa"/>
            <w:vAlign w:val="center"/>
          </w:tcPr>
          <w:p w14:paraId="47F2518F">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26</w:t>
            </w:r>
          </w:p>
        </w:tc>
      </w:tr>
      <w:tr w14:paraId="3D0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4" w:type="dxa"/>
            <w:vAlign w:val="center"/>
          </w:tcPr>
          <w:p w14:paraId="7185F677">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4</w:t>
            </w:r>
          </w:p>
        </w:tc>
        <w:tc>
          <w:tcPr>
            <w:tcW w:w="958" w:type="dxa"/>
            <w:vAlign w:val="center"/>
          </w:tcPr>
          <w:p w14:paraId="7F5D09E8">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四季度</w:t>
            </w:r>
          </w:p>
        </w:tc>
        <w:tc>
          <w:tcPr>
            <w:tcW w:w="7142" w:type="dxa"/>
            <w:vAlign w:val="center"/>
          </w:tcPr>
          <w:p w14:paraId="68D96464">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沙坪加油站、沙坪天然气配气站、衡新煤矿乐天村洞口、衡新煤矿竹鸡村洞口、平乐煤矿安坪村洞口、平乐煤矿民安洞口、化水沟煤矿环大村洞口、沙坪镇黄大彬烟花爆竹经营部、沙坪镇蒋代容烟花爆竹经营部、沙坪镇李俊杰烟花爆竹经营部、沙坪镇陈发全烟花爆竹经营部、沙坪镇杨双平烟花爆竹经营部、沙坪镇李明容烟花爆竹经营部、沙坪镇谭光良烟花爆竹经营部、沙坪镇李艳烟花爆竹经营部、沙坪镇黄容烟花爆竹经营部、沙坪镇兰秀东烟花爆竹经营部、沙坪镇徐华烟花爆竹经营部、沙坪镇黎万顺烟花爆竹经营部、沙坪镇陈义琴烟花爆竹经营部、沙坪镇黄历烟花爆竹经营部、沙坪镇兰达英烟花爆竹经营部、沙坪镇兰小俊烟花爆竹经营部、沙坪镇章殊豪烟花爆竹经营部、沙坪镇谭明亮烟花爆竹经营部、沙坪镇董娅灵烟花爆竹经营部</w:t>
            </w:r>
          </w:p>
        </w:tc>
        <w:tc>
          <w:tcPr>
            <w:tcW w:w="720" w:type="dxa"/>
            <w:vAlign w:val="center"/>
          </w:tcPr>
          <w:p w14:paraId="619C0594">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26</w:t>
            </w:r>
          </w:p>
        </w:tc>
      </w:tr>
    </w:tbl>
    <w:p w14:paraId="77C9A29B">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30"/>
          <w:szCs w:val="30"/>
          <w:lang w:val="en-US" w:eastAsia="zh-CN"/>
        </w:rPr>
      </w:pPr>
      <w:r>
        <w:rPr>
          <w:rFonts w:hint="eastAsia" w:ascii="Times New Roman" w:hAnsi="Times New Roman" w:eastAsia="方正仿宋_GBK" w:cs="方正仿宋_GBK"/>
          <w:kern w:val="2"/>
          <w:sz w:val="30"/>
          <w:szCs w:val="30"/>
          <w:lang w:val="en-US" w:eastAsia="zh-CN"/>
        </w:rPr>
        <w:t>说明：此表中每个企业在每个季度必须出现一次</w:t>
      </w:r>
    </w:p>
    <w:p w14:paraId="42194078">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27AE879C">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FDCEBBA">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B130664">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1762EDDF">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1E17AEEE">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5DA27B3D">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7BE9F78">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1C82E75E">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84B7FD6">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2CBA870C">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0B9930F">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535E049B">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C669420">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6843E7A">
      <w:pPr>
        <w:rPr>
          <w:rFonts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附表</w:t>
      </w:r>
      <w:r>
        <w:rPr>
          <w:rFonts w:hint="eastAsia" w:ascii="Times New Roman" w:hAnsi="Times New Roman" w:eastAsia="方正黑体_GBK" w:cs="方正黑体_GBK"/>
          <w:color w:val="000000"/>
          <w:sz w:val="32"/>
          <w:szCs w:val="24"/>
          <w:lang w:val="en-US" w:eastAsia="zh-CN"/>
        </w:rPr>
        <w:t>2</w:t>
      </w:r>
    </w:p>
    <w:p w14:paraId="6A3A52C0">
      <w:pPr>
        <w:autoSpaceDE w:val="0"/>
        <w:autoSpaceDN w:val="0"/>
        <w:snapToGrid w:val="0"/>
        <w:jc w:val="center"/>
        <w:rPr>
          <w:rFonts w:ascii="Times New Roman" w:hAnsi="Times New Roman" w:eastAsia="方正仿宋_GBK" w:cs="黑体"/>
          <w:sz w:val="32"/>
          <w:szCs w:val="24"/>
        </w:rPr>
      </w:pPr>
      <w:r>
        <w:rPr>
          <w:rFonts w:hint="eastAsia" w:ascii="Times New Roman" w:hAnsi="Times New Roman" w:eastAsia="方正小标宋_GBK" w:cs="方正小标宋_GBK"/>
          <w:color w:val="000000"/>
          <w:sz w:val="44"/>
          <w:szCs w:val="44"/>
        </w:rPr>
        <w:t>202</w:t>
      </w:r>
      <w:r>
        <w:rPr>
          <w:rFonts w:hint="eastAsia" w:ascii="Times New Roman" w:hAnsi="Times New Roman" w:eastAsia="方正小标宋_GBK" w:cs="方正小标宋_GBK"/>
          <w:color w:val="000000"/>
          <w:sz w:val="44"/>
          <w:szCs w:val="44"/>
          <w:lang w:val="en-US" w:eastAsia="zh-CN"/>
        </w:rPr>
        <w:t>5</w:t>
      </w:r>
      <w:r>
        <w:rPr>
          <w:rFonts w:hint="eastAsia" w:ascii="Times New Roman" w:hAnsi="Times New Roman" w:eastAsia="方正小标宋_GBK" w:cs="方正小标宋_GBK"/>
          <w:color w:val="000000"/>
          <w:sz w:val="44"/>
          <w:szCs w:val="44"/>
        </w:rPr>
        <w:t>年一般检查计划表</w:t>
      </w:r>
    </w:p>
    <w:tbl>
      <w:tblPr>
        <w:tblStyle w:val="18"/>
        <w:tblW w:w="948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75"/>
        <w:gridCol w:w="6975"/>
        <w:gridCol w:w="825"/>
      </w:tblGrid>
      <w:tr w14:paraId="72B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top"/>
          </w:tcPr>
          <w:p w14:paraId="6FB1D0BD">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序号</w:t>
            </w:r>
          </w:p>
        </w:tc>
        <w:tc>
          <w:tcPr>
            <w:tcW w:w="975" w:type="dxa"/>
            <w:vAlign w:val="top"/>
          </w:tcPr>
          <w:p w14:paraId="2B3E204C">
            <w:pPr>
              <w:autoSpaceDE w:val="0"/>
              <w:autoSpaceDN w:val="0"/>
              <w:snapToGrid w:val="0"/>
              <w:spacing w:line="200" w:lineRule="atLeast"/>
              <w:jc w:val="center"/>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时间</w:t>
            </w:r>
          </w:p>
        </w:tc>
        <w:tc>
          <w:tcPr>
            <w:tcW w:w="6975" w:type="dxa"/>
            <w:vAlign w:val="top"/>
          </w:tcPr>
          <w:p w14:paraId="78A6475C">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企业名称</w:t>
            </w:r>
          </w:p>
        </w:tc>
        <w:tc>
          <w:tcPr>
            <w:tcW w:w="825" w:type="dxa"/>
            <w:vAlign w:val="top"/>
          </w:tcPr>
          <w:p w14:paraId="07E07823">
            <w:pPr>
              <w:autoSpaceDE w:val="0"/>
              <w:autoSpaceDN w:val="0"/>
              <w:snapToGrid w:val="0"/>
              <w:spacing w:line="200" w:lineRule="atLeast"/>
              <w:jc w:val="left"/>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家次</w:t>
            </w:r>
          </w:p>
        </w:tc>
      </w:tr>
      <w:tr w14:paraId="375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709" w:type="dxa"/>
            <w:vAlign w:val="top"/>
          </w:tcPr>
          <w:p w14:paraId="2C372F1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7BD9A156">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1</w:t>
            </w:r>
          </w:p>
        </w:tc>
        <w:tc>
          <w:tcPr>
            <w:tcW w:w="975" w:type="dxa"/>
            <w:vAlign w:val="top"/>
          </w:tcPr>
          <w:p w14:paraId="5BB1DA1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6AADFEED">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一至四月</w:t>
            </w:r>
          </w:p>
        </w:tc>
        <w:tc>
          <w:tcPr>
            <w:tcW w:w="6975" w:type="dxa"/>
            <w:vAlign w:val="top"/>
          </w:tcPr>
          <w:p w14:paraId="73E27AA7">
            <w:pPr>
              <w:autoSpaceDE w:val="0"/>
              <w:autoSpaceDN w:val="0"/>
              <w:snapToGrid w:val="0"/>
              <w:spacing w:line="200" w:lineRule="atLeast"/>
              <w:jc w:val="center"/>
              <w:rPr>
                <w:rFonts w:hint="eastAsia" w:ascii="Times New Roman" w:hAnsi="Times New Roman" w:eastAsia="方正仿宋_GBK" w:cs="方正仿宋_GBK"/>
                <w:kern w:val="2"/>
                <w:sz w:val="24"/>
                <w:szCs w:val="24"/>
                <w:lang w:val="en-US" w:eastAsia="zh-CN"/>
              </w:rPr>
            </w:pPr>
          </w:p>
          <w:p w14:paraId="56244CAE">
            <w:pPr>
              <w:autoSpaceDE w:val="0"/>
              <w:autoSpaceDN w:val="0"/>
              <w:snapToGrid w:val="0"/>
              <w:spacing w:line="200" w:lineRule="atLeas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欣秀电器经营部（液化气）、重庆豪文文体用品有限公司、重庆安博奇门业有限公司</w:t>
            </w:r>
          </w:p>
        </w:tc>
        <w:tc>
          <w:tcPr>
            <w:tcW w:w="825" w:type="dxa"/>
            <w:vAlign w:val="top"/>
          </w:tcPr>
          <w:p w14:paraId="077289D9">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624D2DEE">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3C9DD52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3</w:t>
            </w:r>
          </w:p>
        </w:tc>
      </w:tr>
      <w:tr w14:paraId="1083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top"/>
          </w:tcPr>
          <w:p w14:paraId="5EEDD765">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1410FFCB">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w:t>
            </w:r>
          </w:p>
        </w:tc>
        <w:tc>
          <w:tcPr>
            <w:tcW w:w="975" w:type="dxa"/>
            <w:vAlign w:val="top"/>
          </w:tcPr>
          <w:p w14:paraId="72DCDED5">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6EA23806">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五至八月</w:t>
            </w:r>
          </w:p>
        </w:tc>
        <w:tc>
          <w:tcPr>
            <w:tcW w:w="6975" w:type="dxa"/>
            <w:vAlign w:val="top"/>
          </w:tcPr>
          <w:p w14:paraId="6E7CBE31">
            <w:pPr>
              <w:autoSpaceDE w:val="0"/>
              <w:autoSpaceDN w:val="0"/>
              <w:snapToGrid w:val="0"/>
              <w:spacing w:line="200" w:lineRule="atLeast"/>
              <w:jc w:val="center"/>
              <w:rPr>
                <w:rFonts w:hint="eastAsia" w:ascii="Times New Roman" w:hAnsi="Times New Roman" w:eastAsia="方正仿宋_GBK" w:cs="方正仿宋_GBK"/>
                <w:kern w:val="2"/>
                <w:sz w:val="24"/>
                <w:szCs w:val="24"/>
                <w:lang w:val="en-US" w:eastAsia="zh-CN"/>
              </w:rPr>
            </w:pPr>
          </w:p>
          <w:p w14:paraId="2A026D0F">
            <w:pPr>
              <w:autoSpaceDE w:val="0"/>
              <w:autoSpaceDN w:val="0"/>
              <w:snapToGrid w:val="0"/>
              <w:spacing w:line="200" w:lineRule="atLeas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欣秀电器经营部（液化气）、重庆豪文文体用品有限公司、重庆安博奇门业有限公司</w:t>
            </w:r>
          </w:p>
        </w:tc>
        <w:tc>
          <w:tcPr>
            <w:tcW w:w="825" w:type="dxa"/>
            <w:vAlign w:val="top"/>
          </w:tcPr>
          <w:p w14:paraId="69667819">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1A9686AF">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689B0377">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3</w:t>
            </w:r>
          </w:p>
        </w:tc>
      </w:tr>
      <w:tr w14:paraId="6B3B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09" w:type="dxa"/>
            <w:vAlign w:val="top"/>
          </w:tcPr>
          <w:p w14:paraId="1D74169D">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1437360A">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3</w:t>
            </w:r>
          </w:p>
        </w:tc>
        <w:tc>
          <w:tcPr>
            <w:tcW w:w="975" w:type="dxa"/>
            <w:vAlign w:val="top"/>
          </w:tcPr>
          <w:p w14:paraId="2550F08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5F03D28F">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九至十二月</w:t>
            </w:r>
          </w:p>
        </w:tc>
        <w:tc>
          <w:tcPr>
            <w:tcW w:w="6975" w:type="dxa"/>
            <w:vAlign w:val="top"/>
          </w:tcPr>
          <w:p w14:paraId="10B16166">
            <w:pPr>
              <w:autoSpaceDE w:val="0"/>
              <w:autoSpaceDN w:val="0"/>
              <w:snapToGrid w:val="0"/>
              <w:spacing w:line="200" w:lineRule="atLeast"/>
              <w:jc w:val="center"/>
              <w:rPr>
                <w:rFonts w:hint="eastAsia" w:ascii="Times New Roman" w:hAnsi="Times New Roman" w:eastAsia="方正仿宋_GBK" w:cs="方正仿宋_GBK"/>
                <w:kern w:val="2"/>
                <w:sz w:val="24"/>
                <w:szCs w:val="24"/>
                <w:lang w:val="en-US" w:eastAsia="zh-CN"/>
              </w:rPr>
            </w:pPr>
          </w:p>
          <w:p w14:paraId="1922D4C9">
            <w:pPr>
              <w:autoSpaceDE w:val="0"/>
              <w:autoSpaceDN w:val="0"/>
              <w:snapToGrid w:val="0"/>
              <w:spacing w:line="200" w:lineRule="atLeas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欣秀电器经营部（液化气）、重庆豪文文体用品有限公司、重庆安博奇门业有限公司</w:t>
            </w:r>
          </w:p>
        </w:tc>
        <w:tc>
          <w:tcPr>
            <w:tcW w:w="825" w:type="dxa"/>
            <w:vAlign w:val="top"/>
          </w:tcPr>
          <w:p w14:paraId="41D287C8">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3E812F03">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p>
          <w:p w14:paraId="7583320F">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3</w:t>
            </w:r>
          </w:p>
        </w:tc>
      </w:tr>
    </w:tbl>
    <w:p w14:paraId="2AC0CB0B">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30"/>
          <w:szCs w:val="30"/>
          <w:lang w:val="en-US" w:eastAsia="zh-CN"/>
        </w:rPr>
      </w:pPr>
      <w:r>
        <w:rPr>
          <w:rFonts w:hint="eastAsia" w:ascii="Times New Roman" w:hAnsi="Times New Roman" w:eastAsia="方正仿宋_GBK" w:cs="方正仿宋_GBK"/>
          <w:kern w:val="2"/>
          <w:sz w:val="30"/>
          <w:szCs w:val="30"/>
          <w:lang w:val="en-US" w:eastAsia="zh-CN"/>
        </w:rPr>
        <w:t>说明：此表中每个企业在每四个月必须出现一次</w:t>
      </w:r>
    </w:p>
    <w:p w14:paraId="223DCCD7">
      <w:pPr>
        <w:autoSpaceDE w:val="0"/>
        <w:autoSpaceDN w:val="0"/>
        <w:snapToGrid w:val="0"/>
        <w:spacing w:line="200" w:lineRule="atLeast"/>
        <w:rPr>
          <w:rFonts w:hint="eastAsia" w:ascii="Times New Roman" w:hAnsi="Times New Roman" w:eastAsia="方正小标宋_GBK" w:cs="黑体"/>
          <w:sz w:val="44"/>
          <w:szCs w:val="44"/>
        </w:rPr>
      </w:pPr>
    </w:p>
    <w:p w14:paraId="798DA36A">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0513303C">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70732B03">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19EA2454">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016C75CD">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30AD54C6">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5B9F7AFC">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326FC87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方正黑体_GBK" w:cs="方正黑体_GBK"/>
          <w:b w:val="0"/>
          <w:bCs w:val="0"/>
          <w:color w:val="000000"/>
          <w:sz w:val="32"/>
          <w:szCs w:val="32"/>
          <w:lang w:val="en-US" w:eastAsia="zh-CN" w:bidi="ar-SA"/>
        </w:rPr>
      </w:pPr>
      <w:r>
        <w:rPr>
          <w:rFonts w:hint="eastAsia" w:ascii="Times New Roman" w:hAnsi="Times New Roman" w:eastAsia="方正黑体_GBK" w:cs="方正黑体_GBK"/>
          <w:b w:val="0"/>
          <w:bCs w:val="0"/>
          <w:color w:val="000000"/>
          <w:sz w:val="32"/>
          <w:szCs w:val="32"/>
          <w:lang w:val="en-US" w:eastAsia="zh-CN" w:bidi="ar-SA"/>
        </w:rPr>
        <w:t>附件2</w:t>
      </w:r>
    </w:p>
    <w:p w14:paraId="0A9BF656">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方正黑体_GBK" w:cs="方正黑体_GBK"/>
          <w:b w:val="0"/>
          <w:bCs w:val="0"/>
          <w:color w:val="000000"/>
          <w:sz w:val="32"/>
          <w:szCs w:val="32"/>
          <w:lang w:val="en-US" w:eastAsia="zh-CN" w:bidi="ar-SA"/>
        </w:rPr>
      </w:pPr>
    </w:p>
    <w:p w14:paraId="1E583DB1">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_GBK" w:cs="方正小标宋_GBK"/>
          <w:b w:val="0"/>
          <w:bCs w:val="0"/>
          <w:color w:val="000000"/>
          <w:spacing w:val="-20"/>
          <w:sz w:val="44"/>
          <w:szCs w:val="44"/>
          <w:lang w:val="en-US" w:eastAsia="zh-CN" w:bidi="ar-SA"/>
        </w:rPr>
      </w:pPr>
      <w:r>
        <w:rPr>
          <w:rFonts w:hint="eastAsia" w:ascii="Times New Roman" w:hAnsi="Times New Roman" w:eastAsia="方正小标宋_GBK" w:cs="方正小标宋_GBK"/>
          <w:b w:val="0"/>
          <w:bCs w:val="0"/>
          <w:color w:val="000000"/>
          <w:spacing w:val="-20"/>
          <w:sz w:val="44"/>
          <w:szCs w:val="44"/>
          <w:lang w:val="en-US" w:eastAsia="zh-CN" w:bidi="ar-SA"/>
        </w:rPr>
        <w:t>沙坪镇2025年经济发展办公室安全生产监督检查</w:t>
      </w:r>
    </w:p>
    <w:p w14:paraId="399CAD7C">
      <w:pPr>
        <w:keepNext w:val="0"/>
        <w:keepLines w:val="0"/>
        <w:pageBreakBefore w:val="0"/>
        <w:widowControl w:val="0"/>
        <w:kinsoku/>
        <w:wordWrap/>
        <w:overflowPunct/>
        <w:topLinePunct w:val="0"/>
        <w:autoSpaceDE w:val="0"/>
        <w:autoSpaceDN w:val="0"/>
        <w:bidi w:val="0"/>
        <w:adjustRightInd w:val="0"/>
        <w:snapToGrid/>
        <w:spacing w:line="596" w:lineRule="exact"/>
        <w:jc w:val="center"/>
        <w:textAlignment w:val="auto"/>
        <w:rPr>
          <w:rFonts w:hint="eastAsia" w:ascii="Times New Roman" w:hAnsi="Times New Roman" w:eastAsia="方正小标宋_GBK" w:cs="方正小标宋_GBK"/>
          <w:b w:val="0"/>
          <w:bCs w:val="0"/>
          <w:color w:val="000000"/>
          <w:sz w:val="44"/>
          <w:szCs w:val="44"/>
          <w:lang w:val="en-US" w:eastAsia="zh-CN" w:bidi="ar-SA"/>
        </w:rPr>
      </w:pPr>
      <w:r>
        <w:rPr>
          <w:rFonts w:hint="eastAsia" w:ascii="Times New Roman" w:hAnsi="Times New Roman" w:eastAsia="方正小标宋_GBK" w:cs="方正小标宋_GBK"/>
          <w:b w:val="0"/>
          <w:bCs w:val="0"/>
          <w:color w:val="000000"/>
          <w:sz w:val="44"/>
          <w:szCs w:val="44"/>
          <w:lang w:val="en-US" w:eastAsia="zh-CN" w:bidi="ar-SA"/>
        </w:rPr>
        <w:t>执法计划</w:t>
      </w:r>
    </w:p>
    <w:p w14:paraId="7DA2329F">
      <w:pPr>
        <w:widowControl w:val="0"/>
        <w:autoSpaceDE w:val="0"/>
        <w:autoSpaceDN w:val="0"/>
        <w:adjustRightInd w:val="0"/>
        <w:jc w:val="center"/>
        <w:rPr>
          <w:rFonts w:hint="eastAsia" w:ascii="Times New Roman" w:hAnsi="Times New Roman" w:eastAsia="方正大标宋_GBK" w:cs="方正大标宋_GBK"/>
          <w:b w:val="0"/>
          <w:bCs w:val="0"/>
          <w:color w:val="000000"/>
          <w:sz w:val="36"/>
          <w:szCs w:val="36"/>
          <w:lang w:val="en-US" w:eastAsia="zh-CN" w:bidi="ar-SA"/>
        </w:rPr>
      </w:pPr>
    </w:p>
    <w:p w14:paraId="181D93D3">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楷体" w:cs="楷体"/>
          <w:color w:val="000000"/>
          <w:sz w:val="32"/>
          <w:szCs w:val="32"/>
        </w:rPr>
      </w:pPr>
      <w:r>
        <w:rPr>
          <w:rFonts w:hint="eastAsia" w:ascii="Times New Roman" w:hAnsi="Times New Roman" w:eastAsia="方正黑体_GBK" w:cs="Times New Roman"/>
          <w:color w:val="000000"/>
          <w:sz w:val="32"/>
          <w:szCs w:val="24"/>
          <w:lang w:val="en-US" w:eastAsia="zh-CN"/>
        </w:rPr>
        <w:t>一</w:t>
      </w:r>
      <w:r>
        <w:rPr>
          <w:rFonts w:ascii="Times New Roman" w:hAnsi="Times New Roman" w:eastAsia="方正黑体_GBK" w:cs="Times New Roman"/>
          <w:color w:val="000000"/>
          <w:sz w:val="32"/>
          <w:szCs w:val="24"/>
        </w:rPr>
        <w:t>、</w:t>
      </w:r>
      <w:r>
        <w:rPr>
          <w:rFonts w:hint="eastAsia" w:ascii="Times New Roman" w:hAnsi="Times New Roman" w:eastAsia="方正黑体_GBK" w:cs="黑体"/>
          <w:kern w:val="2"/>
          <w:sz w:val="32"/>
          <w:szCs w:val="32"/>
          <w:lang w:val="en-US" w:eastAsia="zh-CN"/>
        </w:rPr>
        <w:t>监督检</w:t>
      </w:r>
      <w:r>
        <w:rPr>
          <w:rFonts w:hint="eastAsia" w:ascii="Times New Roman" w:hAnsi="Times New Roman" w:eastAsia="方正黑体_GBK" w:cs="黑体"/>
          <w:kern w:val="2"/>
          <w:sz w:val="32"/>
          <w:szCs w:val="32"/>
        </w:rPr>
        <w:t>查对</w:t>
      </w:r>
      <w:r>
        <w:rPr>
          <w:rFonts w:ascii="Times New Roman" w:hAnsi="Times New Roman" w:eastAsia="黑体" w:cs="黑体"/>
          <w:i w:val="0"/>
          <w:caps w:val="0"/>
          <w:color w:val="000000"/>
          <w:spacing w:val="0"/>
          <w:sz w:val="31"/>
          <w:szCs w:val="31"/>
          <w:shd w:val="clear" w:color="auto" w:fill="FFFFFF"/>
        </w:rPr>
        <w:t>象</w:t>
      </w:r>
    </w:p>
    <w:p w14:paraId="533D5890">
      <w:pPr>
        <w:keepNext w:val="0"/>
        <w:keepLines w:val="0"/>
        <w:pageBreakBefore w:val="0"/>
        <w:tabs>
          <w:tab w:val="left" w:pos="6615"/>
        </w:tabs>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32"/>
          <w:highlight w:val="none"/>
          <w:lang w:val="en-US" w:eastAsia="zh-CN"/>
        </w:rPr>
      </w:pP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沙坪镇经济发展办公室</w:t>
      </w:r>
      <w:r>
        <w:rPr>
          <w:rFonts w:hint="eastAsia" w:ascii="Times New Roman" w:hAnsi="Times New Roman" w:eastAsia="方正仿宋_GBK" w:cs="方正仿宋_GBK"/>
          <w:color w:val="000000"/>
          <w:sz w:val="32"/>
          <w:szCs w:val="32"/>
        </w:rPr>
        <w:t>纳入监</w:t>
      </w:r>
      <w:r>
        <w:rPr>
          <w:rFonts w:hint="eastAsia" w:ascii="Times New Roman" w:hAnsi="Times New Roman" w:eastAsia="方正仿宋_GBK" w:cs="方正仿宋_GBK"/>
          <w:color w:val="000000"/>
          <w:sz w:val="32"/>
          <w:szCs w:val="32"/>
          <w:lang w:val="en-US" w:eastAsia="zh-CN"/>
        </w:rPr>
        <w:t>督检查</w:t>
      </w:r>
      <w:r>
        <w:rPr>
          <w:rFonts w:hint="eastAsia" w:ascii="Times New Roman" w:hAnsi="Times New Roman" w:eastAsia="方正仿宋_GBK" w:cs="方正仿宋_GBK"/>
          <w:color w:val="000000"/>
          <w:sz w:val="32"/>
          <w:szCs w:val="32"/>
        </w:rPr>
        <w:t>执法计划</w:t>
      </w:r>
      <w:r>
        <w:rPr>
          <w:rFonts w:hint="eastAsia" w:ascii="Times New Roman" w:hAnsi="Times New Roman" w:eastAsia="方正仿宋_GBK" w:cs="方正仿宋_GBK"/>
          <w:color w:val="000000"/>
          <w:sz w:val="32"/>
          <w:szCs w:val="32"/>
          <w:lang w:val="en-US" w:eastAsia="zh-CN"/>
        </w:rPr>
        <w:t>的共有</w:t>
      </w:r>
      <w:r>
        <w:rPr>
          <w:rFonts w:hint="eastAsia" w:ascii="Times New Roman" w:hAnsi="Times New Roman" w:eastAsia="方正仿宋_GBK" w:cs="方正仿宋_GBK"/>
          <w:color w:val="000000"/>
          <w:sz w:val="32"/>
          <w:szCs w:val="32"/>
          <w:highlight w:val="none"/>
          <w:lang w:val="en-US" w:eastAsia="zh-CN"/>
        </w:rPr>
        <w:t>30家：</w:t>
      </w:r>
      <w:r>
        <w:rPr>
          <w:rFonts w:hint="eastAsia" w:ascii="Times New Roman" w:hAnsi="Times New Roman" w:eastAsia="方正仿宋_GBK" w:cs="方正仿宋_GBK"/>
          <w:color w:val="000000"/>
          <w:sz w:val="32"/>
          <w:szCs w:val="32"/>
          <w:highlight w:val="none"/>
          <w:lang w:eastAsia="zh-CN"/>
        </w:rPr>
        <w:t>危险化学品经营企业（点）</w:t>
      </w:r>
      <w:r>
        <w:rPr>
          <w:rFonts w:hint="eastAsia" w:ascii="Times New Roman" w:hAnsi="Times New Roman" w:eastAsia="方正仿宋_GBK" w:cs="方正仿宋_GBK"/>
          <w:color w:val="000000"/>
          <w:sz w:val="32"/>
          <w:szCs w:val="32"/>
          <w:highlight w:val="none"/>
          <w:lang w:val="en-US" w:eastAsia="zh-CN"/>
        </w:rPr>
        <w:t>4家</w:t>
      </w:r>
      <w:r>
        <w:rPr>
          <w:rFonts w:hint="eastAsia" w:ascii="Times New Roman" w:hAnsi="Times New Roman" w:eastAsia="方正仿宋_GBK" w:cs="方正仿宋_GBK"/>
          <w:color w:val="000000"/>
          <w:sz w:val="32"/>
          <w:szCs w:val="32"/>
          <w:highlight w:val="none"/>
        </w:rPr>
        <w:t>，规模以上工业企业</w:t>
      </w:r>
      <w:r>
        <w:rPr>
          <w:rFonts w:hint="eastAsia" w:ascii="Times New Roman" w:hAnsi="Times New Roman" w:eastAsia="方正仿宋_GBK" w:cs="方正仿宋_GBK"/>
          <w:color w:val="000000"/>
          <w:sz w:val="32"/>
          <w:szCs w:val="32"/>
          <w:highlight w:val="none"/>
          <w:lang w:val="en-US" w:eastAsia="zh-CN"/>
        </w:rPr>
        <w:t>3家</w:t>
      </w:r>
      <w:r>
        <w:rPr>
          <w:rFonts w:hint="eastAsia" w:ascii="Times New Roman" w:hAnsi="Times New Roman" w:eastAsia="方正仿宋_GBK" w:cs="方正仿宋_GBK"/>
          <w:color w:val="000000"/>
          <w:sz w:val="32"/>
          <w:szCs w:val="32"/>
          <w:highlight w:val="none"/>
        </w:rPr>
        <w:t>，规模以下工业企业</w:t>
      </w:r>
      <w:r>
        <w:rPr>
          <w:rFonts w:hint="eastAsia" w:ascii="Times New Roman" w:hAnsi="Times New Roman" w:eastAsia="方正仿宋_GBK" w:cs="方正仿宋_GBK"/>
          <w:color w:val="000000"/>
          <w:sz w:val="32"/>
          <w:szCs w:val="32"/>
          <w:highlight w:val="none"/>
          <w:lang w:val="en-US" w:eastAsia="zh-CN"/>
        </w:rPr>
        <w:t>13</w:t>
      </w:r>
      <w:r>
        <w:rPr>
          <w:rFonts w:hint="eastAsia" w:ascii="Times New Roman" w:hAnsi="Times New Roman" w:eastAsia="方正仿宋_GBK" w:cs="方正仿宋_GBK"/>
          <w:color w:val="000000"/>
          <w:sz w:val="32"/>
          <w:szCs w:val="32"/>
          <w:highlight w:val="none"/>
        </w:rPr>
        <w:t>个</w:t>
      </w:r>
      <w:r>
        <w:rPr>
          <w:rFonts w:hint="eastAsia" w:ascii="Times New Roman" w:hAnsi="Times New Roman" w:eastAsia="方正仿宋_GBK" w:cs="方正仿宋_GBK"/>
          <w:color w:val="000000"/>
          <w:sz w:val="32"/>
          <w:szCs w:val="32"/>
          <w:highlight w:val="none"/>
          <w:lang w:eastAsia="zh-CN"/>
        </w:rPr>
        <w:t>，榨菜厂</w:t>
      </w:r>
      <w:r>
        <w:rPr>
          <w:rFonts w:hint="eastAsia" w:ascii="Times New Roman" w:hAnsi="Times New Roman" w:eastAsia="方正仿宋_GBK" w:cs="方正仿宋_GBK"/>
          <w:color w:val="000000"/>
          <w:sz w:val="32"/>
          <w:szCs w:val="32"/>
          <w:highlight w:val="none"/>
          <w:lang w:val="en-US" w:eastAsia="zh-CN"/>
        </w:rPr>
        <w:t>3家，</w:t>
      </w:r>
      <w:r>
        <w:rPr>
          <w:rFonts w:hint="eastAsia" w:ascii="Times New Roman" w:hAnsi="Times New Roman" w:eastAsia="方正仿宋_GBK" w:cs="方正仿宋_GBK"/>
          <w:kern w:val="2"/>
          <w:sz w:val="32"/>
          <w:szCs w:val="32"/>
          <w:lang w:eastAsia="zh-CN"/>
        </w:rPr>
        <w:t>商业零售企业</w:t>
      </w:r>
      <w:r>
        <w:rPr>
          <w:rFonts w:hint="eastAsia" w:ascii="Times New Roman" w:hAnsi="Times New Roman" w:eastAsia="方正仿宋_GBK" w:cs="方正仿宋_GBK"/>
          <w:kern w:val="2"/>
          <w:sz w:val="32"/>
          <w:szCs w:val="32"/>
          <w:lang w:val="en-US" w:eastAsia="zh-CN"/>
        </w:rPr>
        <w:t>3家，安装电梯楼房4栋</w:t>
      </w:r>
      <w:r>
        <w:rPr>
          <w:rFonts w:hint="eastAsia" w:ascii="Times New Roman" w:hAnsi="Times New Roman" w:eastAsia="方正仿宋_GBK" w:cs="方正仿宋_GBK"/>
          <w:color w:val="000000"/>
          <w:sz w:val="32"/>
          <w:szCs w:val="32"/>
          <w:highlight w:val="none"/>
          <w:lang w:val="en-US" w:eastAsia="zh-CN"/>
        </w:rPr>
        <w:t>。</w:t>
      </w:r>
    </w:p>
    <w:p w14:paraId="47A12DF1">
      <w:pPr>
        <w:keepNext w:val="0"/>
        <w:keepLines w:val="0"/>
        <w:pageBreakBefore w:val="0"/>
        <w:numPr>
          <w:ilvl w:val="0"/>
          <w:numId w:val="0"/>
        </w:numPr>
        <w:kinsoku/>
        <w:wordWrap/>
        <w:overflowPunct/>
        <w:topLinePunct w:val="0"/>
        <w:bidi w:val="0"/>
        <w:spacing w:line="596" w:lineRule="exact"/>
        <w:textAlignment w:val="auto"/>
        <w:rPr>
          <w:rFonts w:hint="eastAsia" w:ascii="Times New Roman" w:hAnsi="Times New Roman" w:eastAsia="方正黑体_GBK" w:cs="Times New Roman"/>
          <w:color w:val="000000"/>
          <w:sz w:val="32"/>
          <w:szCs w:val="24"/>
          <w:lang w:val="en-US" w:eastAsia="zh-CN"/>
        </w:rPr>
      </w:pPr>
      <w:r>
        <w:rPr>
          <w:rFonts w:hint="eastAsia" w:ascii="Times New Roman" w:hAnsi="Times New Roman" w:eastAsia="方正黑体_GBK" w:cs="Times New Roman"/>
          <w:color w:val="000000"/>
          <w:sz w:val="32"/>
          <w:szCs w:val="24"/>
          <w:lang w:val="en-US" w:eastAsia="zh-CN"/>
        </w:rPr>
        <w:t xml:space="preserve">    二、行政执法人员数量和执法工作日确定</w:t>
      </w:r>
    </w:p>
    <w:p w14:paraId="03295EF3">
      <w:pPr>
        <w:keepNext w:val="0"/>
        <w:keepLines w:val="0"/>
        <w:pageBreakBefore w:val="0"/>
        <w:widowControl/>
        <w:kinsoku/>
        <w:wordWrap/>
        <w:overflowPunct/>
        <w:topLinePunct w:val="0"/>
        <w:bidi w:val="0"/>
        <w:spacing w:before="0" w:beforeAutospacing="0" w:after="0" w:afterAutospacing="0" w:line="596" w:lineRule="exact"/>
        <w:ind w:left="0" w:right="0"/>
        <w:jc w:val="left"/>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楷体_GBK" w:cs="方正楷体_GBK"/>
          <w:color w:val="000000"/>
          <w:kern w:val="2"/>
          <w:sz w:val="32"/>
          <w:szCs w:val="32"/>
          <w:lang w:val="en-US" w:eastAsia="zh-CN" w:bidi="ar-SA"/>
        </w:rPr>
        <w:t xml:space="preserve">    （一）行政执法人员数量。</w:t>
      </w:r>
      <w:r>
        <w:rPr>
          <w:rFonts w:hint="eastAsia" w:ascii="Times New Roman" w:hAnsi="Times New Roman" w:eastAsia="方正仿宋_GBK" w:cs="方正仿宋_GBK"/>
          <w:color w:val="000000"/>
          <w:kern w:val="2"/>
          <w:sz w:val="32"/>
          <w:szCs w:val="32"/>
          <w:lang w:val="en-US" w:eastAsia="zh-CN" w:bidi="ar-SA"/>
        </w:rPr>
        <w:t>沙坪镇经济发展办公室现有有工作人员7名，实际行政监管人员3人。</w:t>
      </w:r>
    </w:p>
    <w:p w14:paraId="64F3F49C">
      <w:pPr>
        <w:keepNext w:val="0"/>
        <w:keepLines w:val="0"/>
        <w:pageBreakBefore w:val="0"/>
        <w:numPr>
          <w:ilvl w:val="0"/>
          <w:numId w:val="0"/>
        </w:numPr>
        <w:kinsoku/>
        <w:wordWrap/>
        <w:overflowPunct/>
        <w:topLinePunct w:val="0"/>
        <w:bidi w:val="0"/>
        <w:spacing w:line="596" w:lineRule="exact"/>
        <w:ind w:firstLine="640" w:firstLineChars="200"/>
        <w:textAlignment w:val="auto"/>
        <w:rPr>
          <w:rFonts w:hint="eastAsia" w:ascii="Times New Roman" w:hAnsi="Times New Roman" w:eastAsia="方正楷体_GBK" w:cs="方正楷体_GBK"/>
          <w:color w:val="000000"/>
          <w:kern w:val="2"/>
          <w:sz w:val="32"/>
          <w:szCs w:val="32"/>
          <w:lang w:val="en-US" w:eastAsia="zh-CN" w:bidi="ar-SA"/>
        </w:rPr>
      </w:pPr>
      <w:r>
        <w:rPr>
          <w:rFonts w:hint="eastAsia" w:ascii="Times New Roman" w:hAnsi="Times New Roman" w:eastAsia="方正楷体_GBK" w:cs="方正楷体_GBK"/>
          <w:color w:val="000000"/>
          <w:kern w:val="2"/>
          <w:sz w:val="32"/>
          <w:szCs w:val="32"/>
          <w:lang w:val="en-US" w:eastAsia="zh-CN" w:bidi="ar-SA"/>
        </w:rPr>
        <w:t>（二）工作日确定</w:t>
      </w:r>
    </w:p>
    <w:p w14:paraId="68C17E25">
      <w:pPr>
        <w:keepNext w:val="0"/>
        <w:keepLines w:val="0"/>
        <w:pageBreakBefore w:val="0"/>
        <w:numPr>
          <w:ilvl w:val="0"/>
          <w:numId w:val="0"/>
        </w:numPr>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1.总法定工作日=248天×3人=744天</w:t>
      </w:r>
    </w:p>
    <w:p w14:paraId="5C9528FB">
      <w:pPr>
        <w:keepNext w:val="0"/>
        <w:keepLines w:val="0"/>
        <w:pageBreakBefore w:val="0"/>
        <w:numPr>
          <w:ilvl w:val="0"/>
          <w:numId w:val="0"/>
        </w:numPr>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2.监督检查工作日=744天-154 天-294天=296天</w:t>
      </w:r>
    </w:p>
    <w:p w14:paraId="2F0B11BA">
      <w:pPr>
        <w:keepNext w:val="0"/>
        <w:keepLines w:val="0"/>
        <w:pageBreakBefore w:val="0"/>
        <w:numPr>
          <w:ilvl w:val="0"/>
          <w:numId w:val="0"/>
        </w:numPr>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3.其它执法工作日：估测约为154天。包括生产安全事故调查处理、安全生产举报查处、参加有关部门联合执法及国家应急部、市局、县局组织的重点时间段安全督查、重点节假日、汛期、两会期间等安全检查、参加其他部门联合执法检查、完成领导或上级部门交办的工作任务等事项。</w:t>
      </w:r>
    </w:p>
    <w:p w14:paraId="4F0CFB4B">
      <w:pPr>
        <w:keepNext w:val="0"/>
        <w:keepLines w:val="0"/>
        <w:pageBreakBefore w:val="0"/>
        <w:numPr>
          <w:ilvl w:val="0"/>
          <w:numId w:val="0"/>
        </w:numPr>
        <w:kinsoku/>
        <w:wordWrap/>
        <w:overflowPunct/>
        <w:topLinePunct w:val="0"/>
        <w:bidi w:val="0"/>
        <w:spacing w:line="596" w:lineRule="exact"/>
        <w:ind w:firstLine="640" w:firstLineChars="200"/>
        <w:textAlignment w:val="auto"/>
        <w:rPr>
          <w:rFonts w:ascii="Times New Roman" w:hAnsi="Times New Roman" w:eastAsia="方正仿宋_GBK" w:cs="黑体"/>
          <w:sz w:val="32"/>
          <w:szCs w:val="24"/>
        </w:rPr>
      </w:pPr>
      <w:r>
        <w:rPr>
          <w:rFonts w:hint="eastAsia" w:ascii="Times New Roman" w:hAnsi="Times New Roman" w:eastAsia="方正仿宋_GBK" w:cs="方正仿宋_GBK"/>
          <w:color w:val="000000"/>
          <w:kern w:val="2"/>
          <w:sz w:val="32"/>
          <w:szCs w:val="32"/>
          <w:lang w:val="en-US" w:eastAsia="zh-CN" w:bidi="ar-SA"/>
        </w:rPr>
        <w:t>4.非执法工作日：估测约为294天 。包括业务学习培训考核及工作会议、检查指导村（社区）工作、参加党群活动、病事假和法定年休假等事项。</w:t>
      </w:r>
    </w:p>
    <w:p w14:paraId="3A8F725B">
      <w:pPr>
        <w:keepNext w:val="0"/>
        <w:keepLines w:val="0"/>
        <w:pageBreakBefore w:val="0"/>
        <w:widowControl w:val="0"/>
        <w:kinsoku/>
        <w:wordWrap/>
        <w:overflowPunct/>
        <w:topLinePunct w:val="0"/>
        <w:autoSpaceDE w:val="0"/>
        <w:autoSpaceDN w:val="0"/>
        <w:bidi w:val="0"/>
        <w:adjustRightInd w:val="0"/>
        <w:spacing w:line="596" w:lineRule="exact"/>
        <w:textAlignment w:val="auto"/>
        <w:rPr>
          <w:rFonts w:hint="eastAsia" w:ascii="Times New Roman" w:hAnsi="Times New Roman" w:eastAsia="方正黑体_GBK" w:cs="黑体"/>
          <w:color w:val="000000"/>
          <w:kern w:val="2"/>
          <w:sz w:val="32"/>
          <w:szCs w:val="32"/>
          <w:lang w:val="en-US" w:eastAsia="zh-CN" w:bidi="ar-SA"/>
        </w:rPr>
      </w:pPr>
      <w:r>
        <w:rPr>
          <w:rFonts w:hint="eastAsia" w:ascii="Times New Roman" w:hAnsi="Times New Roman" w:eastAsia="仿宋_GB2312" w:cs="仿宋_GB2312"/>
          <w:color w:val="000000"/>
          <w:sz w:val="24"/>
          <w:szCs w:val="24"/>
          <w:lang w:val="en-US" w:eastAsia="zh-CN" w:bidi="ar-SA"/>
        </w:rPr>
        <w:t xml:space="preserve">     </w:t>
      </w:r>
      <w:r>
        <w:rPr>
          <w:rFonts w:hint="eastAsia" w:ascii="Times New Roman" w:hAnsi="Times New Roman" w:eastAsia="方正黑体_GBK" w:cs="黑体"/>
          <w:color w:val="000000"/>
          <w:kern w:val="2"/>
          <w:sz w:val="32"/>
          <w:szCs w:val="32"/>
          <w:lang w:val="en-US" w:eastAsia="zh-CN" w:bidi="ar-SA"/>
        </w:rPr>
        <w:t>三、监督检查对象分类</w:t>
      </w:r>
    </w:p>
    <w:p w14:paraId="4C4DEB53">
      <w:pPr>
        <w:keepNext w:val="0"/>
        <w:keepLines w:val="0"/>
        <w:pageBreakBefore w:val="0"/>
        <w:widowControl w:val="0"/>
        <w:numPr>
          <w:ilvl w:val="0"/>
          <w:numId w:val="0"/>
        </w:numPr>
        <w:kinsoku/>
        <w:wordWrap/>
        <w:overflowPunct/>
        <w:topLinePunct w:val="0"/>
        <w:autoSpaceDE w:val="0"/>
        <w:autoSpaceDN w:val="0"/>
        <w:bidi w:val="0"/>
        <w:adjustRightInd w:val="0"/>
        <w:spacing w:line="596" w:lineRule="exact"/>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 xml:space="preserve">    （一）重点检查生产经营单位7家，分别为：</w:t>
      </w:r>
    </w:p>
    <w:p w14:paraId="0394F3A9">
      <w:pPr>
        <w:keepNext w:val="0"/>
        <w:keepLines w:val="0"/>
        <w:pageBreakBefore w:val="0"/>
        <w:widowControl w:val="0"/>
        <w:numPr>
          <w:ilvl w:val="0"/>
          <w:numId w:val="0"/>
        </w:numPr>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规模以上工业企业2家：垫江县豪文文体用品有限公司、重庆海贝机械有限公司；</w:t>
      </w:r>
    </w:p>
    <w:p w14:paraId="15CB29C3">
      <w:pPr>
        <w:keepNext w:val="0"/>
        <w:keepLines w:val="0"/>
        <w:pageBreakBefore w:val="0"/>
        <w:widowControl w:val="0"/>
        <w:numPr>
          <w:ilvl w:val="0"/>
          <w:numId w:val="0"/>
        </w:numPr>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规模以下工业企业2个：垫江县龙坪建材有限公司、重庆安博奇门业有限公司，检查频次为每两月一次。</w:t>
      </w:r>
    </w:p>
    <w:p w14:paraId="6DB5A989">
      <w:pPr>
        <w:keepNext w:val="0"/>
        <w:keepLines w:val="0"/>
        <w:pageBreakBefore w:val="0"/>
        <w:widowControl w:val="0"/>
        <w:numPr>
          <w:ilvl w:val="0"/>
          <w:numId w:val="0"/>
        </w:numPr>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榨菜厂：垫江县吉胜榨菜种植专业合作社、垫江县沙坪镇双塘榨菜厂、垫江县成云榨菜种植专业合作社每星期一次。</w:t>
      </w:r>
    </w:p>
    <w:p w14:paraId="2B0D02CB">
      <w:pPr>
        <w:keepNext w:val="0"/>
        <w:keepLines w:val="0"/>
        <w:pageBreakBefore w:val="0"/>
        <w:numPr>
          <w:ilvl w:val="0"/>
          <w:numId w:val="2"/>
        </w:numPr>
        <w:kinsoku/>
        <w:wordWrap/>
        <w:overflowPunct/>
        <w:topLinePunct w:val="0"/>
        <w:bidi w:val="0"/>
        <w:spacing w:line="596" w:lineRule="exact"/>
        <w:ind w:left="0" w:leftChars="0" w:firstLine="615" w:firstLineChars="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一般检查生产经营单位</w:t>
      </w:r>
      <w:r>
        <w:rPr>
          <w:rFonts w:hint="eastAsia" w:ascii="Times New Roman" w:hAnsi="Times New Roman" w:eastAsia="方正仿宋_GBK" w:cs="方正仿宋_GBK"/>
          <w:kern w:val="2"/>
          <w:sz w:val="32"/>
          <w:szCs w:val="32"/>
          <w:lang w:val="en-US" w:eastAsia="zh-CN"/>
        </w:rPr>
        <w:t>23</w:t>
      </w:r>
      <w:r>
        <w:rPr>
          <w:rFonts w:hint="eastAsia" w:ascii="Times New Roman" w:hAnsi="Times New Roman" w:eastAsia="方正仿宋_GBK" w:cs="方正仿宋_GBK"/>
          <w:kern w:val="2"/>
          <w:sz w:val="32"/>
          <w:szCs w:val="32"/>
        </w:rPr>
        <w:t>家，分别为</w:t>
      </w:r>
      <w:r>
        <w:rPr>
          <w:rFonts w:hint="eastAsia" w:ascii="Times New Roman" w:hAnsi="Times New Roman" w:eastAsia="方正仿宋_GBK" w:cs="方正仿宋_GBK"/>
          <w:kern w:val="2"/>
          <w:sz w:val="32"/>
          <w:szCs w:val="32"/>
          <w:lang w:val="en-US" w:eastAsia="zh-CN"/>
        </w:rPr>
        <w:t>:</w:t>
      </w:r>
    </w:p>
    <w:p w14:paraId="35E29F71">
      <w:pPr>
        <w:keepNext w:val="0"/>
        <w:keepLines w:val="0"/>
        <w:pageBreakBefore w:val="0"/>
        <w:widowControl w:val="0"/>
        <w:numPr>
          <w:ilvl w:val="0"/>
          <w:numId w:val="0"/>
        </w:numPr>
        <w:kinsoku/>
        <w:wordWrap/>
        <w:overflowPunct/>
        <w:topLinePunct w:val="0"/>
        <w:bidi w:val="0"/>
        <w:adjustRightInd/>
        <w:snapToGrid/>
        <w:spacing w:line="596" w:lineRule="exact"/>
        <w:ind w:left="0" w:leftChars="0" w:firstLine="640" w:firstLineChars="200"/>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危险化学品经营企业（点）</w:t>
      </w:r>
      <w:r>
        <w:rPr>
          <w:rFonts w:hint="eastAsia" w:ascii="Times New Roman" w:hAnsi="Times New Roman" w:eastAsia="方正仿宋_GBK" w:cs="方正仿宋_GBK"/>
          <w:kern w:val="2"/>
          <w:sz w:val="32"/>
          <w:szCs w:val="32"/>
          <w:lang w:val="en-US" w:eastAsia="zh-CN"/>
        </w:rPr>
        <w:t>4家</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沙坪加油站</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沙坪天然气配气站、武安天然气配气站、沙坪变电站；</w:t>
      </w:r>
    </w:p>
    <w:p w14:paraId="0225BAA7">
      <w:pPr>
        <w:keepNext w:val="0"/>
        <w:keepLines w:val="0"/>
        <w:pageBreakBefore w:val="0"/>
        <w:widowControl w:val="0"/>
        <w:numPr>
          <w:ilvl w:val="0"/>
          <w:numId w:val="0"/>
        </w:numPr>
        <w:kinsoku/>
        <w:wordWrap/>
        <w:overflowPunct/>
        <w:topLinePunct w:val="0"/>
        <w:bidi w:val="0"/>
        <w:adjustRightInd/>
        <w:snapToGrid/>
        <w:spacing w:line="596" w:lineRule="exact"/>
        <w:ind w:left="0" w:leftChars="0" w:firstLine="640" w:firstLineChars="200"/>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规模以上工业企业</w:t>
      </w:r>
      <w:r>
        <w:rPr>
          <w:rFonts w:hint="eastAsia" w:ascii="Times New Roman" w:hAnsi="Times New Roman" w:eastAsia="方正仿宋_GBK" w:cs="方正仿宋_GBK"/>
          <w:kern w:val="2"/>
          <w:sz w:val="32"/>
          <w:szCs w:val="32"/>
          <w:lang w:val="en-US" w:eastAsia="zh-CN"/>
        </w:rPr>
        <w:t>1家</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重庆市卓雅洗煤有限公司；</w:t>
      </w:r>
    </w:p>
    <w:p w14:paraId="073C14C6">
      <w:pPr>
        <w:keepNext w:val="0"/>
        <w:keepLines w:val="0"/>
        <w:pageBreakBefore w:val="0"/>
        <w:widowControl w:val="0"/>
        <w:numPr>
          <w:ilvl w:val="0"/>
          <w:numId w:val="0"/>
        </w:numPr>
        <w:kinsoku/>
        <w:wordWrap/>
        <w:overflowPunct/>
        <w:topLinePunct w:val="0"/>
        <w:bidi w:val="0"/>
        <w:adjustRightInd/>
        <w:snapToGrid/>
        <w:spacing w:line="596" w:lineRule="exact"/>
        <w:ind w:left="0" w:leftChars="0" w:firstLine="640" w:firstLineChars="200"/>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规模以下工业企业</w:t>
      </w:r>
      <w:r>
        <w:rPr>
          <w:rFonts w:hint="eastAsia" w:ascii="Times New Roman" w:hAnsi="Times New Roman" w:eastAsia="方正仿宋_GBK" w:cs="方正仿宋_GBK"/>
          <w:kern w:val="2"/>
          <w:sz w:val="32"/>
          <w:szCs w:val="32"/>
          <w:highlight w:val="none"/>
          <w:lang w:val="en-US" w:eastAsia="zh-CN"/>
        </w:rPr>
        <w:t>10</w:t>
      </w:r>
      <w:r>
        <w:rPr>
          <w:rFonts w:hint="eastAsia" w:ascii="Times New Roman" w:hAnsi="Times New Roman" w:eastAsia="方正仿宋_GBK" w:cs="方正仿宋_GBK"/>
          <w:kern w:val="2"/>
          <w:sz w:val="32"/>
          <w:szCs w:val="32"/>
        </w:rPr>
        <w:t>个</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lang w:val="en-US" w:eastAsia="zh-CN"/>
        </w:rPr>
        <w:t>重庆荣春伞业有限公司、精霸伞厂、垫江县豪胜石业有限公司、重庆市四季泉饮料有限公司、重庆东印茶叶公司、重庆市华勇伞厂、垫江县峻玮玩具厂、垫江县欧轩家具厂、垫江县强伟家具厂、欣秀电器经营部（液化气），垫江县沙坪人和页岩砖厂（未生产）；</w:t>
      </w:r>
    </w:p>
    <w:p w14:paraId="19E9F177">
      <w:pPr>
        <w:keepNext w:val="0"/>
        <w:keepLines w:val="0"/>
        <w:pageBreakBefore w:val="0"/>
        <w:widowControl w:val="0"/>
        <w:numPr>
          <w:ilvl w:val="0"/>
          <w:numId w:val="0"/>
        </w:numPr>
        <w:kinsoku/>
        <w:wordWrap/>
        <w:overflowPunct/>
        <w:topLinePunct w:val="0"/>
        <w:bidi w:val="0"/>
        <w:adjustRightInd/>
        <w:snapToGrid/>
        <w:spacing w:line="596" w:lineRule="exact"/>
        <w:ind w:left="0" w:leftChars="0" w:firstLine="640" w:firstLineChars="200"/>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商业零售企业</w:t>
      </w:r>
      <w:r>
        <w:rPr>
          <w:rFonts w:hint="eastAsia" w:ascii="Times New Roman" w:hAnsi="Times New Roman" w:eastAsia="方正仿宋_GBK" w:cs="方正仿宋_GBK"/>
          <w:kern w:val="2"/>
          <w:sz w:val="32"/>
          <w:szCs w:val="32"/>
          <w:lang w:val="en-US" w:eastAsia="zh-CN"/>
        </w:rPr>
        <w:t>3户：沙坪永汇生活超市、垫江县金鑫副食百货购物中心、垫江县天天福超市</w:t>
      </w:r>
      <w:r>
        <w:rPr>
          <w:rFonts w:hint="eastAsia" w:ascii="Times New Roman" w:hAnsi="Times New Roman" w:eastAsia="方正仿宋_GBK" w:cs="方正仿宋_GBK"/>
          <w:kern w:val="2"/>
          <w:sz w:val="32"/>
          <w:szCs w:val="32"/>
          <w:lang w:eastAsia="zh-CN"/>
        </w:rPr>
        <w:t>；</w:t>
      </w:r>
    </w:p>
    <w:p w14:paraId="27942EAB">
      <w:pPr>
        <w:keepNext w:val="0"/>
        <w:keepLines w:val="0"/>
        <w:pageBreakBefore w:val="0"/>
        <w:widowControl w:val="0"/>
        <w:numPr>
          <w:ilvl w:val="0"/>
          <w:numId w:val="0"/>
        </w:numPr>
        <w:kinsoku/>
        <w:wordWrap/>
        <w:overflowPunct/>
        <w:topLinePunct w:val="0"/>
        <w:bidi w:val="0"/>
        <w:adjustRightInd/>
        <w:snapToGrid/>
        <w:spacing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color w:val="000000"/>
          <w:kern w:val="2"/>
          <w:sz w:val="32"/>
          <w:szCs w:val="32"/>
          <w:lang w:val="en-US" w:eastAsia="zh-CN"/>
        </w:rPr>
        <w:t>安装电梯楼房4栋：垫江县青水鱼庄、沙坪卫生院、粮站小区、学府新城</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检查频次为每季度一次。</w:t>
      </w:r>
    </w:p>
    <w:p w14:paraId="13003B00">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黑体_GBK" w:cs="黑体"/>
          <w:color w:val="000000"/>
          <w:sz w:val="32"/>
          <w:szCs w:val="32"/>
        </w:rPr>
      </w:pPr>
      <w:r>
        <w:rPr>
          <w:rFonts w:hint="eastAsia" w:ascii="Times New Roman" w:hAnsi="Times New Roman" w:eastAsia="方正黑体_GBK" w:cs="黑体"/>
          <w:color w:val="000000"/>
          <w:sz w:val="32"/>
          <w:szCs w:val="32"/>
          <w:lang w:val="en-US" w:eastAsia="zh-CN"/>
        </w:rPr>
        <w:t>四</w:t>
      </w:r>
      <w:r>
        <w:rPr>
          <w:rFonts w:hint="eastAsia" w:ascii="Times New Roman" w:hAnsi="Times New Roman" w:eastAsia="方正黑体_GBK" w:cs="黑体"/>
          <w:color w:val="000000"/>
          <w:sz w:val="32"/>
          <w:szCs w:val="32"/>
        </w:rPr>
        <w:t>、工作要求</w:t>
      </w:r>
    </w:p>
    <w:p w14:paraId="107D9733">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（一）细化月度执法计划。</w:t>
      </w:r>
      <w:r>
        <w:rPr>
          <w:rFonts w:hint="eastAsia" w:ascii="Times New Roman" w:hAnsi="Times New Roman" w:eastAsia="方正仿宋_GBK" w:cs="方正仿宋_GBK"/>
          <w:color w:val="000000"/>
          <w:sz w:val="32"/>
          <w:szCs w:val="32"/>
        </w:rPr>
        <w:t>按照年度监管执法计划，制定下达月度监管执法具体计划，原则上在上一个月底前完成;按照月度检查计划，每次检查前编制《</w:t>
      </w:r>
      <w:r>
        <w:rPr>
          <w:rFonts w:hint="eastAsia" w:ascii="Times New Roman" w:hAnsi="Times New Roman" w:eastAsia="方正仿宋_GBK" w:cs="方正仿宋_GBK"/>
          <w:color w:val="000000"/>
          <w:sz w:val="32"/>
          <w:szCs w:val="32"/>
          <w:lang w:val="en-US" w:eastAsia="zh-CN"/>
        </w:rPr>
        <w:t>现场执法计划</w:t>
      </w:r>
      <w:r>
        <w:rPr>
          <w:rFonts w:hint="eastAsia" w:ascii="Times New Roman" w:hAnsi="Times New Roman" w:eastAsia="方正仿宋_GBK" w:cs="方正仿宋_GBK"/>
          <w:color w:val="000000"/>
          <w:sz w:val="32"/>
          <w:szCs w:val="32"/>
        </w:rPr>
        <w:t>》，报经分管领导审批后实施。</w:t>
      </w:r>
    </w:p>
    <w:p w14:paraId="67B3E984">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（二）提高文书制作质量。</w:t>
      </w:r>
      <w:r>
        <w:rPr>
          <w:rFonts w:hint="eastAsia" w:ascii="Times New Roman" w:hAnsi="Times New Roman" w:eastAsia="方正仿宋_GBK" w:cs="方正仿宋_GBK"/>
          <w:color w:val="000000"/>
          <w:sz w:val="32"/>
          <w:szCs w:val="32"/>
        </w:rPr>
        <w:t>正确使用安全生产行政执法文书，严格按照方案开展执法检查。</w:t>
      </w:r>
    </w:p>
    <w:p w14:paraId="7BC96E89">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（三）加强监管执法力度。</w:t>
      </w:r>
      <w:r>
        <w:rPr>
          <w:rFonts w:hint="eastAsia" w:ascii="Times New Roman" w:hAnsi="Times New Roman" w:eastAsia="方正仿宋_GBK" w:cs="方正仿宋_GBK"/>
          <w:color w:val="000000"/>
          <w:sz w:val="32"/>
          <w:szCs w:val="32"/>
        </w:rPr>
        <w:t>监管执法过程中发现的问题和隐患应当责任生产经营单位立即整改或限期整改，对依法可当场处罚的，应当当场处罚，对需移送县级主管部门立案查处的，必需移送上级行政主管部门立案查处</w:t>
      </w:r>
    </w:p>
    <w:p w14:paraId="149A8B4D">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（四）及时履行变更手续。</w:t>
      </w:r>
      <w:r>
        <w:rPr>
          <w:rFonts w:hint="eastAsia" w:ascii="Times New Roman" w:hAnsi="Times New Roman" w:eastAsia="方正仿宋_GBK" w:cs="方正仿宋_GBK"/>
          <w:color w:val="000000"/>
          <w:sz w:val="32"/>
          <w:szCs w:val="32"/>
        </w:rPr>
        <w:t>年度执法计划若因工作需要作重大调整的，应及时将调整情况报镇政府备案。月度执法计划确需作出调整的，应及时编制调整方案报分管局领导签字同意。</w:t>
      </w:r>
    </w:p>
    <w:p w14:paraId="3B88396B">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rPr>
        <w:t>（五）严格廉政执法纪律。</w:t>
      </w:r>
      <w:r>
        <w:rPr>
          <w:rFonts w:hint="eastAsia" w:ascii="Times New Roman" w:hAnsi="Times New Roman" w:eastAsia="方正仿宋_GBK" w:cs="方正仿宋_GBK"/>
          <w:color w:val="000000"/>
          <w:sz w:val="32"/>
          <w:szCs w:val="32"/>
        </w:rPr>
        <w:t>执法检查人员在实施监管执法工作时，必须严格</w:t>
      </w:r>
      <w:r>
        <w:rPr>
          <w:rFonts w:hint="eastAsia" w:ascii="Times New Roman" w:hAnsi="Times New Roman" w:eastAsia="方正仿宋_GBK" w:cs="方正仿宋_GBK"/>
          <w:color w:val="000000"/>
          <w:sz w:val="32"/>
          <w:szCs w:val="32"/>
          <w:lang w:eastAsia="zh-CN"/>
        </w:rPr>
        <w:t>落实</w:t>
      </w:r>
      <w:bookmarkStart w:id="1" w:name="_GoBack"/>
      <w:bookmarkEnd w:id="1"/>
      <w:r>
        <w:rPr>
          <w:rFonts w:hint="eastAsia" w:ascii="Times New Roman" w:hAnsi="Times New Roman" w:eastAsia="方正仿宋_GBK" w:cs="方正仿宋_GBK"/>
          <w:color w:val="000000"/>
          <w:sz w:val="32"/>
          <w:szCs w:val="32"/>
        </w:rPr>
        <w:t>中央八项规定精神，廉洁自律，秉公执法。</w:t>
      </w:r>
    </w:p>
    <w:p w14:paraId="3E99ADA5">
      <w:pPr>
        <w:keepNext w:val="0"/>
        <w:keepLines w:val="0"/>
        <w:pageBreakBefore w:val="0"/>
        <w:kinsoku/>
        <w:wordWrap/>
        <w:overflowPunct/>
        <w:topLinePunct w:val="0"/>
        <w:autoSpaceDE w:val="0"/>
        <w:autoSpaceDN w:val="0"/>
        <w:bidi w:val="0"/>
        <w:snapToGrid w:val="0"/>
        <w:spacing w:line="596" w:lineRule="exact"/>
        <w:jc w:val="left"/>
        <w:textAlignment w:val="auto"/>
        <w:rPr>
          <w:rFonts w:hint="eastAsia" w:ascii="Times New Roman" w:hAnsi="Times New Roman" w:eastAsia="方正仿宋_GBK" w:cs="黑体"/>
          <w:sz w:val="32"/>
          <w:szCs w:val="24"/>
          <w:lang w:val="en-US" w:eastAsia="zh-CN"/>
        </w:rPr>
      </w:pPr>
    </w:p>
    <w:p w14:paraId="34D8A973">
      <w:pPr>
        <w:keepNext w:val="0"/>
        <w:keepLines w:val="0"/>
        <w:pageBreakBefore w:val="0"/>
        <w:widowControl w:val="0"/>
        <w:kinsoku/>
        <w:wordWrap/>
        <w:overflowPunct/>
        <w:topLinePunct w:val="0"/>
        <w:autoSpaceDE w:val="0"/>
        <w:autoSpaceDN w:val="0"/>
        <w:bidi w:val="0"/>
        <w:adjustRightInd w:val="0"/>
        <w:spacing w:line="596" w:lineRule="exact"/>
        <w:textAlignment w:val="auto"/>
        <w:rPr>
          <w:rFonts w:hint="eastAsia" w:ascii="Times New Roman" w:hAnsi="Times New Roman" w:eastAsia="仿宋_GB2312" w:cs="仿宋_GB2312"/>
          <w:color w:val="000000"/>
          <w:sz w:val="24"/>
          <w:szCs w:val="24"/>
          <w:lang w:val="en-US" w:eastAsia="zh-CN" w:bidi="ar-SA"/>
        </w:rPr>
      </w:pPr>
    </w:p>
    <w:p w14:paraId="78416891">
      <w:pPr>
        <w:keepNext w:val="0"/>
        <w:keepLines w:val="0"/>
        <w:pageBreakBefore w:val="0"/>
        <w:kinsoku/>
        <w:wordWrap/>
        <w:overflowPunct/>
        <w:topLinePunct w:val="0"/>
        <w:autoSpaceDE w:val="0"/>
        <w:autoSpaceDN w:val="0"/>
        <w:bidi w:val="0"/>
        <w:snapToGrid w:val="0"/>
        <w:spacing w:line="596" w:lineRule="exact"/>
        <w:jc w:val="left"/>
        <w:textAlignment w:val="auto"/>
        <w:rPr>
          <w:rFonts w:hint="eastAsia" w:ascii="Times New Roman" w:hAnsi="Times New Roman" w:eastAsia="仿宋" w:cs="仿宋"/>
          <w:color w:val="000000"/>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附</w:t>
      </w:r>
      <w:r>
        <w:rPr>
          <w:rFonts w:hint="eastAsia" w:ascii="Times New Roman" w:hAnsi="Times New Roman" w:eastAsia="仿宋" w:cs="仿宋"/>
          <w:sz w:val="32"/>
          <w:szCs w:val="32"/>
          <w:lang w:val="en-US" w:eastAsia="zh-CN"/>
        </w:rPr>
        <w:t>表</w:t>
      </w:r>
      <w:r>
        <w:rPr>
          <w:rFonts w:hint="eastAsia" w:ascii="Times New Roman" w:hAnsi="Times New Roman" w:eastAsia="仿宋" w:cs="仿宋"/>
          <w:sz w:val="32"/>
          <w:szCs w:val="32"/>
        </w:rPr>
        <w:t>：1.</w:t>
      </w:r>
      <w:r>
        <w:rPr>
          <w:rFonts w:hint="eastAsia" w:ascii="Times New Roman" w:hAnsi="Times New Roman" w:eastAsia="仿宋" w:cs="仿宋"/>
          <w:color w:val="000000"/>
          <w:sz w:val="32"/>
          <w:szCs w:val="32"/>
        </w:rPr>
        <w:t>202</w:t>
      </w:r>
      <w:r>
        <w:rPr>
          <w:rFonts w:hint="eastAsia" w:ascii="Times New Roman" w:hAnsi="Times New Roman" w:eastAsia="仿宋" w:cs="仿宋"/>
          <w:color w:val="000000"/>
          <w:sz w:val="32"/>
          <w:szCs w:val="32"/>
          <w:lang w:val="en-US" w:eastAsia="zh-CN"/>
        </w:rPr>
        <w:t>5</w:t>
      </w:r>
      <w:r>
        <w:rPr>
          <w:rFonts w:hint="eastAsia" w:ascii="Times New Roman" w:hAnsi="Times New Roman" w:eastAsia="仿宋" w:cs="仿宋"/>
          <w:color w:val="000000"/>
          <w:sz w:val="32"/>
          <w:szCs w:val="32"/>
        </w:rPr>
        <w:t>年重点检查计划表</w:t>
      </w:r>
    </w:p>
    <w:p w14:paraId="63A96998">
      <w:pPr>
        <w:keepNext w:val="0"/>
        <w:keepLines w:val="0"/>
        <w:pageBreakBefore w:val="0"/>
        <w:kinsoku/>
        <w:wordWrap/>
        <w:overflowPunct/>
        <w:topLinePunct w:val="0"/>
        <w:autoSpaceDE w:val="0"/>
        <w:autoSpaceDN w:val="0"/>
        <w:bidi w:val="0"/>
        <w:snapToGrid w:val="0"/>
        <w:spacing w:line="596" w:lineRule="exact"/>
        <w:jc w:val="left"/>
        <w:textAlignment w:val="auto"/>
        <w:rPr>
          <w:rFonts w:hint="eastAsia" w:ascii="Times New Roman" w:hAnsi="Times New Roman" w:eastAsia="仿宋" w:cs="仿宋"/>
          <w:color w:val="000000"/>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2.</w:t>
      </w:r>
      <w:r>
        <w:rPr>
          <w:rFonts w:hint="eastAsia" w:ascii="Times New Roman" w:hAnsi="Times New Roman" w:eastAsia="仿宋" w:cs="仿宋"/>
          <w:color w:val="000000"/>
          <w:sz w:val="32"/>
          <w:szCs w:val="32"/>
        </w:rPr>
        <w:t>202</w:t>
      </w:r>
      <w:r>
        <w:rPr>
          <w:rFonts w:hint="eastAsia" w:ascii="Times New Roman" w:hAnsi="Times New Roman" w:eastAsia="仿宋" w:cs="仿宋"/>
          <w:color w:val="000000"/>
          <w:sz w:val="32"/>
          <w:szCs w:val="32"/>
          <w:lang w:val="en-US" w:eastAsia="zh-CN"/>
        </w:rPr>
        <w:t>5</w:t>
      </w:r>
      <w:r>
        <w:rPr>
          <w:rFonts w:hint="eastAsia" w:ascii="Times New Roman" w:hAnsi="Times New Roman" w:eastAsia="仿宋" w:cs="仿宋"/>
          <w:color w:val="000000"/>
          <w:sz w:val="32"/>
          <w:szCs w:val="32"/>
        </w:rPr>
        <w:t>年一般检查计划表</w:t>
      </w:r>
    </w:p>
    <w:p w14:paraId="68B0C95C">
      <w:pPr>
        <w:keepNext w:val="0"/>
        <w:keepLines w:val="0"/>
        <w:pageBreakBefore w:val="0"/>
        <w:kinsoku/>
        <w:wordWrap/>
        <w:overflowPunct/>
        <w:topLinePunct w:val="0"/>
        <w:autoSpaceDE w:val="0"/>
        <w:autoSpaceDN w:val="0"/>
        <w:bidi w:val="0"/>
        <w:snapToGrid w:val="0"/>
        <w:spacing w:line="596" w:lineRule="exact"/>
        <w:jc w:val="left"/>
        <w:textAlignment w:val="auto"/>
        <w:rPr>
          <w:rFonts w:hint="eastAsia" w:ascii="Times New Roman" w:hAnsi="Times New Roman" w:eastAsia="方正黑体_GBK" w:cs="方正黑体_GBK"/>
          <w:color w:val="000000"/>
          <w:sz w:val="32"/>
          <w:szCs w:val="24"/>
        </w:rPr>
      </w:pPr>
    </w:p>
    <w:p w14:paraId="6D7F6441">
      <w:pPr>
        <w:autoSpaceDE w:val="0"/>
        <w:autoSpaceDN w:val="0"/>
        <w:snapToGrid w:val="0"/>
        <w:jc w:val="left"/>
        <w:rPr>
          <w:rFonts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附表1</w:t>
      </w:r>
    </w:p>
    <w:p w14:paraId="2FFE1298">
      <w:pPr>
        <w:autoSpaceDE w:val="0"/>
        <w:autoSpaceDN w:val="0"/>
        <w:snapToGrid w:val="0"/>
        <w:jc w:val="center"/>
        <w:rPr>
          <w:rFonts w:ascii="Times New Roman" w:hAnsi="Times New Roman" w:eastAsia="方正仿宋_GBK" w:cs="黑体"/>
          <w:sz w:val="32"/>
          <w:szCs w:val="24"/>
        </w:rPr>
      </w:pPr>
      <w:r>
        <w:rPr>
          <w:rFonts w:hint="eastAsia" w:ascii="Times New Roman" w:hAnsi="Times New Roman" w:eastAsia="方正小标宋_GBK" w:cs="方正小标宋_GBK"/>
          <w:color w:val="000000"/>
          <w:sz w:val="44"/>
          <w:szCs w:val="44"/>
        </w:rPr>
        <w:t>20</w:t>
      </w:r>
      <w:r>
        <w:rPr>
          <w:rFonts w:hint="eastAsia" w:ascii="Times New Roman" w:hAnsi="Times New Roman" w:eastAsia="方正小标宋_GBK" w:cs="方正小标宋_GBK"/>
          <w:color w:val="000000"/>
          <w:sz w:val="44"/>
          <w:szCs w:val="44"/>
          <w:lang w:val="en-US" w:eastAsia="zh-CN"/>
        </w:rPr>
        <w:t>25</w:t>
      </w:r>
      <w:r>
        <w:rPr>
          <w:rFonts w:hint="eastAsia" w:ascii="Times New Roman" w:hAnsi="Times New Roman" w:eastAsia="方正小标宋_GBK" w:cs="方正小标宋_GBK"/>
          <w:color w:val="000000"/>
          <w:sz w:val="44"/>
          <w:szCs w:val="44"/>
        </w:rPr>
        <w:t>年重点检查计划表</w:t>
      </w:r>
    </w:p>
    <w:tbl>
      <w:tblPr>
        <w:tblStyle w:val="1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80"/>
        <w:gridCol w:w="7200"/>
        <w:gridCol w:w="735"/>
      </w:tblGrid>
      <w:tr w14:paraId="6CA2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0" w:type="dxa"/>
            <w:vAlign w:val="center"/>
          </w:tcPr>
          <w:p w14:paraId="76A29F8E">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序号</w:t>
            </w:r>
          </w:p>
        </w:tc>
        <w:tc>
          <w:tcPr>
            <w:tcW w:w="1080" w:type="dxa"/>
            <w:vAlign w:val="center"/>
          </w:tcPr>
          <w:p w14:paraId="7165B375">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月份</w:t>
            </w:r>
          </w:p>
        </w:tc>
        <w:tc>
          <w:tcPr>
            <w:tcW w:w="7200" w:type="dxa"/>
            <w:vAlign w:val="center"/>
          </w:tcPr>
          <w:p w14:paraId="34048097">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企业名称</w:t>
            </w:r>
          </w:p>
        </w:tc>
        <w:tc>
          <w:tcPr>
            <w:tcW w:w="735" w:type="dxa"/>
            <w:vAlign w:val="center"/>
          </w:tcPr>
          <w:p w14:paraId="7E8D7631">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家次</w:t>
            </w:r>
          </w:p>
        </w:tc>
      </w:tr>
      <w:tr w14:paraId="2771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6E014F90">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w:t>
            </w:r>
          </w:p>
        </w:tc>
        <w:tc>
          <w:tcPr>
            <w:tcW w:w="1080" w:type="dxa"/>
            <w:vAlign w:val="center"/>
          </w:tcPr>
          <w:p w14:paraId="60C157E5">
            <w:pPr>
              <w:widowControl/>
              <w:jc w:val="left"/>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1-2</w:t>
            </w:r>
            <w:r>
              <w:rPr>
                <w:rFonts w:hint="eastAsia" w:ascii="Times New Roman" w:hAnsi="Times New Roman" w:eastAsia="方正仿宋_GBK" w:cs="方正仿宋_GBK"/>
                <w:color w:val="000000"/>
                <w:sz w:val="24"/>
                <w:szCs w:val="24"/>
              </w:rPr>
              <w:t>月</w:t>
            </w:r>
          </w:p>
        </w:tc>
        <w:tc>
          <w:tcPr>
            <w:tcW w:w="7200" w:type="dxa"/>
            <w:vAlign w:val="center"/>
          </w:tcPr>
          <w:p w14:paraId="624EB6E8">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432C9A59">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r w14:paraId="5C87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16179406">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2</w:t>
            </w:r>
          </w:p>
        </w:tc>
        <w:tc>
          <w:tcPr>
            <w:tcW w:w="1080" w:type="dxa"/>
            <w:vAlign w:val="center"/>
          </w:tcPr>
          <w:p w14:paraId="5B7D7C97">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3-4</w:t>
            </w:r>
            <w:r>
              <w:rPr>
                <w:rFonts w:hint="eastAsia" w:ascii="Times New Roman" w:hAnsi="Times New Roman" w:eastAsia="方正仿宋_GBK" w:cs="方正仿宋_GBK"/>
                <w:color w:val="000000"/>
                <w:sz w:val="24"/>
                <w:szCs w:val="24"/>
              </w:rPr>
              <w:t>月</w:t>
            </w:r>
          </w:p>
        </w:tc>
        <w:tc>
          <w:tcPr>
            <w:tcW w:w="7200" w:type="dxa"/>
            <w:vAlign w:val="center"/>
          </w:tcPr>
          <w:p w14:paraId="582DD018">
            <w:pPr>
              <w:wordWrap/>
              <w:autoSpaceDE w:val="0"/>
              <w:autoSpaceDN w:val="0"/>
              <w:adjustRightInd/>
              <w:snapToGrid w:val="0"/>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7B1BEF0F">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r w14:paraId="7BC9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11479478">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3</w:t>
            </w:r>
          </w:p>
        </w:tc>
        <w:tc>
          <w:tcPr>
            <w:tcW w:w="1080" w:type="dxa"/>
            <w:vAlign w:val="center"/>
          </w:tcPr>
          <w:p w14:paraId="701B335F">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5-6</w:t>
            </w:r>
            <w:r>
              <w:rPr>
                <w:rFonts w:hint="eastAsia" w:ascii="Times New Roman" w:hAnsi="Times New Roman" w:eastAsia="方正仿宋_GBK" w:cs="方正仿宋_GBK"/>
                <w:color w:val="000000"/>
                <w:sz w:val="24"/>
                <w:szCs w:val="24"/>
              </w:rPr>
              <w:t>月</w:t>
            </w:r>
          </w:p>
        </w:tc>
        <w:tc>
          <w:tcPr>
            <w:tcW w:w="7200" w:type="dxa"/>
            <w:vAlign w:val="center"/>
          </w:tcPr>
          <w:p w14:paraId="267D536C">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7AE35C5B">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r w14:paraId="1CF7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3073E0ED">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4</w:t>
            </w:r>
          </w:p>
        </w:tc>
        <w:tc>
          <w:tcPr>
            <w:tcW w:w="1080" w:type="dxa"/>
            <w:vAlign w:val="center"/>
          </w:tcPr>
          <w:p w14:paraId="20E3BECD">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7-8月</w:t>
            </w:r>
          </w:p>
        </w:tc>
        <w:tc>
          <w:tcPr>
            <w:tcW w:w="7200" w:type="dxa"/>
            <w:vAlign w:val="center"/>
          </w:tcPr>
          <w:p w14:paraId="60F7B883">
            <w:pPr>
              <w:wordWrap/>
              <w:autoSpaceDE w:val="0"/>
              <w:autoSpaceDN w:val="0"/>
              <w:adjustRightInd/>
              <w:snapToGrid w:val="0"/>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26472985">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r w14:paraId="011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4E23ADB2">
            <w:pPr>
              <w:autoSpaceDE w:val="0"/>
              <w:autoSpaceDN w:val="0"/>
              <w:snapToGrid w:val="0"/>
              <w:spacing w:line="200" w:lineRule="atLeast"/>
              <w:jc w:val="center"/>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5</w:t>
            </w:r>
          </w:p>
        </w:tc>
        <w:tc>
          <w:tcPr>
            <w:tcW w:w="1080" w:type="dxa"/>
            <w:vAlign w:val="center"/>
          </w:tcPr>
          <w:p w14:paraId="73E08F08">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9-10</w:t>
            </w:r>
            <w:r>
              <w:rPr>
                <w:rFonts w:hint="eastAsia" w:ascii="Times New Roman" w:hAnsi="Times New Roman" w:eastAsia="方正仿宋_GBK" w:cs="方正仿宋_GBK"/>
                <w:color w:val="000000"/>
                <w:sz w:val="24"/>
                <w:szCs w:val="24"/>
              </w:rPr>
              <w:t>月</w:t>
            </w:r>
          </w:p>
        </w:tc>
        <w:tc>
          <w:tcPr>
            <w:tcW w:w="7200" w:type="dxa"/>
            <w:vAlign w:val="center"/>
          </w:tcPr>
          <w:p w14:paraId="701581E2">
            <w:pPr>
              <w:widowControl/>
              <w:wordWrap/>
              <w:adjustRightInd/>
              <w:snapToGrid/>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6B3160BD">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r w14:paraId="1D3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0" w:type="dxa"/>
            <w:vAlign w:val="center"/>
          </w:tcPr>
          <w:p w14:paraId="6A1C749C">
            <w:pPr>
              <w:autoSpaceDE w:val="0"/>
              <w:autoSpaceDN w:val="0"/>
              <w:snapToGrid w:val="0"/>
              <w:spacing w:line="200" w:lineRule="atLeast"/>
              <w:jc w:val="center"/>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6</w:t>
            </w:r>
          </w:p>
        </w:tc>
        <w:tc>
          <w:tcPr>
            <w:tcW w:w="1080" w:type="dxa"/>
            <w:vAlign w:val="center"/>
          </w:tcPr>
          <w:p w14:paraId="2194726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11-12月</w:t>
            </w:r>
          </w:p>
        </w:tc>
        <w:tc>
          <w:tcPr>
            <w:tcW w:w="7200" w:type="dxa"/>
            <w:vAlign w:val="center"/>
          </w:tcPr>
          <w:p w14:paraId="683CEA71">
            <w:pPr>
              <w:wordWrap/>
              <w:autoSpaceDE w:val="0"/>
              <w:autoSpaceDN w:val="0"/>
              <w:adjustRightInd/>
              <w:snapToGrid w:val="0"/>
              <w:spacing w:line="0" w:lineRule="atLeast"/>
              <w:ind w:left="0" w:leftChars="0" w:right="0" w:firstLine="0" w:firstLineChars="0"/>
              <w:jc w:val="left"/>
              <w:textAlignment w:val="auto"/>
              <w:outlineLvl w:val="9"/>
              <w:rPr>
                <w:rFonts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lang w:val="en-US" w:eastAsia="zh-CN"/>
              </w:rPr>
              <w:t>垫江县豪文文体用品有限公司、重庆海贝机械有限公司、垫江县龙坪建材有限公司、重庆安博奇门业有限公司、垫江县吉胜榨菜种植专业合作社、垫江县沙坪镇双塘榨菜厂、垫江县成云榨菜种植专业合作社</w:t>
            </w:r>
          </w:p>
        </w:tc>
        <w:tc>
          <w:tcPr>
            <w:tcW w:w="735" w:type="dxa"/>
            <w:vAlign w:val="center"/>
          </w:tcPr>
          <w:p w14:paraId="6FECA3D2">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24"/>
                <w:szCs w:val="24"/>
                <w:lang w:val="en-US" w:eastAsia="zh-CN"/>
              </w:rPr>
            </w:pPr>
            <w:r>
              <w:rPr>
                <w:rFonts w:hint="eastAsia" w:ascii="Times New Roman" w:hAnsi="Times New Roman" w:eastAsia="方正仿宋_GBK" w:cs="方正仿宋_GBK"/>
                <w:kern w:val="2"/>
                <w:sz w:val="24"/>
                <w:szCs w:val="24"/>
                <w:lang w:val="en-US" w:eastAsia="zh-CN"/>
              </w:rPr>
              <w:t xml:space="preserve"> 7</w:t>
            </w:r>
          </w:p>
        </w:tc>
      </w:tr>
    </w:tbl>
    <w:p w14:paraId="1E7F3E3E">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30"/>
          <w:szCs w:val="30"/>
          <w:lang w:val="en-US" w:eastAsia="zh-CN"/>
        </w:rPr>
      </w:pPr>
      <w:r>
        <w:rPr>
          <w:rFonts w:hint="eastAsia" w:ascii="Times New Roman" w:hAnsi="Times New Roman" w:eastAsia="方正仿宋_GBK" w:cs="方正仿宋_GBK"/>
          <w:kern w:val="2"/>
          <w:sz w:val="30"/>
          <w:szCs w:val="30"/>
          <w:lang w:val="en-US" w:eastAsia="zh-CN"/>
        </w:rPr>
        <w:t>说明：此表中每个企业在每两个月必须出现一次</w:t>
      </w:r>
    </w:p>
    <w:p w14:paraId="1A05739B">
      <w:pPr>
        <w:rPr>
          <w:rFonts w:hint="eastAsia" w:ascii="Times New Roman" w:hAnsi="Times New Roman" w:eastAsia="方正黑体_GBK" w:cs="方正黑体_GBK"/>
          <w:color w:val="000000"/>
          <w:sz w:val="32"/>
          <w:szCs w:val="24"/>
        </w:rPr>
      </w:pPr>
    </w:p>
    <w:p w14:paraId="274AF1D5">
      <w:pPr>
        <w:rPr>
          <w:rFonts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附表</w:t>
      </w:r>
      <w:r>
        <w:rPr>
          <w:rFonts w:hint="eastAsia" w:ascii="Times New Roman" w:hAnsi="Times New Roman" w:eastAsia="方正黑体_GBK" w:cs="方正黑体_GBK"/>
          <w:color w:val="000000"/>
          <w:sz w:val="32"/>
          <w:szCs w:val="24"/>
          <w:lang w:val="en-US" w:eastAsia="zh-CN"/>
        </w:rPr>
        <w:t>2</w:t>
      </w:r>
    </w:p>
    <w:p w14:paraId="28B1CC3E">
      <w:pPr>
        <w:autoSpaceDE w:val="0"/>
        <w:autoSpaceDN w:val="0"/>
        <w:snapToGrid w:val="0"/>
        <w:jc w:val="center"/>
        <w:rPr>
          <w:rFonts w:ascii="Times New Roman" w:hAnsi="Times New Roman" w:eastAsia="方正仿宋_GBK" w:cs="黑体"/>
          <w:sz w:val="32"/>
          <w:szCs w:val="24"/>
        </w:rPr>
      </w:pPr>
      <w:r>
        <w:rPr>
          <w:rFonts w:hint="eastAsia" w:ascii="Times New Roman" w:hAnsi="Times New Roman" w:eastAsia="方正小标宋_GBK" w:cs="方正小标宋_GBK"/>
          <w:color w:val="000000"/>
          <w:sz w:val="44"/>
          <w:szCs w:val="44"/>
        </w:rPr>
        <w:t>20</w:t>
      </w:r>
      <w:r>
        <w:rPr>
          <w:rFonts w:hint="eastAsia" w:ascii="Times New Roman" w:hAnsi="Times New Roman" w:eastAsia="方正小标宋_GBK" w:cs="方正小标宋_GBK"/>
          <w:color w:val="000000"/>
          <w:sz w:val="44"/>
          <w:szCs w:val="44"/>
          <w:lang w:val="en-US" w:eastAsia="zh-CN"/>
        </w:rPr>
        <w:t>25</w:t>
      </w:r>
      <w:r>
        <w:rPr>
          <w:rFonts w:hint="eastAsia" w:ascii="Times New Roman" w:hAnsi="Times New Roman" w:eastAsia="方正小标宋_GBK" w:cs="方正小标宋_GBK"/>
          <w:color w:val="000000"/>
          <w:sz w:val="44"/>
          <w:szCs w:val="44"/>
        </w:rPr>
        <w:t>年一般检查计划表</w:t>
      </w:r>
    </w:p>
    <w:tbl>
      <w:tblPr>
        <w:tblStyle w:val="18"/>
        <w:tblW w:w="948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75"/>
        <w:gridCol w:w="6975"/>
        <w:gridCol w:w="825"/>
      </w:tblGrid>
      <w:tr w14:paraId="4E00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9" w:type="dxa"/>
            <w:vAlign w:val="center"/>
          </w:tcPr>
          <w:p w14:paraId="54E8902A">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序号</w:t>
            </w:r>
          </w:p>
        </w:tc>
        <w:tc>
          <w:tcPr>
            <w:tcW w:w="975" w:type="dxa"/>
            <w:vAlign w:val="center"/>
          </w:tcPr>
          <w:p w14:paraId="0CEBEBB4">
            <w:pPr>
              <w:autoSpaceDE w:val="0"/>
              <w:autoSpaceDN w:val="0"/>
              <w:snapToGrid w:val="0"/>
              <w:spacing w:line="200" w:lineRule="atLeast"/>
              <w:jc w:val="center"/>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时间</w:t>
            </w:r>
          </w:p>
        </w:tc>
        <w:tc>
          <w:tcPr>
            <w:tcW w:w="6975" w:type="dxa"/>
            <w:vAlign w:val="center"/>
          </w:tcPr>
          <w:p w14:paraId="1B0F3737">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企业名称</w:t>
            </w:r>
          </w:p>
        </w:tc>
        <w:tc>
          <w:tcPr>
            <w:tcW w:w="825" w:type="dxa"/>
            <w:vAlign w:val="center"/>
          </w:tcPr>
          <w:p w14:paraId="10D04801">
            <w:pPr>
              <w:autoSpaceDE w:val="0"/>
              <w:autoSpaceDN w:val="0"/>
              <w:snapToGrid w:val="0"/>
              <w:spacing w:line="200" w:lineRule="atLeast"/>
              <w:jc w:val="center"/>
              <w:rPr>
                <w:rFonts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家次</w:t>
            </w:r>
          </w:p>
        </w:tc>
      </w:tr>
      <w:tr w14:paraId="1C0E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709" w:type="dxa"/>
            <w:vAlign w:val="center"/>
          </w:tcPr>
          <w:p w14:paraId="190E26DC">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1</w:t>
            </w:r>
          </w:p>
        </w:tc>
        <w:tc>
          <w:tcPr>
            <w:tcW w:w="975" w:type="dxa"/>
            <w:vAlign w:val="center"/>
          </w:tcPr>
          <w:p w14:paraId="0319F6C0">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一季度</w:t>
            </w:r>
          </w:p>
        </w:tc>
        <w:tc>
          <w:tcPr>
            <w:tcW w:w="6975" w:type="dxa"/>
            <w:vAlign w:val="center"/>
          </w:tcPr>
          <w:p w14:paraId="65977209">
            <w:pPr>
              <w:autoSpaceDE w:val="0"/>
              <w:autoSpaceDN w:val="0"/>
              <w:snapToGrid w:val="0"/>
              <w:spacing w:line="200" w:lineRule="atLeast"/>
              <w:jc w:val="both"/>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highlight w:val="none"/>
                <w:lang w:val="en-US" w:eastAsia="zh-CN"/>
              </w:rPr>
              <w:t>沙坪加油站、沙坪天然气配气站、武安天然气配气站、沙坪变电站、重庆市卓雅洗煤有限公司、重庆荣春伞业有限公司、垫江县豪胜石业有限公司、重庆市四季泉饮料有限公司、重庆东印茶叶公司、重庆市华勇伞厂、精霸伞厂、垫江县峻玮玩具加工厂、垫江县欧轩木业有限公司、垫江县强伟家具厂、沙坪永汇生活超市、垫江县金鑫副食百货购物中心、垫江县天天福超市、垫江县青水鱼庄（电梯）、沙坪卫生院（电梯）、粮站小区（电梯）、学府新城（电梯）、欣秀电器经营部（液化气）、垫江县沙坪人和页岩砖厂（未生产）</w:t>
            </w:r>
          </w:p>
        </w:tc>
        <w:tc>
          <w:tcPr>
            <w:tcW w:w="825" w:type="dxa"/>
            <w:vAlign w:val="center"/>
          </w:tcPr>
          <w:p w14:paraId="57952B2A">
            <w:pPr>
              <w:autoSpaceDE w:val="0"/>
              <w:autoSpaceDN w:val="0"/>
              <w:snapToGrid w:val="0"/>
              <w:spacing w:line="200" w:lineRule="atLeast"/>
              <w:jc w:val="center"/>
              <w:rPr>
                <w:rFonts w:hint="default"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23</w:t>
            </w:r>
          </w:p>
        </w:tc>
      </w:tr>
      <w:tr w14:paraId="573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709" w:type="dxa"/>
            <w:vAlign w:val="center"/>
          </w:tcPr>
          <w:p w14:paraId="5486F0B8">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w:t>
            </w:r>
          </w:p>
        </w:tc>
        <w:tc>
          <w:tcPr>
            <w:tcW w:w="975" w:type="dxa"/>
            <w:vAlign w:val="center"/>
          </w:tcPr>
          <w:p w14:paraId="0707C243">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二季度</w:t>
            </w:r>
          </w:p>
        </w:tc>
        <w:tc>
          <w:tcPr>
            <w:tcW w:w="6975" w:type="dxa"/>
            <w:vAlign w:val="center"/>
          </w:tcPr>
          <w:p w14:paraId="203BDF4D">
            <w:pPr>
              <w:autoSpaceDE w:val="0"/>
              <w:autoSpaceDN w:val="0"/>
              <w:snapToGrid w:val="0"/>
              <w:spacing w:line="200" w:lineRule="atLeast"/>
              <w:jc w:val="both"/>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highlight w:val="none"/>
                <w:lang w:val="en-US" w:eastAsia="zh-CN"/>
              </w:rPr>
              <w:t>沙坪加油站、沙坪天然气配气站、武安天然气配气站、沙坪变电站、重庆市卓雅洗煤有限公司、重庆荣春伞业有限公司、垫江县豪胜石业有限公司、重庆市四季泉饮料有限公司、重庆东印茶叶公司、重庆市华勇伞厂、精霸伞厂、垫江县峻玮玩具加工厂、垫江县欧轩木业有限公司、垫江县强伟家具厂、沙坪永汇生活超市、垫江县金鑫副食百货购物中心、垫江县天天福超市、垫江县青水鱼庄（电梯）、沙坪卫生院（电梯）、粮站小区（电梯）、学府新城（电梯）、欣秀电器经营部（液化气）、垫江县沙坪人和页岩砖厂（未生产）</w:t>
            </w:r>
          </w:p>
        </w:tc>
        <w:tc>
          <w:tcPr>
            <w:tcW w:w="825" w:type="dxa"/>
            <w:vAlign w:val="center"/>
          </w:tcPr>
          <w:p w14:paraId="647A2240">
            <w:pPr>
              <w:autoSpaceDE w:val="0"/>
              <w:autoSpaceDN w:val="0"/>
              <w:snapToGrid w:val="0"/>
              <w:spacing w:line="200" w:lineRule="atLeast"/>
              <w:jc w:val="center"/>
              <w:rPr>
                <w:rFonts w:hint="default"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23</w:t>
            </w:r>
          </w:p>
        </w:tc>
      </w:tr>
      <w:tr w14:paraId="5918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709" w:type="dxa"/>
            <w:vAlign w:val="center"/>
          </w:tcPr>
          <w:p w14:paraId="637E6C0E">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3</w:t>
            </w:r>
          </w:p>
        </w:tc>
        <w:tc>
          <w:tcPr>
            <w:tcW w:w="975" w:type="dxa"/>
            <w:vAlign w:val="center"/>
          </w:tcPr>
          <w:p w14:paraId="43A1DF05">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三季度</w:t>
            </w:r>
          </w:p>
        </w:tc>
        <w:tc>
          <w:tcPr>
            <w:tcW w:w="6975" w:type="dxa"/>
            <w:vAlign w:val="center"/>
          </w:tcPr>
          <w:p w14:paraId="399BE0D6">
            <w:pPr>
              <w:autoSpaceDE w:val="0"/>
              <w:autoSpaceDN w:val="0"/>
              <w:snapToGrid w:val="0"/>
              <w:spacing w:line="200" w:lineRule="atLeast"/>
              <w:jc w:val="both"/>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highlight w:val="none"/>
                <w:lang w:val="en-US" w:eastAsia="zh-CN"/>
              </w:rPr>
              <w:t>沙坪加油站、沙坪天然气配气站、武安天然气配气站、沙坪变电站、重庆市卓雅洗煤有限公司、重庆荣春伞业有限公司、垫江县豪胜石业有限公司、重庆市四季泉饮料有限公司、重庆东印茶叶公司、重庆市华勇伞厂、精霸伞厂、垫江县峻玮玩具加工厂、垫江县欧轩木业有限公司、垫江县强伟家具厂、沙坪永汇生活超市、垫江县金鑫副食百货购物中心、垫江县天天福超市、垫江县青水鱼庄（电梯）、沙坪卫生院（电梯）、粮站小区（电梯）、学府新城（电梯）、欣秀电器经营部（液化气）、垫江县沙坪人和页岩砖厂（未生产）</w:t>
            </w:r>
          </w:p>
        </w:tc>
        <w:tc>
          <w:tcPr>
            <w:tcW w:w="825" w:type="dxa"/>
            <w:vAlign w:val="center"/>
          </w:tcPr>
          <w:p w14:paraId="765D91E3">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23</w:t>
            </w:r>
          </w:p>
        </w:tc>
      </w:tr>
      <w:tr w14:paraId="1558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709" w:type="dxa"/>
            <w:vAlign w:val="center"/>
          </w:tcPr>
          <w:p w14:paraId="70C4B685">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4</w:t>
            </w:r>
          </w:p>
        </w:tc>
        <w:tc>
          <w:tcPr>
            <w:tcW w:w="975" w:type="dxa"/>
            <w:vAlign w:val="center"/>
          </w:tcPr>
          <w:p w14:paraId="4D2C3923">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四季度</w:t>
            </w:r>
          </w:p>
        </w:tc>
        <w:tc>
          <w:tcPr>
            <w:tcW w:w="6975" w:type="dxa"/>
            <w:vAlign w:val="center"/>
          </w:tcPr>
          <w:p w14:paraId="6E5D64CB">
            <w:pPr>
              <w:autoSpaceDE w:val="0"/>
              <w:autoSpaceDN w:val="0"/>
              <w:snapToGrid w:val="0"/>
              <w:spacing w:line="200" w:lineRule="atLeast"/>
              <w:jc w:val="both"/>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kern w:val="2"/>
                <w:sz w:val="24"/>
                <w:szCs w:val="24"/>
                <w:highlight w:val="none"/>
                <w:lang w:val="en-US" w:eastAsia="zh-CN"/>
              </w:rPr>
              <w:t>沙坪加油站、沙坪天然气配气站、武安天然气配气站、沙坪变电站、重庆市卓雅洗煤有限公司、重庆荣春伞业有限公司、垫江县豪胜石业有限公司、重庆市四季泉饮料有限公司、重庆东印茶叶公司、重庆市华勇伞厂、精霸伞厂、垫江县峻玮玩具加工厂、垫江县欧轩木业有限公司、垫江县强伟家具厂、沙坪永汇生活超市、垫江县金鑫副食百货购物中心、垫江县天天福超市、垫江县青水鱼庄（电梯）、沙坪卫生院（电梯）、粮站小区（电梯）、学府新城（电梯）、欣秀电器经营部（液化气）、垫江县沙坪人和页岩砖厂（未生产）</w:t>
            </w:r>
          </w:p>
        </w:tc>
        <w:tc>
          <w:tcPr>
            <w:tcW w:w="825" w:type="dxa"/>
            <w:vAlign w:val="center"/>
          </w:tcPr>
          <w:p w14:paraId="2C929248">
            <w:pPr>
              <w:autoSpaceDE w:val="0"/>
              <w:autoSpaceDN w:val="0"/>
              <w:snapToGrid w:val="0"/>
              <w:spacing w:line="200" w:lineRule="atLeast"/>
              <w:jc w:val="center"/>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23</w:t>
            </w:r>
          </w:p>
        </w:tc>
      </w:tr>
    </w:tbl>
    <w:p w14:paraId="01503995">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kern w:val="2"/>
          <w:sz w:val="30"/>
          <w:szCs w:val="30"/>
          <w:lang w:val="en-US" w:eastAsia="zh-CN"/>
        </w:rPr>
      </w:pPr>
      <w:r>
        <w:rPr>
          <w:rFonts w:hint="eastAsia" w:ascii="Times New Roman" w:hAnsi="Times New Roman" w:eastAsia="方正仿宋_GBK" w:cs="方正仿宋_GBK"/>
          <w:kern w:val="2"/>
          <w:sz w:val="30"/>
          <w:szCs w:val="30"/>
          <w:lang w:val="en-US" w:eastAsia="zh-CN"/>
        </w:rPr>
        <w:t>说明：此表中每个企业在每个季度必须出现一次</w:t>
      </w:r>
    </w:p>
    <w:p w14:paraId="4EDD00AF">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1F58791F">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062927F6">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22798C9A">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7696AFB8">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5776990F">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189BDA1E">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6FBC7494">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40231F74">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50BE5607">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4C17C766">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797BE7A4">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7A4151D2">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61E86930">
      <w:pPr>
        <w:spacing w:afterLines="0" w:line="594" w:lineRule="exact"/>
        <w:ind w:firstLine="0" w:firstLineChars="0"/>
        <w:jc w:val="left"/>
        <w:rPr>
          <w:rFonts w:hint="eastAsia" w:ascii="Times New Roman" w:hAnsi="Times New Roman" w:eastAsia="宋体" w:cs="宋体"/>
          <w:b/>
          <w:bCs w:val="0"/>
          <w:sz w:val="32"/>
          <w:szCs w:val="32"/>
          <w:lang w:val="en-US" w:eastAsia="zh-CN"/>
        </w:rPr>
      </w:pPr>
    </w:p>
    <w:p w14:paraId="7FBED8FD">
      <w:pPr>
        <w:spacing w:afterLines="0" w:line="594" w:lineRule="exact"/>
        <w:ind w:firstLine="0" w:firstLineChars="0"/>
        <w:jc w:val="left"/>
        <w:rPr>
          <w:rFonts w:hint="eastAsia" w:ascii="Times New Roman" w:hAnsi="Times New Roman" w:eastAsia="方正黑体_GBK" w:cs="方正黑体_GBK"/>
          <w:b w:val="0"/>
          <w:bCs/>
          <w:sz w:val="32"/>
          <w:szCs w:val="32"/>
          <w:lang w:val="en-US" w:eastAsia="zh-CN"/>
        </w:rPr>
      </w:pPr>
      <w:r>
        <w:rPr>
          <w:rFonts w:hint="eastAsia" w:ascii="Times New Roman" w:hAnsi="Times New Roman" w:eastAsia="方正黑体_GBK" w:cs="方正黑体_GBK"/>
          <w:b w:val="0"/>
          <w:bCs/>
          <w:sz w:val="32"/>
          <w:szCs w:val="32"/>
          <w:lang w:val="en-US" w:eastAsia="zh-CN"/>
        </w:rPr>
        <w:t>附件3</w:t>
      </w:r>
    </w:p>
    <w:p w14:paraId="6B60B966">
      <w:pPr>
        <w:widowControl w:val="0"/>
        <w:ind w:firstLine="567"/>
        <w:jc w:val="both"/>
        <w:rPr>
          <w:rFonts w:hint="eastAsia" w:ascii="Times New Roman" w:hAnsi="Times New Roman" w:eastAsia="方正仿宋_GBK" w:cs="黑体"/>
          <w:kern w:val="2"/>
          <w:sz w:val="32"/>
          <w:szCs w:val="24"/>
          <w:lang w:val="en-US" w:eastAsia="zh-CN" w:bidi="ar-SA"/>
        </w:rPr>
      </w:pPr>
    </w:p>
    <w:p w14:paraId="15C7EA19">
      <w:pPr>
        <w:spacing w:afterLines="0" w:line="594" w:lineRule="exact"/>
        <w:ind w:firstLine="0" w:firstLineChars="0"/>
        <w:jc w:val="center"/>
        <w:rPr>
          <w:rFonts w:hint="eastAsia" w:ascii="Times New Roman" w:hAnsi="Times New Roman" w:eastAsia="方正小标宋_GBK" w:cs="方正小标宋_GBK"/>
          <w:bCs/>
          <w:sz w:val="44"/>
          <w:szCs w:val="44"/>
          <w:lang w:val="en-US" w:eastAsia="zh-CN"/>
        </w:rPr>
      </w:pPr>
      <w:r>
        <w:rPr>
          <w:rFonts w:hint="eastAsia" w:ascii="Times New Roman" w:hAnsi="Times New Roman" w:eastAsia="方正小标宋_GBK" w:cs="方正小标宋_GBK"/>
          <w:bCs/>
          <w:sz w:val="44"/>
          <w:szCs w:val="44"/>
          <w:lang w:val="en-US" w:eastAsia="zh-CN"/>
        </w:rPr>
        <w:t>沙坪镇2025年村镇建设服务中心安全生产监督检查计划</w:t>
      </w:r>
    </w:p>
    <w:p w14:paraId="1837D5F5">
      <w:pPr>
        <w:spacing w:afterLines="0" w:line="594" w:lineRule="exact"/>
        <w:ind w:firstLine="0" w:firstLineChars="0"/>
        <w:jc w:val="both"/>
        <w:rPr>
          <w:rFonts w:hint="default" w:ascii="Times New Roman" w:hAnsi="Times New Roman" w:eastAsia="方正小标宋_GBK" w:cs="Times New Roman"/>
          <w:bCs/>
          <w:sz w:val="44"/>
          <w:szCs w:val="44"/>
          <w:lang w:val="en-US" w:eastAsia="zh-CN"/>
        </w:rPr>
      </w:pPr>
    </w:p>
    <w:p w14:paraId="4E897880">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721A215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引，全面学习贯彻党的二十大精神，认真落实市第六次党代会、市委六届二次全会精神，坚持人民至上、生命至上，统筹发展和安全，坚持安全第一、预防为主、综合治理的方针，从源头上防范化解重大安全风险。围绕全县安全生产工作总体部署，全面贯彻《</w:t>
      </w:r>
      <w:r>
        <w:rPr>
          <w:rFonts w:hint="eastAsia" w:ascii="Times New Roman" w:hAnsi="Times New Roman" w:eastAsia="方正仿宋_GBK" w:cs="Times New Roman"/>
          <w:color w:val="auto"/>
          <w:sz w:val="32"/>
          <w:szCs w:val="32"/>
          <w:lang w:val="en-US" w:eastAsia="zh-CN"/>
        </w:rPr>
        <w:t>中华人民共和国</w:t>
      </w:r>
      <w:r>
        <w:rPr>
          <w:rFonts w:hint="default" w:ascii="Times New Roman" w:hAnsi="Times New Roman" w:eastAsia="方正仿宋_GBK" w:cs="Times New Roman"/>
          <w:color w:val="auto"/>
          <w:sz w:val="32"/>
          <w:szCs w:val="32"/>
        </w:rPr>
        <w:t>安全生产法》《重庆市安全生产条例》《建设工程安全生产管理条例》《重庆市建设工程安全生产管理办法》《危险性较大的分部分项工程安全管理规定》等法律、法规，严格执行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检查诊断、行政处罚、整改复查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执法检查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三部曲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基本程序，按计划实施监督检查，切实增强监督检查的科学性、规范性、时效性，促进全县建筑施工安全生产状况持续稳定向好，为全县</w:t>
      </w:r>
      <w:r>
        <w:rPr>
          <w:rFonts w:hint="default" w:ascii="Times New Roman" w:hAnsi="Times New Roman" w:eastAsia="方正仿宋_GBK" w:cs="Times New Roman"/>
          <w:color w:val="auto"/>
          <w:sz w:val="32"/>
          <w:szCs w:val="32"/>
          <w:lang w:val="en-US" w:eastAsia="zh-CN"/>
        </w:rPr>
        <w:t>社会经济</w:t>
      </w:r>
      <w:r>
        <w:rPr>
          <w:rFonts w:hint="default" w:ascii="Times New Roman" w:hAnsi="Times New Roman" w:eastAsia="方正仿宋_GBK" w:cs="Times New Roman"/>
          <w:color w:val="auto"/>
          <w:sz w:val="32"/>
          <w:szCs w:val="32"/>
        </w:rPr>
        <w:t>发展提供有力保障。</w:t>
      </w:r>
    </w:p>
    <w:p w14:paraId="6DE6A48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14:paraId="57C958C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安全生产工作实行管行业必须管安全、管业务必须管安全、管生产经营必须管安全，强化和落实生产经营单位主体责任</w:t>
      </w:r>
      <w:r>
        <w:rPr>
          <w:rFonts w:hint="eastAsia" w:ascii="Times New Roman" w:hAnsi="Times New Roman" w:eastAsia="方正仿宋_GBK" w:cs="Times New Roman"/>
          <w:sz w:val="32"/>
          <w:szCs w:val="32"/>
          <w:lang w:val="en-US" w:eastAsia="zh-CN"/>
        </w:rPr>
        <w:t>和行业</w:t>
      </w:r>
      <w:r>
        <w:rPr>
          <w:rFonts w:hint="default" w:ascii="Times New Roman" w:hAnsi="Times New Roman" w:eastAsia="方正仿宋_GBK" w:cs="Times New Roman"/>
          <w:sz w:val="32"/>
          <w:szCs w:val="32"/>
          <w:lang w:val="en-US" w:eastAsia="zh-CN"/>
        </w:rPr>
        <w:t>监管责任，建立生产经营单位负责、职工参与、政府监管、行业自律和社会监督的机制。扎实</w:t>
      </w:r>
      <w:r>
        <w:rPr>
          <w:rFonts w:hint="default" w:ascii="Times New Roman" w:hAnsi="Times New Roman" w:eastAsia="方正仿宋_GBK" w:cs="Times New Roman"/>
          <w:sz w:val="32"/>
          <w:szCs w:val="32"/>
        </w:rPr>
        <w:t>开展建筑施工安全生产监督检查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严厉打击建筑施工安全生产领域的非法违法行为，强化风险源头管控，消除重大安全隐患，实现</w:t>
      </w:r>
      <w:r>
        <w:rPr>
          <w:rFonts w:hint="default" w:ascii="Times New Roman" w:hAnsi="Times New Roman" w:eastAsia="方正仿宋_GBK" w:cs="Times New Roman"/>
          <w:sz w:val="32"/>
          <w:szCs w:val="32"/>
          <w:lang w:val="en-US" w:eastAsia="zh-CN"/>
        </w:rPr>
        <w:t>生产安全事故可控，</w:t>
      </w:r>
      <w:r>
        <w:rPr>
          <w:rFonts w:hint="default" w:ascii="Times New Roman" w:hAnsi="Times New Roman" w:eastAsia="方正仿宋_GBK" w:cs="Times New Roman"/>
          <w:sz w:val="32"/>
          <w:szCs w:val="32"/>
        </w:rPr>
        <w:t>杜绝重点时段、重大节日</w:t>
      </w:r>
      <w:r>
        <w:rPr>
          <w:rFonts w:hint="default" w:ascii="Times New Roman" w:hAnsi="Times New Roman" w:eastAsia="方正仿宋_GBK" w:cs="Times New Roman"/>
          <w:sz w:val="32"/>
          <w:szCs w:val="32"/>
          <w:lang w:val="en-US" w:eastAsia="zh-CN"/>
        </w:rPr>
        <w:t>发生</w:t>
      </w:r>
      <w:r>
        <w:rPr>
          <w:rFonts w:hint="default" w:ascii="Times New Roman" w:hAnsi="Times New Roman" w:eastAsia="方正仿宋_GBK" w:cs="Times New Roman"/>
          <w:sz w:val="32"/>
          <w:szCs w:val="32"/>
        </w:rPr>
        <w:t>安全生产事故</w:t>
      </w:r>
      <w:r>
        <w:rPr>
          <w:rFonts w:hint="default" w:ascii="Times New Roman" w:hAnsi="Times New Roman" w:eastAsia="方正仿宋_GBK" w:cs="Times New Roman"/>
          <w:sz w:val="32"/>
          <w:szCs w:val="32"/>
          <w:lang w:eastAsia="zh-CN"/>
        </w:rPr>
        <w:t>，切实保障人民群众生命财产安全</w:t>
      </w:r>
      <w:r>
        <w:rPr>
          <w:rFonts w:hint="default" w:ascii="Times New Roman" w:hAnsi="Times New Roman" w:eastAsia="方正仿宋_GBK" w:cs="Times New Roman"/>
          <w:sz w:val="32"/>
          <w:szCs w:val="32"/>
          <w:lang w:val="en-US" w:eastAsia="zh-CN"/>
        </w:rPr>
        <w:t>。</w:t>
      </w:r>
    </w:p>
    <w:p w14:paraId="109CF635">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三、工作任务</w:t>
      </w:r>
    </w:p>
    <w:p w14:paraId="197F691E">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（一）督促</w:t>
      </w:r>
      <w:r>
        <w:rPr>
          <w:rFonts w:hint="default" w:ascii="Times New Roman" w:hAnsi="Times New Roman" w:eastAsia="方正仿宋_GBK" w:cs="Times New Roman"/>
          <w:sz w:val="32"/>
          <w:szCs w:val="32"/>
          <w:lang w:val="en-US" w:eastAsia="zh-CN"/>
        </w:rPr>
        <w:t>建设单位</w:t>
      </w:r>
      <w:r>
        <w:rPr>
          <w:rFonts w:hint="default" w:ascii="Times New Roman" w:hAnsi="Times New Roman" w:eastAsia="方正仿宋_GBK" w:cs="Times New Roman"/>
          <w:sz w:val="32"/>
          <w:szCs w:val="32"/>
        </w:rPr>
        <w:t>全面落实安全生产</w:t>
      </w:r>
      <w:r>
        <w:rPr>
          <w:rFonts w:hint="default" w:ascii="Times New Roman" w:hAnsi="Times New Roman" w:eastAsia="方正仿宋_GBK" w:cs="Times New Roman"/>
          <w:sz w:val="32"/>
          <w:szCs w:val="32"/>
          <w:lang w:val="en-US" w:eastAsia="zh-CN"/>
        </w:rPr>
        <w:t>首要</w:t>
      </w:r>
      <w:r>
        <w:rPr>
          <w:rFonts w:hint="default" w:ascii="Times New Roman" w:hAnsi="Times New Roman" w:eastAsia="方正仿宋_GBK" w:cs="Times New Roman"/>
          <w:sz w:val="32"/>
          <w:szCs w:val="32"/>
        </w:rPr>
        <w:t>责任；</w:t>
      </w:r>
    </w:p>
    <w:p w14:paraId="458647B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督促施工、监理、勘察、设计单位落实安全生产主体责任，推行安全生产全员责任制；</w:t>
      </w:r>
    </w:p>
    <w:p w14:paraId="204B9C6F">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（三）督促负有安全生产主体责任的单位落实风险研判、风险分级管控、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日周月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隐患排查，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事故隐患治理，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危大工程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管理和关键节点管控责任。</w:t>
      </w:r>
    </w:p>
    <w:p w14:paraId="4A477AE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val="en-US" w:eastAsia="zh-CN"/>
        </w:rPr>
        <w:t>全面实施“</w:t>
      </w:r>
      <w:r>
        <w:rPr>
          <w:rFonts w:hint="default" w:ascii="Times New Roman" w:hAnsi="Times New Roman" w:eastAsia="方正仿宋_GBK" w:cs="Times New Roman"/>
          <w:sz w:val="32"/>
          <w:szCs w:val="32"/>
          <w:lang w:val="en-US" w:eastAsia="zh-CN"/>
        </w:rPr>
        <w:t>两单两卡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、建筑工地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标准化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建设，督促参建单位形成和完善企业安全生产文化。</w:t>
      </w:r>
    </w:p>
    <w:p w14:paraId="335ADF2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val="en-US" w:eastAsia="zh-CN"/>
        </w:rPr>
        <w:t>按计划对辖区项目开展大排查大整治大执法工作，</w:t>
      </w:r>
      <w:r>
        <w:rPr>
          <w:rFonts w:hint="default" w:ascii="Times New Roman" w:hAnsi="Times New Roman" w:eastAsia="方正仿宋_GBK" w:cs="Times New Roman"/>
          <w:sz w:val="32"/>
          <w:szCs w:val="32"/>
        </w:rPr>
        <w:t>对检查发现隐患的整改督办率达100%</w:t>
      </w:r>
      <w:r>
        <w:rPr>
          <w:rFonts w:hint="default" w:ascii="Times New Roman" w:hAnsi="Times New Roman" w:eastAsia="方正仿宋_GBK" w:cs="Times New Roman"/>
          <w:sz w:val="32"/>
          <w:szCs w:val="32"/>
          <w:lang w:eastAsia="zh-CN"/>
        </w:rPr>
        <w:t>。</w:t>
      </w:r>
    </w:p>
    <w:p w14:paraId="79505A44">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加强行政执法检查和处罚力度，规范执法行为，完善执法标准化建设。</w:t>
      </w:r>
    </w:p>
    <w:p w14:paraId="7A454EAE">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四、监督检查工作量</w:t>
      </w:r>
    </w:p>
    <w:p w14:paraId="743E78A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人员安排</w:t>
      </w:r>
    </w:p>
    <w:p w14:paraId="70A3DAD8">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目前，建筑施工安全行政执法人员总数</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人。</w:t>
      </w:r>
    </w:p>
    <w:p w14:paraId="48591D1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时间安排</w:t>
      </w:r>
    </w:p>
    <w:p w14:paraId="265B75C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总法定工作日：</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天=</w:t>
      </w:r>
      <w:r>
        <w:rPr>
          <w:rFonts w:hint="eastAsia" w:ascii="Times New Roman" w:hAnsi="Times New Roman" w:eastAsia="方正仿宋_GBK" w:cs="Times New Roman"/>
          <w:sz w:val="32"/>
          <w:szCs w:val="32"/>
          <w:lang w:val="en-US" w:eastAsia="zh-CN"/>
        </w:rPr>
        <w:t>992</w:t>
      </w:r>
      <w:r>
        <w:rPr>
          <w:rFonts w:hint="default" w:ascii="Times New Roman" w:hAnsi="Times New Roman" w:eastAsia="方正仿宋_GBK" w:cs="Times New Roman"/>
          <w:sz w:val="32"/>
          <w:szCs w:val="32"/>
          <w:lang w:val="en-US" w:eastAsia="zh-CN"/>
        </w:rPr>
        <w:t>天。</w:t>
      </w:r>
    </w:p>
    <w:p w14:paraId="6AA4C35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其中：（1）行政执法检查工作日：</w:t>
      </w:r>
      <w:r>
        <w:rPr>
          <w:rFonts w:hint="eastAsia" w:ascii="Times New Roman" w:hAnsi="Times New Roman" w:eastAsia="方正仿宋_GBK" w:cs="Times New Roman"/>
          <w:sz w:val="32"/>
          <w:szCs w:val="32"/>
          <w:lang w:val="en-US" w:eastAsia="zh-CN"/>
        </w:rPr>
        <w:t>550</w:t>
      </w:r>
      <w:r>
        <w:rPr>
          <w:rFonts w:hint="default" w:ascii="Times New Roman" w:hAnsi="Times New Roman" w:eastAsia="方正仿宋_GBK" w:cs="Times New Roman"/>
          <w:sz w:val="32"/>
          <w:szCs w:val="32"/>
          <w:lang w:val="en-US" w:eastAsia="zh-CN"/>
        </w:rPr>
        <w:t>天。</w:t>
      </w:r>
    </w:p>
    <w:p w14:paraId="19929A8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（2）其他执法工作日共</w:t>
      </w:r>
      <w:r>
        <w:rPr>
          <w:rFonts w:hint="eastAsia" w:ascii="Times New Roman" w:hAnsi="Times New Roman" w:eastAsia="方正仿宋_GBK" w:cs="Times New Roman"/>
          <w:sz w:val="32"/>
          <w:szCs w:val="32"/>
          <w:lang w:val="en-US" w:eastAsia="zh-CN"/>
        </w:rPr>
        <w:t>186</w:t>
      </w:r>
      <w:r>
        <w:rPr>
          <w:rFonts w:hint="default" w:ascii="Times New Roman" w:hAnsi="Times New Roman" w:eastAsia="方正仿宋_GBK" w:cs="Times New Roman"/>
          <w:sz w:val="32"/>
          <w:szCs w:val="32"/>
          <w:lang w:val="en-US" w:eastAsia="zh-CN"/>
        </w:rPr>
        <w:t>天，包括：</w:t>
      </w:r>
    </w:p>
    <w:p w14:paraId="6C804470">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组织</w:t>
      </w:r>
      <w:r>
        <w:rPr>
          <w:rFonts w:hint="eastAsia" w:ascii="Times New Roman" w:hAnsi="Times New Roman" w:eastAsia="方正仿宋_GBK" w:cs="Times New Roman"/>
          <w:sz w:val="32"/>
          <w:szCs w:val="32"/>
          <w:lang w:val="en-US" w:eastAsia="zh-CN"/>
        </w:rPr>
        <w:t>包括</w:t>
      </w:r>
      <w:r>
        <w:rPr>
          <w:rFonts w:hint="default" w:ascii="Times New Roman" w:hAnsi="Times New Roman" w:eastAsia="方正仿宋_GBK" w:cs="Times New Roman"/>
          <w:sz w:val="32"/>
          <w:szCs w:val="32"/>
          <w:lang w:val="en-US" w:eastAsia="zh-CN"/>
        </w:rPr>
        <w:t>生产安全事故调查和处理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调查核实安全生产投诉举报参加有关部门联合执法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办理有关法律、法规、规章规定的登记、备案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开展安全生产宣传教育培训</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办理行政复议、行政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完成本级人民政府或者上级安全监管部门安排的执法工作任务。</w:t>
      </w:r>
    </w:p>
    <w:p w14:paraId="19AF0B2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方正仿宋_GBK"/>
          <w:color w:val="000000"/>
          <w:kern w:val="2"/>
          <w:sz w:val="32"/>
          <w:szCs w:val="32"/>
          <w:lang w:val="en-US" w:eastAsia="zh-CN" w:bidi="ar-SA"/>
        </w:rPr>
        <w:t>非执法工作日：估测约为</w:t>
      </w:r>
      <w:r>
        <w:rPr>
          <w:rFonts w:hint="eastAsia" w:ascii="Times New Roman" w:hAnsi="Times New Roman" w:eastAsia="方正仿宋_GBK" w:cs="方正仿宋_GBK"/>
          <w:b/>
          <w:bCs/>
          <w:color w:val="000000"/>
          <w:kern w:val="2"/>
          <w:sz w:val="32"/>
          <w:szCs w:val="32"/>
          <w:lang w:val="en-US" w:eastAsia="zh-CN" w:bidi="ar-SA"/>
        </w:rPr>
        <w:t>256</w:t>
      </w:r>
      <w:r>
        <w:rPr>
          <w:rFonts w:hint="eastAsia" w:ascii="Times New Roman" w:hAnsi="Times New Roman" w:eastAsia="方正仿宋_GBK" w:cs="方正仿宋_GBK"/>
          <w:color w:val="000000"/>
          <w:kern w:val="2"/>
          <w:sz w:val="32"/>
          <w:szCs w:val="32"/>
          <w:lang w:val="en-US" w:eastAsia="zh-CN" w:bidi="ar-SA"/>
        </w:rPr>
        <w:t>天 。包括业务学习培训考核及工作会议、检查指导村（社区）工作、参加党群活动、病事假和法定年休假等事项</w:t>
      </w:r>
      <w:r>
        <w:rPr>
          <w:rFonts w:hint="default" w:ascii="Times New Roman" w:hAnsi="Times New Roman" w:eastAsia="方正仿宋_GBK" w:cs="Times New Roman"/>
          <w:sz w:val="32"/>
          <w:szCs w:val="32"/>
          <w:lang w:val="en-US" w:eastAsia="zh-CN"/>
        </w:rPr>
        <w:t>。</w:t>
      </w:r>
    </w:p>
    <w:p w14:paraId="3C3F5BBE">
      <w:pPr>
        <w:keepNext w:val="0"/>
        <w:keepLines w:val="0"/>
        <w:pageBreakBefore w:val="0"/>
        <w:widowControl w:val="0"/>
        <w:kinsoku/>
        <w:wordWrap/>
        <w:overflowPunct/>
        <w:topLinePunct w:val="0"/>
        <w:autoSpaceDE/>
        <w:autoSpaceDN/>
        <w:bidi w:val="0"/>
        <w:adjustRightInd w:val="0"/>
        <w:snapToGrid w:val="0"/>
        <w:spacing w:afterLines="0" w:line="594"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五、监督检查重点</w:t>
      </w:r>
    </w:p>
    <w:p w14:paraId="3720A4C2">
      <w:pPr>
        <w:keepNext w:val="0"/>
        <w:keepLines w:val="0"/>
        <w:pageBreakBefore w:val="0"/>
        <w:widowControl w:val="0"/>
        <w:kinsoku/>
        <w:wordWrap/>
        <w:overflowPunct/>
        <w:topLinePunct w:val="0"/>
        <w:autoSpaceDE/>
        <w:autoSpaceDN/>
        <w:bidi w:val="0"/>
        <w:adjustRightInd w:val="0"/>
        <w:snapToGrid w:val="0"/>
        <w:spacing w:afterLines="0" w:line="594" w:lineRule="exact"/>
        <w:ind w:firstLine="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（一）行为方面</w:t>
      </w:r>
    </w:p>
    <w:p w14:paraId="70FCFD5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建设单位是否向施工单位提供施工现场及毗邻区域内供水、排水、供电、供气、供热、通信、广播电视等地下管线资料，气象和水文观测资料，相邻建筑物和构筑物、地下工程的有关资料，并保证资料的真实、准确、完整。</w:t>
      </w:r>
    </w:p>
    <w:p w14:paraId="59889642">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建设单位是否对勘察、设计、施工、监理等单位提出不符合建设工程安全生产法律、法规和强制性标准规定的要求，是否压缩合同工期。</w:t>
      </w:r>
    </w:p>
    <w:p w14:paraId="402006F6">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建设单位是否要求降低建设工程安全作业环境及安全施工措施所需费用。</w:t>
      </w:r>
    </w:p>
    <w:p w14:paraId="1CB3CA68">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建设单位是否存在明示或者暗示施工单位购买、租赁、使用不符合安全施工要求的安全防护用具、机械设备、施工机具及配件、消防设施和器材。</w:t>
      </w:r>
    </w:p>
    <w:p w14:paraId="6B4BCAC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建设单位是否按规定要求，按时支付安全生产、文明施工措施费用。</w:t>
      </w:r>
    </w:p>
    <w:p w14:paraId="7A2E6820">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建设单位是否组织和督促监理、施工单位整改落实安全生产相关文件、会议要求及抽查中提出的问题。</w:t>
      </w:r>
    </w:p>
    <w:p w14:paraId="3D99AAA8">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监理规划中是否有安全监理专项内容，监理实施细则中是否有危险性较大分部分项工程的监理内容。</w:t>
      </w:r>
    </w:p>
    <w:p w14:paraId="40BEC061">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监理单位是否审查施工组织设计中的安全技术措施及危险性较大分部分项工程安全专项方案。</w:t>
      </w:r>
    </w:p>
    <w:p w14:paraId="2448BD6B">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监理单位在监理巡视抽查过程中发现存在安全事故隐患的，是否按照有关规定及时下达书面指令要求施工单位进行整改或停止施工。</w:t>
      </w:r>
    </w:p>
    <w:p w14:paraId="1CD01075">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施工单位拒绝按照监理单位的要求进行整改或者停止施工的，监理单位是否及时将情况向当地建设主管部门书面报告。</w:t>
      </w:r>
    </w:p>
    <w:p w14:paraId="3F77914B">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监理单位是否依照法律、法规和工程建设强制性标准实施监理。</w:t>
      </w:r>
    </w:p>
    <w:p w14:paraId="046A514D">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监理单位是否督促或组织施工单位进行安全检查和隐患整改；是否落实安全生产相关文件、会议等要求。</w:t>
      </w:r>
    </w:p>
    <w:p w14:paraId="445DC171">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13.施工单位</w:t>
      </w:r>
      <w:r>
        <w:rPr>
          <w:rFonts w:hint="default" w:ascii="Times New Roman" w:hAnsi="Times New Roman" w:eastAsia="方正仿宋_GBK" w:cs="Times New Roman"/>
          <w:sz w:val="32"/>
          <w:szCs w:val="32"/>
          <w:lang w:val="en-US" w:eastAsia="zh-CN"/>
        </w:rPr>
        <w:t>是否建立了与工程规模相适应的安全管理机构，项目经理、安全员等管理人员是否具有相应资格并持证上岗，特种作业人员是否持证上岗，生产工人是否经过三级安全教育，是否实现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实名制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管理。</w:t>
      </w:r>
    </w:p>
    <w:p w14:paraId="12B771C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.施工单位</w:t>
      </w:r>
      <w:r>
        <w:rPr>
          <w:rFonts w:hint="default" w:ascii="Times New Roman" w:hAnsi="Times New Roman" w:eastAsia="方正仿宋_GBK" w:cs="Times New Roman"/>
          <w:sz w:val="32"/>
          <w:szCs w:val="32"/>
          <w:lang w:val="en-US" w:eastAsia="zh-CN"/>
        </w:rPr>
        <w:t>是否建立健全以项目负责人为核心，分级负责的安全生产责任制，是否建立施工安全保证体系。</w:t>
      </w:r>
    </w:p>
    <w:p w14:paraId="4F003E3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15.施工单位</w:t>
      </w:r>
      <w:r>
        <w:rPr>
          <w:rFonts w:hint="default" w:ascii="Times New Roman" w:hAnsi="Times New Roman" w:eastAsia="方正仿宋_GBK" w:cs="Times New Roman"/>
          <w:sz w:val="32"/>
          <w:szCs w:val="32"/>
          <w:lang w:val="en-US" w:eastAsia="zh-CN"/>
        </w:rPr>
        <w:t>是否建立健全并落实执行各项安全生产制度（包括：领导带班制度、目标管理制度、安全技术交底制度、安全检查制度、安全教育制度、班前安全活动制度、消防管理制度、工伤事故报告处理制度等）。</w:t>
      </w:r>
    </w:p>
    <w:p w14:paraId="6D0C84C0">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lang w:val="en-US" w:eastAsia="zh-CN"/>
        </w:rPr>
        <w:t>.施工单位</w:t>
      </w:r>
      <w:r>
        <w:rPr>
          <w:rFonts w:hint="default" w:ascii="Times New Roman" w:hAnsi="Times New Roman" w:eastAsia="方正仿宋_GBK" w:cs="Times New Roman"/>
          <w:sz w:val="32"/>
          <w:szCs w:val="32"/>
          <w:lang w:val="en-US" w:eastAsia="zh-CN"/>
        </w:rPr>
        <w:t>是否有按规定程序审批合格的施工组织设计中的安全技术措施或安全专项方案（专项方案按照建设部《危险性较大分部分项工程安全管理办法》和《危险性较大分部分项工程安全管理实施细则》中的规定执行）。</w:t>
      </w:r>
    </w:p>
    <w:p w14:paraId="65F0BEB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17.施工单位</w:t>
      </w:r>
      <w:r>
        <w:rPr>
          <w:rFonts w:hint="default" w:ascii="Times New Roman" w:hAnsi="Times New Roman" w:eastAsia="方正仿宋_GBK" w:cs="Times New Roman"/>
          <w:sz w:val="32"/>
          <w:szCs w:val="32"/>
          <w:lang w:val="en-US" w:eastAsia="zh-CN"/>
        </w:rPr>
        <w:t>是否严格实施隐患排查制度，对于三级安全检查中发现的问题是否按安全生产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五定原则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即时落实整改和消项。</w:t>
      </w:r>
    </w:p>
    <w:p w14:paraId="0F58EEC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18.施工单位</w:t>
      </w:r>
      <w:r>
        <w:rPr>
          <w:rFonts w:hint="default" w:ascii="Times New Roman" w:hAnsi="Times New Roman" w:eastAsia="方正仿宋_GBK" w:cs="Times New Roman"/>
          <w:sz w:val="32"/>
          <w:szCs w:val="32"/>
          <w:lang w:val="en-US" w:eastAsia="zh-CN"/>
        </w:rPr>
        <w:t>防护用品和设施是否符合标准。</w:t>
      </w:r>
    </w:p>
    <w:p w14:paraId="7046625E">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19.施工单位</w:t>
      </w:r>
      <w:r>
        <w:rPr>
          <w:rFonts w:hint="default" w:ascii="Times New Roman" w:hAnsi="Times New Roman" w:eastAsia="方正仿宋_GBK" w:cs="Times New Roman"/>
          <w:sz w:val="32"/>
          <w:szCs w:val="32"/>
          <w:lang w:val="en-US" w:eastAsia="zh-CN"/>
        </w:rPr>
        <w:t>是否执行安全文明施工措施费使用有关规定。</w:t>
      </w:r>
    </w:p>
    <w:p w14:paraId="4267360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20.施工单位</w:t>
      </w:r>
      <w:r>
        <w:rPr>
          <w:rFonts w:hint="default" w:ascii="Times New Roman" w:hAnsi="Times New Roman" w:eastAsia="方正仿宋_GBK" w:cs="Times New Roman"/>
          <w:sz w:val="32"/>
          <w:szCs w:val="32"/>
          <w:lang w:val="en-US" w:eastAsia="zh-CN"/>
        </w:rPr>
        <w:t>对地下管线和相邻建、构筑物是否有安全保护措施，文明施工方案是否编制。</w:t>
      </w:r>
    </w:p>
    <w:p w14:paraId="5B891E3E">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分包单位及参建人员的资质、资格证件是否符合有关规定和要求。</w:t>
      </w:r>
    </w:p>
    <w:p w14:paraId="737EC44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（二）实体方面</w:t>
      </w:r>
    </w:p>
    <w:p w14:paraId="1C9F51C8">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高切坡（或深开挖）：重点抽查方案编审、现场临边防护、排水措施、坑边荷载、变形监测等。</w:t>
      </w:r>
    </w:p>
    <w:p w14:paraId="16AB2E5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基坑（或基槽）：重点抽查方案编审、现场支护、排水措施、坑边荷载、弃物堆码、变形监测等。</w:t>
      </w:r>
    </w:p>
    <w:p w14:paraId="4EE3BF4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人工挖孔桩：重点抽查方案编审、护壁支护、周边防护、排水措施、弃物堆码、通风换气等。</w:t>
      </w:r>
    </w:p>
    <w:p w14:paraId="7CB2FDC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大型吊装（安装）：重点抽查方案编审、起重机械相关手续、特种作业人员证件、吊点设置、现场警戒等。</w:t>
      </w:r>
    </w:p>
    <w:p w14:paraId="664F2B35">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脚手架：重点抽查方案编审、基础处理、架体搭设、与建筑物连接、脚手板铺设及其他防护措施等。</w:t>
      </w:r>
    </w:p>
    <w:p w14:paraId="602C0B4D">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卸料平台：重点抽查方案编审、搭接端与主体锚固、钢丝绳连接及保护、前端与两侧防护、荷载堆码等。</w:t>
      </w:r>
    </w:p>
    <w:p w14:paraId="5386C96E">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模板支架：重点抽查方案编审、支撑体系搭设、模板及物料堆码、高处作业防护、验收手续等。</w:t>
      </w:r>
    </w:p>
    <w:p w14:paraId="35066C44">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施工用电：重点抽查方案编审、特种作业人员证件、外电防护、接零保护、配电箱及线路、现场照明设置、验收手续等。</w:t>
      </w:r>
    </w:p>
    <w:p w14:paraId="3C0AE47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塔式起重机：重点抽查方案编审、特种作业人员证件、限位及保护装置、现场吊运、电气安全、多塔作业防护、日常维护及定期保养记录等。</w:t>
      </w:r>
    </w:p>
    <w:p w14:paraId="53E3C00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施工升降机：重点抽查方案编审、特种作业人员证件、临边防护、架体稳定性、电气安全、安全装置、荷载控制、日常维护及定期保养记录等。</w:t>
      </w:r>
    </w:p>
    <w:p w14:paraId="71F8308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建筑施工非特种升降设备：重点抽查方案编审、特种作业人员证件、设备检测报告、电气安全、安全装置、日常维护及定期保养记录等。</w:t>
      </w:r>
    </w:p>
    <w:p w14:paraId="11D6BB4F">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小型机具：重点抽查有关合格证件、入场安装验收手续、电气安全、摆放间距、现场安全使用情况等。</w:t>
      </w:r>
    </w:p>
    <w:p w14:paraId="31DD6DF2">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临边及洞口防护：重点抽查现场搭设情况、防护措施是否严密或稳固、日常维护情况等。</w:t>
      </w:r>
    </w:p>
    <w:p w14:paraId="435AEFB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防护用品：重点抽查有关合格证件、入场验收手续、现场使用情况等。</w:t>
      </w:r>
    </w:p>
    <w:p w14:paraId="688BAB7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施工围挡：重点抽查方案编审、基础设置、墙体搭设、验收手续等。</w:t>
      </w:r>
    </w:p>
    <w:p w14:paraId="6B2FBB79">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施工场地及道路：重点抽查道路硬化处理、排水设施、冲洗设置等。</w:t>
      </w:r>
    </w:p>
    <w:p w14:paraId="4427AA9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 xml:space="preserve">临时设施：重点抽查方案编制、现场搭设情况、验收手续等。  </w:t>
      </w:r>
    </w:p>
    <w:p w14:paraId="0B9D14C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消防保障：重点抽查消防实施入场验收、现场临设的布置和场地规划是否符合消防要求、消防器材的布置和管理、消防演练开展情况、在建主体内的消防工作等</w:t>
      </w:r>
      <w:r>
        <w:rPr>
          <w:rFonts w:hint="default" w:ascii="Times New Roman" w:hAnsi="Times New Roman" w:eastAsia="方正仿宋_GBK" w:cs="Times New Roman"/>
          <w:sz w:val="32"/>
          <w:szCs w:val="32"/>
          <w:lang w:eastAsia="zh-CN"/>
        </w:rPr>
        <w:t>。</w:t>
      </w:r>
    </w:p>
    <w:p w14:paraId="08704F1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六、监督检查计划实施</w:t>
      </w:r>
    </w:p>
    <w:p w14:paraId="55A175A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（一）日常监督检查</w:t>
      </w:r>
    </w:p>
    <w:p w14:paraId="6CC0E55D">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采取计划检查方式，原则上每月开展1次检查。对含有危险性较大分部分项工程的项目，可结合实际增加检查次数。</w:t>
      </w:r>
    </w:p>
    <w:p w14:paraId="064CC91A">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（二）专项监督检查</w:t>
      </w:r>
    </w:p>
    <w:p w14:paraId="7D8FA368">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1.编制专项检查方案。实施专项监督检查前，应当根据年度监督检查计划中拟定的检查内容，编制专项检查方案。</w:t>
      </w:r>
    </w:p>
    <w:p w14:paraId="057E65D2">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2.检查方式及内容。采取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的方式</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结合购买第三方安全专家技术服务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开展监督检查。</w:t>
      </w:r>
    </w:p>
    <w:p w14:paraId="7A32064C">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）计划实施变更调整</w:t>
      </w:r>
    </w:p>
    <w:p w14:paraId="2BEC9B16">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在年度监督检查计划实施期间，需增加检查内容的，应当在专项监督检查方案予以明确，结合年度监督检查计划开展。</w:t>
      </w:r>
    </w:p>
    <w:p w14:paraId="7D45C133">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七、工作要求</w:t>
      </w:r>
    </w:p>
    <w:p w14:paraId="142E13AC">
      <w:pPr>
        <w:keepNext w:val="0"/>
        <w:keepLines w:val="0"/>
        <w:pageBreakBefore w:val="0"/>
        <w:widowControl w:val="0"/>
        <w:kinsoku/>
        <w:wordWrap/>
        <w:overflowPunct/>
        <w:topLinePunct w:val="0"/>
        <w:autoSpaceDE/>
        <w:autoSpaceDN/>
        <w:bidi w:val="0"/>
        <w:spacing w:afterLines="0"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（一）加强</w:t>
      </w:r>
      <w:r>
        <w:rPr>
          <w:rFonts w:hint="default" w:ascii="Times New Roman" w:hAnsi="Times New Roman" w:eastAsia="方正楷体_GBK" w:cs="Times New Roman"/>
          <w:sz w:val="32"/>
          <w:szCs w:val="32"/>
          <w:lang w:val="en-US" w:eastAsia="zh-CN"/>
        </w:rPr>
        <w:t>组织</w:t>
      </w:r>
      <w:r>
        <w:rPr>
          <w:rFonts w:hint="default" w:ascii="Times New Roman" w:hAnsi="Times New Roman" w:eastAsia="方正楷体_GBK" w:cs="Times New Roman"/>
          <w:sz w:val="32"/>
          <w:szCs w:val="32"/>
        </w:rPr>
        <w:t>领导。</w:t>
      </w:r>
      <w:r>
        <w:rPr>
          <w:rFonts w:hint="default" w:ascii="Times New Roman" w:hAnsi="Times New Roman" w:eastAsia="方正仿宋_GBK" w:cs="Times New Roman"/>
          <w:color w:val="000000"/>
          <w:sz w:val="32"/>
          <w:szCs w:val="32"/>
        </w:rPr>
        <w:t>安全生产监督检查计划是安全生产监管工作</w:t>
      </w:r>
      <w:r>
        <w:rPr>
          <w:rFonts w:hint="default" w:ascii="Times New Roman" w:hAnsi="Times New Roman" w:eastAsia="方正仿宋_GBK" w:cs="Times New Roman"/>
          <w:color w:val="000000"/>
          <w:sz w:val="32"/>
          <w:szCs w:val="32"/>
          <w:lang w:val="en-US" w:eastAsia="zh-CN"/>
        </w:rPr>
        <w:t>具体开展</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color w:val="000000"/>
          <w:sz w:val="32"/>
          <w:szCs w:val="32"/>
          <w:lang w:val="en-US" w:eastAsia="zh-CN"/>
        </w:rPr>
        <w:t>行动指南，按计划开展安全生产监督检查</w:t>
      </w:r>
      <w:r>
        <w:rPr>
          <w:rFonts w:hint="default" w:ascii="Times New Roman" w:hAnsi="Times New Roman" w:eastAsia="方正仿宋_GBK" w:cs="Times New Roman"/>
          <w:color w:val="000000"/>
          <w:sz w:val="32"/>
          <w:szCs w:val="32"/>
        </w:rPr>
        <w:t>是贯彻执行安全生产法律法规、落实安全生产决策部署、加强安全生产监管工作的重大举措，</w:t>
      </w:r>
      <w:r>
        <w:rPr>
          <w:rFonts w:hint="default" w:ascii="Times New Roman" w:hAnsi="Times New Roman" w:eastAsia="方正仿宋_GBK" w:cs="Times New Roman"/>
          <w:color w:val="000000"/>
          <w:sz w:val="32"/>
          <w:szCs w:val="32"/>
          <w:lang w:val="en-US" w:eastAsia="zh-CN"/>
        </w:rPr>
        <w:t>县住房城乡建委</w:t>
      </w:r>
      <w:r>
        <w:rPr>
          <w:rFonts w:hint="default" w:ascii="Times New Roman" w:hAnsi="Times New Roman" w:eastAsia="方正仿宋_GBK" w:cs="Times New Roman"/>
          <w:color w:val="000000"/>
          <w:sz w:val="32"/>
          <w:szCs w:val="32"/>
        </w:rPr>
        <w:t>主要负责人亲自抓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分管负责人具体抓，带队开展督查检查；执法人员按计划落实监督检查和执法工作，确保监督检查计划落到实处</w:t>
      </w:r>
      <w:r>
        <w:rPr>
          <w:rFonts w:hint="default" w:ascii="Times New Roman" w:hAnsi="Times New Roman" w:eastAsia="方正仿宋_GBK" w:cs="Times New Roman"/>
          <w:color w:val="000000"/>
          <w:sz w:val="32"/>
          <w:szCs w:val="32"/>
        </w:rPr>
        <w:t>。</w:t>
      </w:r>
    </w:p>
    <w:p w14:paraId="5C16D762">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（二）统筹安排推进。</w:t>
      </w:r>
      <w:r>
        <w:rPr>
          <w:rFonts w:hint="default" w:ascii="Times New Roman" w:hAnsi="Times New Roman" w:eastAsia="方正仿宋_GBK" w:cs="Times New Roman"/>
          <w:sz w:val="32"/>
          <w:szCs w:val="32"/>
        </w:rPr>
        <w:t>要统筹安排好</w:t>
      </w:r>
      <w:r>
        <w:rPr>
          <w:rFonts w:hint="default" w:ascii="Times New Roman" w:hAnsi="Times New Roman" w:eastAsia="方正仿宋_GBK" w:cs="Times New Roman"/>
          <w:sz w:val="32"/>
          <w:szCs w:val="32"/>
          <w:lang w:val="en-US" w:eastAsia="zh-CN"/>
        </w:rPr>
        <w:t>县委、县政府</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市住房城乡建委</w:t>
      </w:r>
      <w:r>
        <w:rPr>
          <w:rFonts w:hint="default" w:ascii="Times New Roman" w:hAnsi="Times New Roman" w:eastAsia="方正仿宋_GBK" w:cs="Times New Roman"/>
          <w:sz w:val="32"/>
          <w:szCs w:val="32"/>
        </w:rPr>
        <w:t>等上级部署的各项工作任务，合理安排、适度调整，确保监督检查效果和上级部署工作任务的贯彻落实。</w:t>
      </w:r>
    </w:p>
    <w:p w14:paraId="6A218BC2">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公正廉洁自律</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要严格遵守执法职权法定、处罚法定和公正、公平的原则，依照法律、法规、规章规定的权限和程序开展执法工作。</w:t>
      </w:r>
      <w:r>
        <w:rPr>
          <w:rFonts w:hint="default" w:ascii="Times New Roman" w:hAnsi="Times New Roman" w:eastAsia="方正仿宋_GBK" w:cs="Times New Roman"/>
          <w:sz w:val="32"/>
          <w:szCs w:val="32"/>
          <w:lang w:val="en-US" w:eastAsia="zh-CN"/>
        </w:rPr>
        <w:t>执法人员必须坚守廉洁自律规定，严禁接受服务对象吃请、免费消费，严禁收受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红包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，严禁索要或变相索要服务对象财物，严禁以各种名义向服务对象发请柬或接受服务对象馈赠，严禁</w:t>
      </w:r>
      <w:r>
        <w:rPr>
          <w:rFonts w:hint="eastAsia" w:ascii="Times New Roman" w:hAnsi="Times New Roman" w:eastAsia="方正仿宋_GBK" w:cs="Times New Roman"/>
          <w:sz w:val="32"/>
          <w:szCs w:val="32"/>
          <w:lang w:val="en-US" w:eastAsia="zh-CN"/>
        </w:rPr>
        <w:t>以营利为</w:t>
      </w:r>
      <w:r>
        <w:rPr>
          <w:rFonts w:hint="default" w:ascii="Times New Roman" w:hAnsi="Times New Roman" w:eastAsia="方正仿宋_GBK" w:cs="Times New Roman"/>
          <w:sz w:val="32"/>
          <w:szCs w:val="32"/>
          <w:lang w:val="en-US" w:eastAsia="zh-CN"/>
        </w:rPr>
        <w:t>目的向服务对象推介劳务、材料、设备等，严禁以工作之便插手承揽工程。</w:t>
      </w:r>
    </w:p>
    <w:p w14:paraId="506476F1">
      <w:pPr>
        <w:pStyle w:val="2"/>
        <w:rPr>
          <w:rFonts w:hint="default" w:ascii="Times New Roman" w:hAnsi="Times New Roman"/>
          <w:lang w:val="en-US" w:eastAsia="zh-CN"/>
        </w:rPr>
      </w:pPr>
    </w:p>
    <w:p w14:paraId="3A8048F7">
      <w:pPr>
        <w:keepNext w:val="0"/>
        <w:keepLines w:val="0"/>
        <w:pageBreakBefore w:val="0"/>
        <w:widowControl w:val="0"/>
        <w:kinsoku/>
        <w:wordWrap/>
        <w:overflowPunct/>
        <w:topLinePunct w:val="0"/>
        <w:autoSpaceDE/>
        <w:autoSpaceDN/>
        <w:bidi w:val="0"/>
        <w:adjustRightInd w:val="0"/>
        <w:snapToGrid w:val="0"/>
        <w:spacing w:afterLines="0" w:line="594" w:lineRule="exact"/>
        <w:ind w:firstLine="640" w:firstLineChars="200"/>
        <w:textAlignment w:val="auto"/>
        <w:rPr>
          <w:rFonts w:hint="default" w:ascii="Times New Roman" w:hAnsi="Times New Roman" w:eastAsia="方正仿宋_GBK" w:cs="Times New Roman"/>
          <w:spacing w:val="-20"/>
          <w:sz w:val="32"/>
          <w:szCs w:val="32"/>
        </w:rPr>
        <w:sectPr>
          <w:footerReference r:id="rId3" w:type="default"/>
          <w:pgSz w:w="11906" w:h="16838"/>
          <w:pgMar w:top="1984" w:right="1446" w:bottom="1644" w:left="1446" w:header="851" w:footer="992" w:gutter="0"/>
          <w:pgNumType w:fmt="decimal"/>
          <w:cols w:space="720" w:num="1"/>
          <w:rtlGutter w:val="0"/>
          <w:docGrid w:type="lines" w:linePitch="440" w:charSpace="0"/>
        </w:sectPr>
      </w:pPr>
      <w:r>
        <w:rPr>
          <w:rFonts w:hint="default" w:ascii="Times New Roman" w:hAnsi="Times New Roman" w:eastAsia="方正仿宋_GBK" w:cs="Times New Roman"/>
          <w:sz w:val="32"/>
          <w:szCs w:val="32"/>
        </w:rPr>
        <w:t>附</w:t>
      </w:r>
      <w:r>
        <w:rPr>
          <w:rFonts w:hint="eastAsia"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pacing w:val="-20"/>
          <w:sz w:val="32"/>
          <w:szCs w:val="32"/>
          <w:lang w:val="en-US" w:eastAsia="zh-CN"/>
        </w:rPr>
        <w:t>沙坪镇</w:t>
      </w:r>
      <w:r>
        <w:rPr>
          <w:rFonts w:hint="default" w:ascii="Times New Roman" w:hAnsi="Times New Roman" w:eastAsia="方正仿宋_GBK" w:cs="Times New Roman"/>
          <w:spacing w:val="-20"/>
          <w:sz w:val="32"/>
          <w:szCs w:val="32"/>
        </w:rPr>
        <w:t>202</w:t>
      </w:r>
      <w:r>
        <w:rPr>
          <w:rFonts w:hint="eastAsia" w:ascii="Times New Roman" w:hAnsi="Times New Roman" w:eastAsia="方正仿宋_GBK" w:cs="Times New Roman"/>
          <w:spacing w:val="-20"/>
          <w:sz w:val="32"/>
          <w:szCs w:val="32"/>
          <w:lang w:val="en-US" w:eastAsia="zh-CN"/>
        </w:rPr>
        <w:t>5</w:t>
      </w:r>
      <w:r>
        <w:rPr>
          <w:rFonts w:hint="default" w:ascii="Times New Roman" w:hAnsi="Times New Roman" w:eastAsia="方正仿宋_GBK" w:cs="Times New Roman"/>
          <w:spacing w:val="-20"/>
          <w:sz w:val="32"/>
          <w:szCs w:val="32"/>
        </w:rPr>
        <w:t>年</w:t>
      </w:r>
      <w:r>
        <w:rPr>
          <w:rFonts w:hint="eastAsia" w:ascii="Times New Roman" w:hAnsi="Times New Roman" w:eastAsia="方正仿宋_GBK" w:cs="Times New Roman"/>
          <w:spacing w:val="-20"/>
          <w:sz w:val="32"/>
          <w:szCs w:val="32"/>
          <w:lang w:val="en-US" w:eastAsia="zh-CN"/>
        </w:rPr>
        <w:t>村镇建设服务中心</w:t>
      </w:r>
      <w:r>
        <w:rPr>
          <w:rFonts w:hint="default" w:ascii="Times New Roman" w:hAnsi="Times New Roman" w:eastAsia="方正仿宋_GBK" w:cs="Times New Roman"/>
          <w:spacing w:val="-20"/>
          <w:sz w:val="32"/>
          <w:szCs w:val="32"/>
        </w:rPr>
        <w:t>安全生产监督检查计划表</w:t>
      </w:r>
    </w:p>
    <w:p w14:paraId="20D09DC2">
      <w:pPr>
        <w:spacing w:line="240" w:lineRule="auto"/>
        <w:ind w:firstLine="0" w:firstLine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w:t>
      </w:r>
      <w:r>
        <w:rPr>
          <w:rFonts w:hint="eastAsia" w:ascii="Times New Roman" w:hAnsi="Times New Roman" w:eastAsia="方正黑体_GBK" w:cs="Times New Roman"/>
          <w:sz w:val="32"/>
          <w:szCs w:val="32"/>
          <w:lang w:val="en-US" w:eastAsia="zh-CN"/>
        </w:rPr>
        <w:t>表</w:t>
      </w:r>
    </w:p>
    <w:p w14:paraId="3ECC8DB6">
      <w:pPr>
        <w:spacing w:line="360" w:lineRule="auto"/>
        <w:ind w:firstLine="0" w:firstLineChars="0"/>
        <w:jc w:val="center"/>
        <w:rPr>
          <w:rFonts w:hint="default" w:ascii="Times New Roman" w:hAnsi="Times New Roman" w:eastAsia="方正小标宋_GBK" w:cs="Times New Roman"/>
          <w:sz w:val="30"/>
          <w:szCs w:val="30"/>
          <w:lang w:val="en-US" w:eastAsia="zh-CN"/>
        </w:rPr>
      </w:pPr>
      <w:r>
        <w:rPr>
          <w:rFonts w:hint="default" w:ascii="Times New Roman" w:hAnsi="Times New Roman" w:eastAsia="方正小标宋_GBK" w:cs="Times New Roman"/>
          <w:sz w:val="30"/>
          <w:szCs w:val="30"/>
          <w:lang w:val="en-US" w:eastAsia="zh-CN"/>
        </w:rPr>
        <w:t>202</w:t>
      </w:r>
      <w:r>
        <w:rPr>
          <w:rFonts w:hint="eastAsia" w:ascii="Times New Roman" w:hAnsi="Times New Roman" w:eastAsia="方正小标宋_GBK" w:cs="Times New Roman"/>
          <w:sz w:val="30"/>
          <w:szCs w:val="30"/>
          <w:lang w:val="en-US" w:eastAsia="zh-CN"/>
        </w:rPr>
        <w:t>5</w:t>
      </w:r>
      <w:r>
        <w:rPr>
          <w:rFonts w:hint="default" w:ascii="Times New Roman" w:hAnsi="Times New Roman" w:eastAsia="方正小标宋_GBK" w:cs="Times New Roman"/>
          <w:sz w:val="30"/>
          <w:szCs w:val="30"/>
          <w:lang w:val="en-US" w:eastAsia="zh-CN"/>
        </w:rPr>
        <w:t>年</w:t>
      </w:r>
      <w:r>
        <w:rPr>
          <w:rFonts w:hint="eastAsia" w:ascii="Times New Roman" w:hAnsi="Times New Roman" w:eastAsia="方正小标宋_GBK" w:cs="Times New Roman"/>
          <w:sz w:val="30"/>
          <w:szCs w:val="30"/>
          <w:lang w:val="en-US" w:eastAsia="zh-CN"/>
        </w:rPr>
        <w:t>村镇建设服务中心</w:t>
      </w:r>
      <w:r>
        <w:rPr>
          <w:rFonts w:hint="default" w:ascii="Times New Roman" w:hAnsi="Times New Roman" w:eastAsia="方正小标宋_GBK" w:cs="Times New Roman"/>
          <w:sz w:val="30"/>
          <w:szCs w:val="30"/>
          <w:lang w:val="en-US" w:eastAsia="zh-CN"/>
        </w:rPr>
        <w:t>安全生产监督检查计划表</w:t>
      </w:r>
    </w:p>
    <w:tbl>
      <w:tblPr>
        <w:tblStyle w:val="18"/>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73"/>
        <w:gridCol w:w="5794"/>
        <w:gridCol w:w="1200"/>
        <w:gridCol w:w="606"/>
      </w:tblGrid>
      <w:tr w14:paraId="00A6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 w:type="dxa"/>
            <w:vAlign w:val="center"/>
          </w:tcPr>
          <w:p w14:paraId="674C7EB0">
            <w:pPr>
              <w:widowControl w:val="0"/>
              <w:wordWrap/>
              <w:adjustRightInd w:val="0"/>
              <w:snapToGrid w:val="0"/>
              <w:spacing w:line="240" w:lineRule="auto"/>
              <w:ind w:firstLine="0" w:firstLineChars="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检查</w:t>
            </w:r>
          </w:p>
          <w:p w14:paraId="40E20EA2">
            <w:pPr>
              <w:widowControl w:val="0"/>
              <w:wordWrap/>
              <w:adjustRightInd w:val="0"/>
              <w:snapToGrid w:val="0"/>
              <w:spacing w:line="240" w:lineRule="auto"/>
              <w:ind w:firstLine="0" w:firstLineChars="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时间</w:t>
            </w:r>
          </w:p>
        </w:tc>
        <w:tc>
          <w:tcPr>
            <w:tcW w:w="1373" w:type="dxa"/>
            <w:vAlign w:val="center"/>
          </w:tcPr>
          <w:p w14:paraId="7EE6FF67">
            <w:pPr>
              <w:widowControl w:val="0"/>
              <w:wordWrap/>
              <w:adjustRightInd w:val="0"/>
              <w:snapToGrid w:val="0"/>
              <w:spacing w:line="240" w:lineRule="auto"/>
              <w:ind w:firstLine="0" w:firstLineChars="0"/>
              <w:jc w:val="center"/>
              <w:textAlignment w:val="auto"/>
              <w:rPr>
                <w:rFonts w:hint="default" w:ascii="Times New Roman" w:hAnsi="Times New Roman" w:eastAsia="方正黑体_GBK" w:cs="Times New Roman"/>
                <w:sz w:val="24"/>
                <w:szCs w:val="24"/>
              </w:rPr>
            </w:pPr>
            <w:r>
              <w:rPr>
                <w:rFonts w:hint="eastAsia" w:ascii="Times New Roman" w:hAnsi="Times New Roman" w:eastAsia="方正黑体_GBK" w:cs="Times New Roman"/>
                <w:sz w:val="24"/>
                <w:szCs w:val="24"/>
                <w:lang w:val="en-US" w:eastAsia="zh-CN"/>
              </w:rPr>
              <w:t>重点</w:t>
            </w:r>
            <w:r>
              <w:rPr>
                <w:rFonts w:hint="default" w:ascii="Times New Roman" w:hAnsi="Times New Roman" w:eastAsia="方正黑体_GBK" w:cs="Times New Roman"/>
                <w:sz w:val="24"/>
                <w:szCs w:val="24"/>
              </w:rPr>
              <w:t>检查类别</w:t>
            </w:r>
          </w:p>
        </w:tc>
        <w:tc>
          <w:tcPr>
            <w:tcW w:w="5794" w:type="dxa"/>
            <w:vAlign w:val="center"/>
          </w:tcPr>
          <w:p w14:paraId="35BD7743">
            <w:pPr>
              <w:widowControl w:val="0"/>
              <w:wordWrap/>
              <w:adjustRightInd w:val="0"/>
              <w:snapToGrid w:val="0"/>
              <w:spacing w:line="240" w:lineRule="auto"/>
              <w:ind w:firstLine="0" w:firstLineChars="0"/>
              <w:jc w:val="center"/>
              <w:textAlignment w:val="auto"/>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lang w:val="en-US" w:eastAsia="zh-CN"/>
              </w:rPr>
              <w:t>主要</w:t>
            </w:r>
            <w:r>
              <w:rPr>
                <w:rFonts w:hint="default" w:ascii="Times New Roman" w:hAnsi="Times New Roman" w:eastAsia="方正黑体_GBK" w:cs="Times New Roman"/>
                <w:sz w:val="24"/>
                <w:szCs w:val="24"/>
              </w:rPr>
              <w:t>检查工程</w:t>
            </w:r>
            <w:r>
              <w:rPr>
                <w:rFonts w:hint="eastAsia" w:ascii="Times New Roman" w:hAnsi="Times New Roman" w:eastAsia="方正黑体_GBK" w:cs="Times New Roman"/>
                <w:sz w:val="24"/>
                <w:szCs w:val="24"/>
                <w:lang w:eastAsia="zh-CN"/>
              </w:rPr>
              <w:t>（</w:t>
            </w:r>
            <w:r>
              <w:rPr>
                <w:rFonts w:hint="eastAsia" w:ascii="Times New Roman" w:hAnsi="Times New Roman" w:eastAsia="方正黑体_GBK" w:cs="Times New Roman"/>
                <w:sz w:val="24"/>
                <w:szCs w:val="24"/>
                <w:lang w:val="en-US" w:eastAsia="zh-CN"/>
              </w:rPr>
              <w:t>村别</w:t>
            </w:r>
            <w:r>
              <w:rPr>
                <w:rFonts w:hint="eastAsia" w:ascii="Times New Roman" w:hAnsi="Times New Roman" w:eastAsia="方正黑体_GBK" w:cs="Times New Roman"/>
                <w:sz w:val="24"/>
                <w:szCs w:val="24"/>
                <w:lang w:eastAsia="zh-CN"/>
              </w:rPr>
              <w:t>）</w:t>
            </w:r>
          </w:p>
        </w:tc>
        <w:tc>
          <w:tcPr>
            <w:tcW w:w="1200" w:type="dxa"/>
            <w:vAlign w:val="center"/>
          </w:tcPr>
          <w:p w14:paraId="36D9CC2A">
            <w:pPr>
              <w:widowControl w:val="0"/>
              <w:wordWrap/>
              <w:adjustRightInd w:val="0"/>
              <w:snapToGrid w:val="0"/>
              <w:spacing w:line="240" w:lineRule="auto"/>
              <w:ind w:firstLine="0" w:firstLineChars="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执法人员</w:t>
            </w:r>
          </w:p>
        </w:tc>
        <w:tc>
          <w:tcPr>
            <w:tcW w:w="606" w:type="dxa"/>
            <w:vAlign w:val="center"/>
          </w:tcPr>
          <w:p w14:paraId="34786875">
            <w:pPr>
              <w:widowControl w:val="0"/>
              <w:wordWrap/>
              <w:adjustRightInd w:val="0"/>
              <w:snapToGrid w:val="0"/>
              <w:spacing w:line="240" w:lineRule="auto"/>
              <w:ind w:firstLine="0" w:firstLineChars="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备注</w:t>
            </w:r>
          </w:p>
        </w:tc>
      </w:tr>
      <w:tr w14:paraId="523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 w:type="dxa"/>
            <w:vAlign w:val="center"/>
          </w:tcPr>
          <w:p w14:paraId="524EF046">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-3</w:t>
            </w:r>
          </w:p>
          <w:p w14:paraId="10F0A8D9">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月</w:t>
            </w:r>
          </w:p>
        </w:tc>
        <w:tc>
          <w:tcPr>
            <w:tcW w:w="1373" w:type="dxa"/>
            <w:vAlign w:val="center"/>
          </w:tcPr>
          <w:p w14:paraId="5EF31180">
            <w:pPr>
              <w:widowControl w:val="0"/>
              <w:wordWrap/>
              <w:adjustRightInd w:val="0"/>
              <w:snapToGrid w:val="0"/>
              <w:spacing w:line="240" w:lineRule="auto"/>
              <w:ind w:firstLine="0" w:firstLineChars="0"/>
              <w:jc w:val="lef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施工用电、安全标志标识</w:t>
            </w:r>
          </w:p>
        </w:tc>
        <w:tc>
          <w:tcPr>
            <w:tcW w:w="5794" w:type="dxa"/>
            <w:vAlign w:val="center"/>
          </w:tcPr>
          <w:p w14:paraId="682C2A65">
            <w:pPr>
              <w:widowControl w:val="0"/>
              <w:wordWrap/>
              <w:adjustRightInd w:val="0"/>
              <w:snapToGrid w:val="0"/>
              <w:spacing w:line="260" w:lineRule="exact"/>
              <w:ind w:left="0" w:leftChars="0"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永胜村、红旗村、毕桥村、乐天村、竹鸡村、母安社区、李白村、永胜村、环大村、人和村、江石村、前进村、白杨村、六角村、双塘村、双坪村、沙坪社区、平乐村、安坪村所属建筑项目</w:t>
            </w:r>
          </w:p>
        </w:tc>
        <w:tc>
          <w:tcPr>
            <w:tcW w:w="1200" w:type="dxa"/>
            <w:vAlign w:val="center"/>
          </w:tcPr>
          <w:p w14:paraId="0BA1BDE0">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黑体"/>
                <w:sz w:val="28"/>
                <w:szCs w:val="28"/>
                <w:lang w:val="en-US" w:eastAsia="zh-CN"/>
              </w:rPr>
            </w:pPr>
            <w:r>
              <w:rPr>
                <w:rFonts w:hint="eastAsia" w:ascii="Times New Roman" w:hAnsi="Times New Roman" w:eastAsia="方正仿宋_GBK" w:cs="黑体"/>
                <w:sz w:val="28"/>
                <w:szCs w:val="28"/>
                <w:lang w:val="en-US" w:eastAsia="zh-CN"/>
              </w:rPr>
              <w:t>王才维</w:t>
            </w:r>
          </w:p>
          <w:p w14:paraId="5A4FED5C">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黑体"/>
                <w:sz w:val="28"/>
                <w:szCs w:val="28"/>
                <w:lang w:val="en-US" w:eastAsia="zh-CN"/>
              </w:rPr>
            </w:pPr>
            <w:r>
              <w:rPr>
                <w:rFonts w:hint="eastAsia" w:ascii="Times New Roman" w:hAnsi="Times New Roman" w:eastAsia="方正仿宋_GBK" w:cs="黑体"/>
                <w:sz w:val="28"/>
                <w:szCs w:val="28"/>
                <w:lang w:val="en-US" w:eastAsia="zh-CN"/>
              </w:rPr>
              <w:t>陈义宽王天军李和谦</w:t>
            </w:r>
          </w:p>
        </w:tc>
        <w:tc>
          <w:tcPr>
            <w:tcW w:w="606" w:type="dxa"/>
            <w:vAlign w:val="center"/>
          </w:tcPr>
          <w:p w14:paraId="0891825F">
            <w:pPr>
              <w:widowControl w:val="0"/>
              <w:wordWrap/>
              <w:adjustRightInd w:val="0"/>
              <w:snapToGrid w:val="0"/>
              <w:spacing w:line="240" w:lineRule="auto"/>
              <w:ind w:firstLine="0" w:firstLineChars="0"/>
              <w:jc w:val="left"/>
              <w:textAlignment w:val="auto"/>
              <w:rPr>
                <w:rFonts w:hint="default" w:ascii="Times New Roman" w:hAnsi="Times New Roman" w:eastAsia="方正仿宋_GBK" w:cs="Times New Roman"/>
                <w:sz w:val="24"/>
                <w:szCs w:val="24"/>
              </w:rPr>
            </w:pPr>
          </w:p>
        </w:tc>
      </w:tr>
      <w:tr w14:paraId="377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 w:type="dxa"/>
            <w:vAlign w:val="center"/>
          </w:tcPr>
          <w:p w14:paraId="68952A05">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4-6</w:t>
            </w:r>
            <w:r>
              <w:rPr>
                <w:rFonts w:hint="default" w:ascii="Times New Roman" w:hAnsi="Times New Roman" w:eastAsia="方正仿宋_GBK" w:cs="Times New Roman"/>
                <w:sz w:val="24"/>
                <w:szCs w:val="24"/>
                <w:lang w:val="en-US" w:eastAsia="zh-CN"/>
              </w:rPr>
              <w:t>月</w:t>
            </w:r>
          </w:p>
        </w:tc>
        <w:tc>
          <w:tcPr>
            <w:tcW w:w="1373" w:type="dxa"/>
            <w:vAlign w:val="center"/>
          </w:tcPr>
          <w:p w14:paraId="68283B89">
            <w:pPr>
              <w:widowControl w:val="0"/>
              <w:wordWrap/>
              <w:adjustRightInd w:val="0"/>
              <w:snapToGrid w:val="0"/>
              <w:spacing w:line="240" w:lineRule="auto"/>
              <w:ind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保险绳、安全帽和</w:t>
            </w:r>
            <w:r>
              <w:rPr>
                <w:rFonts w:hint="default" w:ascii="Times New Roman" w:hAnsi="Times New Roman" w:eastAsia="方正仿宋_GBK" w:cs="Times New Roman"/>
                <w:sz w:val="24"/>
                <w:szCs w:val="24"/>
                <w:lang w:val="en-US" w:eastAsia="zh-CN"/>
              </w:rPr>
              <w:t>脚手架、模板支架</w:t>
            </w:r>
            <w:r>
              <w:rPr>
                <w:rFonts w:hint="eastAsia" w:ascii="Times New Roman" w:hAnsi="Times New Roman" w:eastAsia="方正仿宋_GBK" w:cs="Times New Roman"/>
                <w:sz w:val="24"/>
                <w:szCs w:val="24"/>
                <w:lang w:val="en-US" w:eastAsia="zh-CN"/>
              </w:rPr>
              <w:t>和软硬防护</w:t>
            </w:r>
          </w:p>
        </w:tc>
        <w:tc>
          <w:tcPr>
            <w:tcW w:w="5794" w:type="dxa"/>
            <w:vAlign w:val="center"/>
          </w:tcPr>
          <w:p w14:paraId="34FF7ACE">
            <w:pPr>
              <w:widowControl w:val="0"/>
              <w:wordWrap/>
              <w:adjustRightInd w:val="0"/>
              <w:snapToGrid w:val="0"/>
              <w:spacing w:line="26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永胜村、红旗村、毕桥村、乐天村、竹鸡村、母安社区、李白村、永胜村、环大村、人和村、江石村、前进村、白杨村、六角村、双塘村、双坪村、沙坪社区、平乐村、安坪村所属建筑项目</w:t>
            </w:r>
          </w:p>
        </w:tc>
        <w:tc>
          <w:tcPr>
            <w:tcW w:w="1200" w:type="dxa"/>
            <w:vAlign w:val="center"/>
          </w:tcPr>
          <w:p w14:paraId="6B6AF3BC">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黑体"/>
                <w:sz w:val="28"/>
                <w:szCs w:val="28"/>
              </w:rPr>
            </w:pPr>
            <w:r>
              <w:rPr>
                <w:rFonts w:hint="eastAsia" w:ascii="Times New Roman" w:hAnsi="Times New Roman" w:eastAsia="方正仿宋_GBK" w:cs="黑体"/>
                <w:sz w:val="28"/>
                <w:szCs w:val="28"/>
                <w:lang w:val="en-US" w:eastAsia="zh-CN"/>
              </w:rPr>
              <w:t>王才维陈义宽王天军李和谦</w:t>
            </w:r>
          </w:p>
        </w:tc>
        <w:tc>
          <w:tcPr>
            <w:tcW w:w="606" w:type="dxa"/>
            <w:vAlign w:val="center"/>
          </w:tcPr>
          <w:p w14:paraId="7A78B21A">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rPr>
            </w:pPr>
          </w:p>
        </w:tc>
      </w:tr>
      <w:tr w14:paraId="1C8E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 w:type="dxa"/>
            <w:vAlign w:val="center"/>
          </w:tcPr>
          <w:p w14:paraId="1EE36F1E">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7-9</w:t>
            </w:r>
            <w:r>
              <w:rPr>
                <w:rFonts w:hint="default" w:ascii="Times New Roman" w:hAnsi="Times New Roman" w:eastAsia="方正仿宋_GBK" w:cs="Times New Roman"/>
                <w:sz w:val="24"/>
                <w:szCs w:val="24"/>
                <w:lang w:val="en-US" w:eastAsia="zh-CN"/>
              </w:rPr>
              <w:t>月</w:t>
            </w:r>
          </w:p>
        </w:tc>
        <w:tc>
          <w:tcPr>
            <w:tcW w:w="1373" w:type="dxa"/>
            <w:vAlign w:val="center"/>
          </w:tcPr>
          <w:p w14:paraId="02AC67F6">
            <w:pPr>
              <w:widowControl w:val="0"/>
              <w:wordWrap/>
              <w:adjustRightInd w:val="0"/>
              <w:snapToGrid w:val="0"/>
              <w:spacing w:line="240" w:lineRule="auto"/>
              <w:ind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材料吊装和施工临边防护、安全标识</w:t>
            </w:r>
          </w:p>
        </w:tc>
        <w:tc>
          <w:tcPr>
            <w:tcW w:w="5794" w:type="dxa"/>
            <w:vAlign w:val="center"/>
          </w:tcPr>
          <w:p w14:paraId="2B0230FB">
            <w:pPr>
              <w:widowControl w:val="0"/>
              <w:wordWrap/>
              <w:adjustRightInd w:val="0"/>
              <w:snapToGrid w:val="0"/>
              <w:spacing w:line="26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永胜村、红旗村、毕桥村、乐天村、竹鸡村、母安社区、李白村、永胜村、环大村、人和村、江石村、前进村、白杨村、六角村、双塘村、双坪村、沙坪社区、平乐村、安坪村所属建筑项目</w:t>
            </w:r>
          </w:p>
        </w:tc>
        <w:tc>
          <w:tcPr>
            <w:tcW w:w="1200" w:type="dxa"/>
            <w:vAlign w:val="center"/>
          </w:tcPr>
          <w:p w14:paraId="15B7B17A">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8"/>
                <w:szCs w:val="28"/>
              </w:rPr>
            </w:pPr>
            <w:r>
              <w:rPr>
                <w:rFonts w:hint="eastAsia" w:ascii="Times New Roman" w:hAnsi="Times New Roman" w:eastAsia="方正仿宋_GBK" w:cs="黑体"/>
                <w:sz w:val="28"/>
                <w:szCs w:val="28"/>
                <w:lang w:val="en-US" w:eastAsia="zh-CN"/>
              </w:rPr>
              <w:t>王才维陈义宽王天军李和谦</w:t>
            </w:r>
          </w:p>
        </w:tc>
        <w:tc>
          <w:tcPr>
            <w:tcW w:w="606" w:type="dxa"/>
            <w:vAlign w:val="center"/>
          </w:tcPr>
          <w:p w14:paraId="00CBF109">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rPr>
            </w:pPr>
          </w:p>
        </w:tc>
      </w:tr>
      <w:tr w14:paraId="2C15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7968DFBB">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10-12</w:t>
            </w:r>
            <w:r>
              <w:rPr>
                <w:rFonts w:hint="default" w:ascii="Times New Roman" w:hAnsi="Times New Roman" w:eastAsia="方正仿宋_GBK" w:cs="Times New Roman"/>
                <w:sz w:val="24"/>
                <w:szCs w:val="24"/>
                <w:lang w:val="en-US" w:eastAsia="zh-CN"/>
              </w:rPr>
              <w:t>月</w:t>
            </w:r>
          </w:p>
        </w:tc>
        <w:tc>
          <w:tcPr>
            <w:tcW w:w="1373" w:type="dxa"/>
            <w:tcBorders>
              <w:top w:val="single" w:color="auto" w:sz="4" w:space="0"/>
              <w:left w:val="single" w:color="auto" w:sz="4" w:space="0"/>
              <w:bottom w:val="single" w:color="auto" w:sz="4" w:space="0"/>
              <w:right w:val="single" w:color="auto" w:sz="4" w:space="0"/>
            </w:tcBorders>
            <w:vAlign w:val="center"/>
          </w:tcPr>
          <w:p w14:paraId="278F4F57">
            <w:pPr>
              <w:widowControl w:val="0"/>
              <w:wordWrap/>
              <w:adjustRightInd w:val="0"/>
              <w:snapToGrid w:val="0"/>
              <w:spacing w:line="240" w:lineRule="auto"/>
              <w:ind w:firstLine="0" w:firstLineChars="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基坑、</w:t>
            </w:r>
            <w:r>
              <w:rPr>
                <w:rFonts w:hint="eastAsia" w:ascii="Times New Roman" w:hAnsi="Times New Roman" w:eastAsia="方正仿宋_GBK" w:cs="Times New Roman"/>
                <w:sz w:val="24"/>
                <w:szCs w:val="24"/>
                <w:lang w:val="en-US" w:eastAsia="zh-CN"/>
              </w:rPr>
              <w:t>高切坡挖孔桩安全防护</w:t>
            </w:r>
          </w:p>
        </w:tc>
        <w:tc>
          <w:tcPr>
            <w:tcW w:w="5794" w:type="dxa"/>
            <w:tcBorders>
              <w:top w:val="single" w:color="auto" w:sz="4" w:space="0"/>
              <w:left w:val="single" w:color="auto" w:sz="4" w:space="0"/>
              <w:bottom w:val="single" w:color="auto" w:sz="4" w:space="0"/>
              <w:right w:val="single" w:color="auto" w:sz="4" w:space="0"/>
            </w:tcBorders>
            <w:vAlign w:val="center"/>
          </w:tcPr>
          <w:p w14:paraId="0BC2BAD2">
            <w:pPr>
              <w:widowControl w:val="0"/>
              <w:wordWrap/>
              <w:adjustRightInd w:val="0"/>
              <w:snapToGrid w:val="0"/>
              <w:spacing w:line="260" w:lineRule="exact"/>
              <w:ind w:right="0"/>
              <w:jc w:val="left"/>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永胜村、红旗村、毕桥村、乐天村、竹鸡村、母安社区、李白村、永胜村、环大村、人和村、江石村、前进村、白杨村、六角村、双塘村、双坪村、沙坪社区、平乐村、安坪村所属建筑项目</w:t>
            </w:r>
          </w:p>
        </w:tc>
        <w:tc>
          <w:tcPr>
            <w:tcW w:w="1200" w:type="dxa"/>
            <w:tcBorders>
              <w:top w:val="single" w:color="auto" w:sz="4" w:space="0"/>
              <w:left w:val="single" w:color="auto" w:sz="4" w:space="0"/>
              <w:bottom w:val="single" w:color="auto" w:sz="4" w:space="0"/>
              <w:right w:val="single" w:color="auto" w:sz="4" w:space="0"/>
            </w:tcBorders>
            <w:vAlign w:val="center"/>
          </w:tcPr>
          <w:p w14:paraId="0E716A1B">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黑体"/>
                <w:sz w:val="28"/>
                <w:szCs w:val="28"/>
                <w:lang w:val="en-US" w:eastAsia="zh-CN"/>
              </w:rPr>
              <w:t>王才维陈义宽王天军李和谦</w:t>
            </w:r>
          </w:p>
        </w:tc>
        <w:tc>
          <w:tcPr>
            <w:tcW w:w="606" w:type="dxa"/>
            <w:tcBorders>
              <w:top w:val="single" w:color="auto" w:sz="4" w:space="0"/>
              <w:left w:val="single" w:color="auto" w:sz="4" w:space="0"/>
              <w:bottom w:val="single" w:color="auto" w:sz="4" w:space="0"/>
              <w:right w:val="single" w:color="auto" w:sz="4" w:space="0"/>
            </w:tcBorders>
            <w:vAlign w:val="center"/>
          </w:tcPr>
          <w:p w14:paraId="0278E443">
            <w:pPr>
              <w:widowControl w:val="0"/>
              <w:wordWrap/>
              <w:adjustRightInd w:val="0"/>
              <w:snapToGrid w:val="0"/>
              <w:spacing w:line="240" w:lineRule="auto"/>
              <w:ind w:firstLine="0" w:firstLineChars="0"/>
              <w:jc w:val="center"/>
              <w:textAlignment w:val="auto"/>
              <w:rPr>
                <w:rFonts w:hint="default" w:ascii="Times New Roman" w:hAnsi="Times New Roman" w:eastAsia="方正仿宋_GBK" w:cs="Times New Roman"/>
                <w:sz w:val="24"/>
                <w:szCs w:val="24"/>
              </w:rPr>
            </w:pPr>
          </w:p>
        </w:tc>
      </w:tr>
    </w:tbl>
    <w:p w14:paraId="1ED0EC96">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65E8BBCC">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287FCECF">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00A5E265">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62B51657">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61ECE271">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219EA8BC">
      <w:pPr>
        <w:widowControl w:val="0"/>
        <w:autoSpaceDE w:val="0"/>
        <w:autoSpaceDN w:val="0"/>
        <w:adjustRightInd w:val="0"/>
        <w:jc w:val="left"/>
        <w:rPr>
          <w:rFonts w:hint="eastAsia" w:ascii="Times New Roman" w:hAnsi="Times New Roman" w:eastAsia="宋体" w:cs="宋体"/>
          <w:b/>
          <w:bCs/>
          <w:color w:val="000000"/>
          <w:sz w:val="32"/>
          <w:szCs w:val="32"/>
          <w:lang w:val="en-US" w:eastAsia="zh-CN" w:bidi="ar-SA"/>
        </w:rPr>
      </w:pPr>
    </w:p>
    <w:p w14:paraId="710979D7">
      <w:pPr>
        <w:adjustRightInd w:val="0"/>
        <w:snapToGrid w:val="0"/>
        <w:spacing w:line="560" w:lineRule="exact"/>
        <w:jc w:val="left"/>
        <w:rPr>
          <w:rFonts w:hint="eastAsia" w:ascii="Times New Roman" w:hAnsi="Times New Roman" w:eastAsia="方正黑体_GBK" w:cs="方正黑体_GBK"/>
          <w:b w:val="0"/>
          <w:bCs w:val="0"/>
          <w:color w:val="000000"/>
          <w:sz w:val="32"/>
          <w:szCs w:val="32"/>
          <w:lang w:val="en-US" w:eastAsia="zh-CN"/>
        </w:rPr>
      </w:pPr>
      <w:r>
        <w:rPr>
          <w:rFonts w:hint="eastAsia" w:ascii="Times New Roman" w:hAnsi="Times New Roman" w:eastAsia="方正黑体_GBK" w:cs="方正黑体_GBK"/>
          <w:b w:val="0"/>
          <w:bCs w:val="0"/>
          <w:color w:val="000000"/>
          <w:sz w:val="32"/>
          <w:szCs w:val="32"/>
          <w:lang w:val="en-US" w:eastAsia="zh-CN"/>
        </w:rPr>
        <w:t>附件4</w:t>
      </w:r>
    </w:p>
    <w:p w14:paraId="3361C548">
      <w:pPr>
        <w:widowControl w:val="0"/>
        <w:ind w:firstLine="567"/>
        <w:jc w:val="both"/>
        <w:rPr>
          <w:rFonts w:hint="eastAsia" w:ascii="Times New Roman" w:hAnsi="Times New Roman" w:eastAsia="方正仿宋_GBK" w:cs="黑体"/>
          <w:kern w:val="2"/>
          <w:sz w:val="32"/>
          <w:szCs w:val="24"/>
          <w:lang w:val="en-US" w:eastAsia="zh-CN" w:bidi="ar-SA"/>
        </w:rPr>
      </w:pPr>
    </w:p>
    <w:p w14:paraId="418B9B7F">
      <w:pPr>
        <w:adjustRightInd w:val="0"/>
        <w:snapToGrid w:val="0"/>
        <w:spacing w:line="560" w:lineRule="exact"/>
        <w:jc w:val="center"/>
        <w:rPr>
          <w:rFonts w:hint="eastAsia" w:ascii="Times New Roman" w:hAnsi="Times New Roman" w:eastAsia="方正小标宋_GBK" w:cs="方正小标宋_GBK"/>
          <w:b w:val="0"/>
          <w:bCs w:val="0"/>
          <w:color w:val="000000"/>
          <w:sz w:val="44"/>
          <w:szCs w:val="44"/>
        </w:rPr>
      </w:pPr>
      <w:r>
        <w:rPr>
          <w:rFonts w:hint="eastAsia" w:ascii="Times New Roman" w:hAnsi="Times New Roman" w:eastAsia="方正小标宋_GBK" w:cs="方正小标宋_GBK"/>
          <w:b w:val="0"/>
          <w:bCs w:val="0"/>
          <w:color w:val="000000"/>
          <w:sz w:val="44"/>
          <w:szCs w:val="44"/>
          <w:lang w:val="en-US" w:eastAsia="zh-CN"/>
        </w:rPr>
        <w:t>沙坪镇</w:t>
      </w:r>
      <w:r>
        <w:rPr>
          <w:rFonts w:hint="eastAsia" w:ascii="Times New Roman" w:hAnsi="Times New Roman" w:eastAsia="方正小标宋_GBK" w:cs="方正小标宋_GBK"/>
          <w:b w:val="0"/>
          <w:bCs w:val="0"/>
          <w:color w:val="000000"/>
          <w:sz w:val="44"/>
          <w:szCs w:val="44"/>
        </w:rPr>
        <w:t>202</w:t>
      </w:r>
      <w:r>
        <w:rPr>
          <w:rFonts w:hint="eastAsia" w:ascii="Times New Roman" w:hAnsi="Times New Roman" w:eastAsia="方正小标宋_GBK" w:cs="方正小标宋_GBK"/>
          <w:b w:val="0"/>
          <w:bCs w:val="0"/>
          <w:color w:val="000000"/>
          <w:sz w:val="44"/>
          <w:szCs w:val="44"/>
          <w:lang w:val="en-US" w:eastAsia="zh-CN"/>
        </w:rPr>
        <w:t>5</w:t>
      </w:r>
      <w:r>
        <w:rPr>
          <w:rFonts w:hint="eastAsia" w:ascii="Times New Roman" w:hAnsi="Times New Roman" w:eastAsia="方正小标宋_GBK" w:cs="方正小标宋_GBK"/>
          <w:b w:val="0"/>
          <w:bCs w:val="0"/>
          <w:color w:val="000000"/>
          <w:sz w:val="44"/>
          <w:szCs w:val="44"/>
        </w:rPr>
        <w:t>年</w:t>
      </w:r>
      <w:r>
        <w:rPr>
          <w:rFonts w:hint="eastAsia" w:ascii="Times New Roman" w:hAnsi="Times New Roman" w:eastAsia="方正小标宋_GBK" w:cs="方正小标宋_GBK"/>
          <w:b w:val="0"/>
          <w:bCs w:val="0"/>
          <w:color w:val="000000"/>
          <w:sz w:val="44"/>
          <w:szCs w:val="44"/>
          <w:lang w:val="en-US" w:eastAsia="zh-CN"/>
        </w:rPr>
        <w:t>产业发展服务中心</w:t>
      </w:r>
      <w:r>
        <w:rPr>
          <w:rFonts w:hint="eastAsia" w:ascii="Times New Roman" w:hAnsi="Times New Roman" w:eastAsia="方正小标宋_GBK" w:cs="方正小标宋_GBK"/>
          <w:b w:val="0"/>
          <w:bCs w:val="0"/>
          <w:color w:val="000000"/>
          <w:sz w:val="44"/>
          <w:szCs w:val="44"/>
        </w:rPr>
        <w:t>安全</w:t>
      </w:r>
      <w:r>
        <w:rPr>
          <w:rFonts w:hint="eastAsia" w:ascii="Times New Roman" w:hAnsi="Times New Roman" w:eastAsia="方正小标宋_GBK" w:cs="方正小标宋_GBK"/>
          <w:b w:val="0"/>
          <w:bCs w:val="0"/>
          <w:color w:val="000000"/>
          <w:sz w:val="44"/>
          <w:szCs w:val="44"/>
          <w:lang w:eastAsia="zh-CN"/>
        </w:rPr>
        <w:t>生产监督检查</w:t>
      </w:r>
      <w:r>
        <w:rPr>
          <w:rFonts w:hint="eastAsia" w:ascii="Times New Roman" w:hAnsi="Times New Roman" w:eastAsia="方正小标宋_GBK" w:cs="方正小标宋_GBK"/>
          <w:b w:val="0"/>
          <w:bCs w:val="0"/>
          <w:color w:val="000000"/>
          <w:sz w:val="44"/>
          <w:szCs w:val="44"/>
        </w:rPr>
        <w:t>计划</w:t>
      </w:r>
    </w:p>
    <w:p w14:paraId="66DA32C3">
      <w:pPr>
        <w:widowControl w:val="0"/>
        <w:autoSpaceDE w:val="0"/>
        <w:autoSpaceDN w:val="0"/>
        <w:adjustRightInd w:val="0"/>
        <w:rPr>
          <w:rFonts w:hint="eastAsia" w:ascii="Times New Roman" w:hAnsi="Times New Roman" w:eastAsia="宋体" w:cs="宋体"/>
          <w:i w:val="0"/>
          <w:caps w:val="0"/>
          <w:color w:val="000000"/>
          <w:spacing w:val="0"/>
          <w:sz w:val="31"/>
          <w:szCs w:val="31"/>
          <w:shd w:val="clear" w:color="auto" w:fill="FFFFFF"/>
          <w:lang w:val="en-US" w:eastAsia="zh-CN" w:bidi="ar-SA"/>
        </w:rPr>
      </w:pPr>
    </w:p>
    <w:p w14:paraId="1FE80C0B">
      <w:pPr>
        <w:keepNext w:val="0"/>
        <w:keepLines w:val="0"/>
        <w:pageBreakBefore w:val="0"/>
        <w:widowControl w:val="0"/>
        <w:kinsoku/>
        <w:wordWrap/>
        <w:overflowPunct/>
        <w:topLinePunct w:val="0"/>
        <w:autoSpaceDE w:val="0"/>
        <w:autoSpaceDN w:val="0"/>
        <w:bidi w:val="0"/>
        <w:adjustRightInd w:val="0"/>
        <w:spacing w:line="596" w:lineRule="exact"/>
        <w:textAlignment w:val="auto"/>
        <w:rPr>
          <w:rFonts w:hint="eastAsia" w:ascii="Times New Roman" w:hAnsi="Times New Roman" w:eastAsia="方正仿宋_GBK" w:cs="方正仿宋_GBK"/>
          <w:color w:val="000000"/>
          <w:sz w:val="32"/>
          <w:szCs w:val="32"/>
          <w:lang w:val="en-US" w:eastAsia="zh-CN" w:bidi="ar-SA"/>
        </w:rPr>
      </w:pPr>
      <w:r>
        <w:rPr>
          <w:rFonts w:hint="eastAsia" w:ascii="Times New Roman" w:hAnsi="Times New Roman" w:eastAsia="宋体" w:cs="宋体"/>
          <w:i w:val="0"/>
          <w:caps w:val="0"/>
          <w:color w:val="000000"/>
          <w:spacing w:val="0"/>
          <w:sz w:val="31"/>
          <w:szCs w:val="31"/>
          <w:shd w:val="clear" w:color="auto" w:fill="FFFFFF"/>
          <w:lang w:val="en-US" w:eastAsia="zh-CN" w:bidi="ar-SA"/>
        </w:rPr>
        <w:t xml:space="preserve">   </w:t>
      </w:r>
      <w:r>
        <w:rPr>
          <w:rFonts w:hint="eastAsia" w:ascii="Times New Roman" w:hAnsi="Times New Roman" w:eastAsia="仿宋" w:cs="仿宋"/>
          <w:i w:val="0"/>
          <w:caps w:val="0"/>
          <w:color w:val="000000"/>
          <w:spacing w:val="0"/>
          <w:sz w:val="32"/>
          <w:szCs w:val="32"/>
          <w:shd w:val="clear" w:color="auto" w:fill="FFFFFF"/>
          <w:lang w:val="en-US" w:eastAsia="zh-CN" w:bidi="ar-SA"/>
        </w:rPr>
        <w:t xml:space="preserve"> </w:t>
      </w:r>
      <w:r>
        <w:rPr>
          <w:rFonts w:hint="eastAsia" w:ascii="Times New Roman" w:hAnsi="Times New Roman" w:eastAsia="方正仿宋_GBK" w:cs="方正仿宋_GBK"/>
          <w:i w:val="0"/>
          <w:caps w:val="0"/>
          <w:color w:val="000000"/>
          <w:spacing w:val="0"/>
          <w:sz w:val="32"/>
          <w:szCs w:val="32"/>
          <w:shd w:val="clear" w:color="auto" w:fill="FFFFFF"/>
          <w:lang w:val="en-US" w:eastAsia="zh-CN" w:bidi="ar-SA"/>
        </w:rPr>
        <w:t>为进一步增强安全生产监管工作的针对性和有效性，正确履行安全生产监管职责，规范监管执法行为，提高监管执法效能，防范和减少生产安全事故的发生，确保全镇安全生产形势持续稳定，根据《中华人民共和国安全生产法》《安全生产监管监察职责和行政执法责任追究的规定》《中共中央 国务院关于推进安全生产领域改革发展的意见》等有关规定，结合我镇工作人员数量、生产经营单位状况、技术装备和经费保障等实际，制定本计划。</w:t>
      </w:r>
    </w:p>
    <w:p w14:paraId="11CFC3EE">
      <w:pPr>
        <w:keepNext w:val="0"/>
        <w:keepLines w:val="0"/>
        <w:pageBreakBefore w:val="0"/>
        <w:kinsoku/>
        <w:wordWrap/>
        <w:overflowPunct/>
        <w:topLinePunct w:val="0"/>
        <w:bidi w:val="0"/>
        <w:spacing w:line="596" w:lineRule="exact"/>
        <w:ind w:firstLine="640" w:firstLineChars="200"/>
        <w:textAlignment w:val="auto"/>
        <w:rPr>
          <w:rFonts w:ascii="Times New Roman" w:hAnsi="Times New Roman" w:eastAsia="方正黑体_GBK" w:cs="Times New Roman"/>
          <w:color w:val="000000"/>
          <w:sz w:val="32"/>
          <w:szCs w:val="24"/>
        </w:rPr>
      </w:pPr>
      <w:r>
        <w:rPr>
          <w:rFonts w:ascii="Times New Roman" w:hAnsi="Times New Roman" w:eastAsia="方正黑体_GBK" w:cs="Times New Roman"/>
          <w:color w:val="000000"/>
          <w:sz w:val="32"/>
          <w:szCs w:val="24"/>
        </w:rPr>
        <w:t>一、工作目标</w:t>
      </w:r>
    </w:p>
    <w:p w14:paraId="3C812865">
      <w:pPr>
        <w:keepNext w:val="0"/>
        <w:keepLines w:val="0"/>
        <w:pageBreakBefore w:val="0"/>
        <w:kinsoku/>
        <w:wordWrap/>
        <w:overflowPunct/>
        <w:topLinePunct w:val="0"/>
        <w:bidi w:val="0"/>
        <w:spacing w:line="596" w:lineRule="exact"/>
        <w:ind w:firstLine="640" w:firstLineChars="200"/>
        <w:jc w:val="left"/>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rPr>
        <w:t>深入贯彻落实习近平总书记关于安全生产系列重要论述，坚持人民至上、生命至上，充分认识做好农业安全生产和自然灾害防治岁末年初百日攻坚行动工作的重要性，牢牢把握冬春季安全生产和防灾减灾救灾工作规律特点，坚持关口前移，严格落实“党政同责、一岗双责”，全面强化隐患排查、风险研判，落实安全生产措施，加大监督检查力度，增强工作预见性、前瞻性和主动性，及时化解苗头性风险，坚决防范农业生产安全事故。</w:t>
      </w:r>
    </w:p>
    <w:p w14:paraId="6CB1B4A8">
      <w:pPr>
        <w:keepNext w:val="0"/>
        <w:keepLines w:val="0"/>
        <w:pageBreakBefore w:val="0"/>
        <w:kinsoku/>
        <w:wordWrap/>
        <w:overflowPunct/>
        <w:topLinePunct w:val="0"/>
        <w:bidi w:val="0"/>
        <w:spacing w:line="596" w:lineRule="exact"/>
        <w:ind w:firstLine="640" w:firstLineChars="200"/>
        <w:jc w:val="left"/>
        <w:textAlignment w:val="auto"/>
        <w:rPr>
          <w:rFonts w:hint="eastAsia" w:ascii="Times New Roman" w:hAnsi="Times New Roman" w:eastAsia="方正黑体_GBK" w:cs="方正黑体_GBK"/>
          <w:b w:val="0"/>
          <w:bCs w:val="0"/>
          <w:sz w:val="32"/>
          <w:szCs w:val="32"/>
          <w:shd w:val="clear" w:color="auto" w:fill="auto"/>
          <w:lang w:eastAsia="zh-CN"/>
        </w:rPr>
      </w:pPr>
      <w:r>
        <w:rPr>
          <w:rFonts w:hint="eastAsia" w:ascii="Times New Roman" w:hAnsi="Times New Roman" w:eastAsia="方正黑体_GBK" w:cs="方正黑体_GBK"/>
          <w:b w:val="0"/>
          <w:bCs w:val="0"/>
          <w:sz w:val="32"/>
          <w:szCs w:val="32"/>
          <w:shd w:val="clear" w:color="auto" w:fill="auto"/>
          <w:lang w:eastAsia="zh-CN"/>
        </w:rPr>
        <w:t>二、深入开展重点领域隐患排查整治工作</w:t>
      </w:r>
    </w:p>
    <w:p w14:paraId="5717337C">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楷体_GBK" w:cs="Times New Roman"/>
          <w:color w:val="000000"/>
          <w:sz w:val="32"/>
          <w:szCs w:val="24"/>
          <w:lang w:eastAsia="zh-CN"/>
        </w:rPr>
      </w:pPr>
      <w:r>
        <w:rPr>
          <w:rFonts w:ascii="Times New Roman" w:hAnsi="Times New Roman" w:eastAsia="方正楷体_GBK" w:cs="Times New Roman"/>
          <w:color w:val="000000"/>
          <w:sz w:val="32"/>
          <w:szCs w:val="24"/>
        </w:rPr>
        <w:t>（一）</w:t>
      </w:r>
      <w:r>
        <w:rPr>
          <w:rFonts w:hint="eastAsia" w:ascii="Times New Roman" w:hAnsi="Times New Roman" w:eastAsia="方正楷体_GBK" w:cs="Times New Roman"/>
          <w:color w:val="000000"/>
          <w:sz w:val="32"/>
          <w:szCs w:val="24"/>
          <w:lang w:eastAsia="zh-CN"/>
        </w:rPr>
        <w:t>组织领导</w:t>
      </w:r>
    </w:p>
    <w:p w14:paraId="0041DB43">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rPr>
        <w:t>为有效推进农业农村领域安全生产和自然灾害防治岁末年初百日攻坚行动，成立由</w:t>
      </w:r>
      <w:r>
        <w:rPr>
          <w:rFonts w:hint="eastAsia" w:ascii="Times New Roman" w:hAnsi="Times New Roman" w:eastAsia="方正仿宋_GBK" w:cs="方正仿宋_GBK"/>
          <w:color w:val="000000"/>
          <w:sz w:val="32"/>
          <w:szCs w:val="24"/>
          <w:lang w:eastAsia="zh-CN"/>
        </w:rPr>
        <w:t>党政主要领导</w:t>
      </w:r>
      <w:r>
        <w:rPr>
          <w:rFonts w:hint="eastAsia" w:ascii="Times New Roman" w:hAnsi="Times New Roman" w:eastAsia="方正仿宋_GBK" w:cs="方正仿宋_GBK"/>
          <w:color w:val="000000"/>
          <w:sz w:val="32"/>
          <w:szCs w:val="24"/>
        </w:rPr>
        <w:t>任组长，分管</w:t>
      </w:r>
      <w:r>
        <w:rPr>
          <w:rFonts w:hint="eastAsia" w:ascii="Times New Roman" w:hAnsi="Times New Roman" w:eastAsia="方正仿宋_GBK" w:cs="方正仿宋_GBK"/>
          <w:color w:val="000000"/>
          <w:sz w:val="32"/>
          <w:szCs w:val="24"/>
          <w:lang w:eastAsia="zh-CN"/>
        </w:rPr>
        <w:t>领导</w:t>
      </w:r>
      <w:r>
        <w:rPr>
          <w:rFonts w:hint="eastAsia" w:ascii="Times New Roman" w:hAnsi="Times New Roman" w:eastAsia="方正仿宋_GBK" w:cs="方正仿宋_GBK"/>
          <w:color w:val="000000"/>
          <w:sz w:val="32"/>
          <w:szCs w:val="24"/>
        </w:rPr>
        <w:t>任副组长，</w:t>
      </w:r>
      <w:r>
        <w:rPr>
          <w:rFonts w:hint="eastAsia" w:ascii="Times New Roman" w:hAnsi="Times New Roman" w:eastAsia="方正仿宋_GBK" w:cs="方正仿宋_GBK"/>
          <w:color w:val="000000"/>
          <w:sz w:val="32"/>
          <w:szCs w:val="24"/>
          <w:lang w:eastAsia="zh-CN"/>
        </w:rPr>
        <w:t>中心</w:t>
      </w:r>
      <w:r>
        <w:rPr>
          <w:rFonts w:hint="eastAsia" w:ascii="Times New Roman" w:hAnsi="Times New Roman" w:eastAsia="方正仿宋_GBK" w:cs="方正仿宋_GBK"/>
          <w:color w:val="000000"/>
          <w:sz w:val="32"/>
          <w:szCs w:val="24"/>
        </w:rPr>
        <w:t>负责人</w:t>
      </w:r>
      <w:r>
        <w:rPr>
          <w:rFonts w:hint="eastAsia" w:ascii="Times New Roman" w:hAnsi="Times New Roman" w:eastAsia="方正仿宋_GBK" w:cs="方正仿宋_GBK"/>
          <w:color w:val="000000"/>
          <w:sz w:val="32"/>
          <w:szCs w:val="24"/>
          <w:lang w:eastAsia="zh-CN"/>
        </w:rPr>
        <w:t>和各村（社区）主要负责人</w:t>
      </w:r>
      <w:r>
        <w:rPr>
          <w:rFonts w:hint="eastAsia" w:ascii="Times New Roman" w:hAnsi="Times New Roman" w:eastAsia="方正仿宋_GBK" w:cs="方正仿宋_GBK"/>
          <w:color w:val="000000"/>
          <w:sz w:val="32"/>
          <w:szCs w:val="24"/>
        </w:rPr>
        <w:t>为成员的安全生产和自然灾害防治岁末年初百日攻坚行动工作领导小组，领导小组主要负责统筹、指挥、协调农业安全生产和自然灾害防治岁末年初百日攻坚工作。领导小组下设办公室在</w:t>
      </w:r>
      <w:r>
        <w:rPr>
          <w:rFonts w:hint="eastAsia" w:ascii="Times New Roman" w:hAnsi="Times New Roman" w:eastAsia="方正仿宋_GBK" w:cs="方正仿宋_GBK"/>
          <w:color w:val="000000"/>
          <w:sz w:val="32"/>
          <w:szCs w:val="24"/>
          <w:lang w:eastAsia="zh-CN"/>
        </w:rPr>
        <w:t>产业发展服务中心</w:t>
      </w:r>
      <w:r>
        <w:rPr>
          <w:rFonts w:hint="eastAsia" w:ascii="Times New Roman" w:hAnsi="Times New Roman" w:eastAsia="方正仿宋_GBK" w:cs="方正仿宋_GBK"/>
          <w:color w:val="000000"/>
          <w:sz w:val="32"/>
          <w:szCs w:val="24"/>
        </w:rPr>
        <w:t>，</w:t>
      </w:r>
      <w:r>
        <w:rPr>
          <w:rFonts w:hint="eastAsia" w:ascii="Times New Roman" w:hAnsi="Times New Roman" w:eastAsia="方正仿宋_GBK" w:cs="方正仿宋_GBK"/>
          <w:color w:val="000000"/>
          <w:sz w:val="32"/>
          <w:szCs w:val="24"/>
          <w:lang w:eastAsia="zh-CN"/>
        </w:rPr>
        <w:t>汤锶艺</w:t>
      </w:r>
      <w:r>
        <w:rPr>
          <w:rFonts w:hint="eastAsia" w:ascii="Times New Roman" w:hAnsi="Times New Roman" w:eastAsia="方正仿宋_GBK" w:cs="方正仿宋_GBK"/>
          <w:color w:val="000000"/>
          <w:sz w:val="32"/>
          <w:szCs w:val="24"/>
        </w:rPr>
        <w:t>负责日常</w:t>
      </w:r>
      <w:r>
        <w:rPr>
          <w:rFonts w:hint="eastAsia" w:ascii="Times New Roman" w:hAnsi="Times New Roman" w:eastAsia="方正仿宋_GBK" w:cs="方正仿宋_GBK"/>
          <w:color w:val="000000"/>
          <w:sz w:val="32"/>
          <w:szCs w:val="24"/>
          <w:lang w:eastAsia="zh-CN"/>
        </w:rPr>
        <w:t>工作资料收集</w:t>
      </w:r>
      <w:r>
        <w:rPr>
          <w:rFonts w:hint="eastAsia" w:ascii="Times New Roman" w:hAnsi="Times New Roman" w:eastAsia="方正仿宋_GBK" w:cs="方正仿宋_GBK"/>
          <w:color w:val="000000"/>
          <w:sz w:val="32"/>
          <w:szCs w:val="24"/>
        </w:rPr>
        <w:t>。并抽调</w:t>
      </w:r>
      <w:r>
        <w:rPr>
          <w:rFonts w:hint="eastAsia" w:ascii="Times New Roman" w:hAnsi="Times New Roman" w:eastAsia="方正仿宋_GBK" w:cs="方正仿宋_GBK"/>
          <w:color w:val="000000"/>
          <w:sz w:val="32"/>
          <w:szCs w:val="24"/>
          <w:lang w:eastAsia="zh-CN"/>
        </w:rPr>
        <w:t>部门</w:t>
      </w:r>
      <w:r>
        <w:rPr>
          <w:rFonts w:hint="eastAsia" w:ascii="Times New Roman" w:hAnsi="Times New Roman" w:eastAsia="方正仿宋_GBK" w:cs="方正仿宋_GBK"/>
          <w:color w:val="000000"/>
          <w:sz w:val="32"/>
          <w:szCs w:val="24"/>
          <w:lang w:val="en-US" w:eastAsia="zh-CN"/>
        </w:rPr>
        <w:t>8名</w:t>
      </w:r>
      <w:r>
        <w:rPr>
          <w:rFonts w:hint="eastAsia" w:ascii="Times New Roman" w:hAnsi="Times New Roman" w:eastAsia="方正仿宋_GBK" w:cs="方正仿宋_GBK"/>
          <w:color w:val="000000"/>
          <w:sz w:val="32"/>
          <w:szCs w:val="24"/>
        </w:rPr>
        <w:t>工作人员组建</w:t>
      </w:r>
      <w:r>
        <w:rPr>
          <w:rFonts w:hint="eastAsia" w:ascii="Times New Roman" w:hAnsi="Times New Roman" w:eastAsia="方正仿宋_GBK" w:cs="方正仿宋_GBK"/>
          <w:color w:val="000000"/>
          <w:sz w:val="32"/>
          <w:szCs w:val="24"/>
          <w:lang w:val="en-US" w:eastAsia="zh-CN"/>
        </w:rPr>
        <w:t>2</w:t>
      </w:r>
      <w:r>
        <w:rPr>
          <w:rFonts w:hint="eastAsia" w:ascii="Times New Roman" w:hAnsi="Times New Roman" w:eastAsia="方正仿宋_GBK" w:cs="方正仿宋_GBK"/>
          <w:color w:val="000000"/>
          <w:sz w:val="32"/>
          <w:szCs w:val="24"/>
        </w:rPr>
        <w:t>个工作督导组，由分管负责人任组长，</w:t>
      </w:r>
      <w:r>
        <w:rPr>
          <w:rFonts w:hint="eastAsia" w:ascii="Times New Roman" w:hAnsi="Times New Roman" w:eastAsia="方正仿宋_GBK" w:cs="方正仿宋_GBK"/>
          <w:color w:val="000000"/>
          <w:sz w:val="32"/>
          <w:szCs w:val="24"/>
          <w:lang w:eastAsia="zh-CN"/>
        </w:rPr>
        <w:t>中心</w:t>
      </w:r>
      <w:r>
        <w:rPr>
          <w:rFonts w:hint="eastAsia" w:ascii="Times New Roman" w:hAnsi="Times New Roman" w:eastAsia="方正仿宋_GBK" w:cs="方正仿宋_GBK"/>
          <w:color w:val="000000"/>
          <w:sz w:val="32"/>
          <w:szCs w:val="24"/>
        </w:rPr>
        <w:t>负责人任副组长，按照“四不两直”方式开展农业农村领域安全生产和自然灾害防治岁末年初百日攻坚行动明查暗访，重点对农业有限空间（畜禽养殖粪污处理设施、农村沼气）、农药经营、农业机械、农产品质量安全、农业在建施工项目等领域的安全生产运行情况开展排查检查。</w:t>
      </w:r>
    </w:p>
    <w:p w14:paraId="31620C71">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楷体_GBK" w:cs="Times New Roman"/>
          <w:color w:val="000000"/>
          <w:sz w:val="32"/>
          <w:szCs w:val="24"/>
        </w:rPr>
      </w:pPr>
      <w:r>
        <w:rPr>
          <w:rFonts w:hint="eastAsia" w:ascii="Times New Roman" w:hAnsi="Times New Roman" w:eastAsia="方正楷体_GBK" w:cs="Times New Roman"/>
          <w:color w:val="000000"/>
          <w:sz w:val="32"/>
          <w:szCs w:val="24"/>
        </w:rPr>
        <w:t>（二）排查整治内容</w:t>
      </w:r>
    </w:p>
    <w:p w14:paraId="2836348B">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rPr>
        <w:t>1.畜禽养殖：重点排查是否建立粪污贮存池有限空间安全管理责任制度；是否制定有限空间作业审批制度和“先通风、再检测、后作业”等作业操作规程；是否对粪污贮存池有限空间进行安全风险辨识，评估安全风险等级，设置安全防护设施和风险警示牌；是否配备有限空间快速检测设备、强制通风设备、呼吸防护用品等；粪污和污水处理工程边坡处理是否符合相关规范；临池（罐）安全护栏设置、处理设施设备是否达到设计要求；进出料环节是否闭环等。</w:t>
      </w:r>
    </w:p>
    <w:p w14:paraId="41E2D0B9">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lang w:val="en-US" w:eastAsia="zh-CN"/>
        </w:rPr>
        <w:t>2</w:t>
      </w:r>
      <w:r>
        <w:rPr>
          <w:rFonts w:hint="eastAsia" w:ascii="Times New Roman" w:hAnsi="Times New Roman" w:eastAsia="方正仿宋_GBK" w:cs="方正仿宋_GBK"/>
          <w:color w:val="000000"/>
          <w:sz w:val="32"/>
          <w:szCs w:val="24"/>
        </w:rPr>
        <w:t>.农村沼气：重点排查沼气安全使用入户宣传是否到位，是否在无安全防护措施保护下私自维修沼气设施，进出料间盖板是否完整、沼气池周边是否设置安全警示标识、沼气池是否漏气、气压是否超标、农户是否具备安全意识；沼气工程重点排查安全警示标识是否齐全规范、操作制度是否上墙、敞口设施是否有防护设施、厌氧发酵设施装置是否处于安全状态，沼气贮存、净化间是否漏气和通风、日常管理是否落实专人负责，业主是否具备安全意识等。</w:t>
      </w:r>
    </w:p>
    <w:p w14:paraId="1B0A0E2F">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lang w:val="en-US" w:eastAsia="zh-CN"/>
        </w:rPr>
        <w:t>3</w:t>
      </w:r>
      <w:r>
        <w:rPr>
          <w:rFonts w:hint="eastAsia" w:ascii="Times New Roman" w:hAnsi="Times New Roman" w:eastAsia="方正仿宋_GBK" w:cs="方正仿宋_GBK"/>
          <w:color w:val="000000"/>
          <w:sz w:val="32"/>
          <w:szCs w:val="24"/>
        </w:rPr>
        <w:t>.农业机械：排查是否存在无证驾驶和无号牌、未检验或检验不合格联合收割机投入使用等情形。在危及人身安全的农业机械作业区域，邻崖、邻水等农业机械作业危险区域（或机耕路道）等，是否做好安全警示，农业机械不用时是否安全停放。</w:t>
      </w:r>
    </w:p>
    <w:p w14:paraId="633B6A77">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lang w:val="en-US" w:eastAsia="zh-CN"/>
        </w:rPr>
        <w:t>4</w:t>
      </w:r>
      <w:r>
        <w:rPr>
          <w:rFonts w:hint="eastAsia" w:ascii="Times New Roman" w:hAnsi="Times New Roman" w:eastAsia="方正仿宋_GBK" w:cs="方正仿宋_GBK"/>
          <w:color w:val="000000"/>
          <w:sz w:val="32"/>
          <w:szCs w:val="24"/>
        </w:rPr>
        <w:t>.农药经营：加大对农药等经营门店的安全排查。围绕主体责任落实不到位、工作人员安全意识差等问题隐患，检查农药经营企业是否严格执行“日周月”隐患排查制度，是否建立完善农药门店禁限用农药销售、使用台账等。</w:t>
      </w:r>
    </w:p>
    <w:p w14:paraId="47408CFC">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lang w:val="en-US" w:eastAsia="zh-CN"/>
        </w:rPr>
        <w:t>5</w:t>
      </w:r>
      <w:r>
        <w:rPr>
          <w:rFonts w:hint="eastAsia" w:ascii="Times New Roman" w:hAnsi="Times New Roman" w:eastAsia="方正仿宋_GBK" w:cs="方正仿宋_GBK"/>
          <w:color w:val="000000"/>
          <w:sz w:val="32"/>
          <w:szCs w:val="24"/>
        </w:rPr>
        <w:t>.农产品质量安全：检查农产品生产企业、农民专业合作社、农业社会化服务组织落实《农产品质量安全法》有关要求，建立保存农产品生产记录情况，是否根据质量安全控制或检测结果等依据批批开具承诺达标合格证；开具的承诺达标合格证内容是否齐全、基本信息与实际是否相符，是否如实建立、保存开具记录。专业化病虫害防治服务组织科学合理用药，以及绿色防控技术示范基地建设和示范推广等情况。</w:t>
      </w:r>
    </w:p>
    <w:p w14:paraId="2D930550">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三、时间安排</w:t>
      </w:r>
    </w:p>
    <w:p w14:paraId="2001F816">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仿宋_GBK" w:cs="方正仿宋_GBK"/>
          <w:color w:val="000000"/>
          <w:sz w:val="32"/>
          <w:szCs w:val="24"/>
        </w:rPr>
        <w:t>从即日起至2025年</w:t>
      </w:r>
      <w:r>
        <w:rPr>
          <w:rFonts w:hint="eastAsia" w:ascii="Times New Roman" w:hAnsi="Times New Roman" w:eastAsia="方正仿宋_GBK" w:cs="方正仿宋_GBK"/>
          <w:color w:val="000000"/>
          <w:sz w:val="32"/>
          <w:szCs w:val="24"/>
          <w:lang w:eastAsia="zh-CN"/>
        </w:rPr>
        <w:t>年底</w:t>
      </w:r>
      <w:r>
        <w:rPr>
          <w:rFonts w:hint="eastAsia" w:ascii="Times New Roman" w:hAnsi="Times New Roman" w:eastAsia="方正仿宋_GBK" w:cs="方正仿宋_GBK"/>
          <w:color w:val="000000"/>
          <w:sz w:val="32"/>
          <w:szCs w:val="24"/>
        </w:rPr>
        <w:t>，共</w:t>
      </w:r>
      <w:r>
        <w:rPr>
          <w:rFonts w:hint="eastAsia" w:ascii="Times New Roman" w:hAnsi="Times New Roman" w:eastAsia="方正仿宋_GBK" w:cs="方正仿宋_GBK"/>
          <w:color w:val="000000"/>
          <w:sz w:val="32"/>
          <w:szCs w:val="24"/>
          <w:lang w:val="en-US" w:eastAsia="zh-CN"/>
        </w:rPr>
        <w:t>317</w:t>
      </w:r>
      <w:r>
        <w:rPr>
          <w:rFonts w:hint="eastAsia" w:ascii="Times New Roman" w:hAnsi="Times New Roman" w:eastAsia="方正仿宋_GBK" w:cs="方正仿宋_GBK"/>
          <w:color w:val="000000"/>
          <w:sz w:val="32"/>
          <w:szCs w:val="24"/>
        </w:rPr>
        <w:t>天，分</w:t>
      </w:r>
      <w:r>
        <w:rPr>
          <w:rFonts w:hint="eastAsia" w:ascii="Times New Roman" w:hAnsi="Times New Roman" w:eastAsia="方正仿宋_GBK" w:cs="方正仿宋_GBK"/>
          <w:color w:val="000000"/>
          <w:sz w:val="32"/>
          <w:szCs w:val="24"/>
          <w:lang w:val="en-US" w:eastAsia="zh-CN"/>
        </w:rPr>
        <w:t>12</w:t>
      </w:r>
      <w:r>
        <w:rPr>
          <w:rFonts w:hint="eastAsia" w:ascii="Times New Roman" w:hAnsi="Times New Roman" w:eastAsia="方正仿宋_GBK" w:cs="方正仿宋_GBK"/>
          <w:color w:val="000000"/>
          <w:sz w:val="32"/>
          <w:szCs w:val="24"/>
        </w:rPr>
        <w:t>个阶段进行。</w:t>
      </w:r>
    </w:p>
    <w:p w14:paraId="27827C5B">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（一）动员部署阶段。</w:t>
      </w:r>
      <w:r>
        <w:rPr>
          <w:rFonts w:hint="eastAsia" w:ascii="Times New Roman" w:hAnsi="Times New Roman" w:eastAsia="方正仿宋_GBK" w:cs="方正仿宋_GBK"/>
          <w:color w:val="000000"/>
          <w:sz w:val="32"/>
          <w:szCs w:val="24"/>
        </w:rPr>
        <w:t>深入学习领会习近平总书记关于安全生产重要论述和重要指示批示精神，切实统一思想认识、提高政治站位，增强开展农业农村领域安全生产和自然灾害防治岁末年初百日攻坚行动的思想自觉、政治自觉和行动自觉。</w:t>
      </w:r>
    </w:p>
    <w:p w14:paraId="692A2E00">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（二）排查整治阶段。</w:t>
      </w:r>
      <w:r>
        <w:rPr>
          <w:rFonts w:hint="eastAsia" w:ascii="Times New Roman" w:hAnsi="Times New Roman" w:eastAsia="方正仿宋_GBK" w:cs="方正仿宋_GBK"/>
          <w:color w:val="000000"/>
          <w:sz w:val="32"/>
          <w:szCs w:val="24"/>
        </w:rPr>
        <w:t>对排查发现的问题隐患，要建立排查整治清单，明确整改措施、责任人和时限，坚持边查边改、立查立改，加快推动实施，确保百日攻坚行动取得初步成效。</w:t>
      </w:r>
    </w:p>
    <w:p w14:paraId="29FA93F1">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（三）巩固提升阶段。</w:t>
      </w:r>
      <w:r>
        <w:rPr>
          <w:rFonts w:hint="eastAsia" w:ascii="Times New Roman" w:hAnsi="Times New Roman" w:eastAsia="方正仿宋_GBK" w:cs="方正仿宋_GBK"/>
          <w:color w:val="000000"/>
          <w:sz w:val="32"/>
          <w:szCs w:val="24"/>
        </w:rPr>
        <w:t>针对重点难点问题，持续开展隐患问题集中整治，加强跟踪整改，实施闭环管理，直至整改销号。推广好经验好做法，加大专项整治攻坚力度，落实和完善治理措施，在农业领域全面推进安全生产标准化建设，全面落实企业全员安全生产责任制，建立双重预防机制。</w:t>
      </w:r>
    </w:p>
    <w:p w14:paraId="5A407006">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黑体_GBK" w:cs="方正黑体_GBK"/>
          <w:color w:val="000000"/>
          <w:sz w:val="32"/>
          <w:szCs w:val="24"/>
        </w:rPr>
      </w:pPr>
      <w:r>
        <w:rPr>
          <w:rFonts w:hint="eastAsia" w:ascii="Times New Roman" w:hAnsi="Times New Roman" w:eastAsia="方正黑体_GBK" w:cs="方正黑体_GBK"/>
          <w:color w:val="000000"/>
          <w:sz w:val="32"/>
          <w:szCs w:val="24"/>
        </w:rPr>
        <w:t>四、工作要求</w:t>
      </w:r>
    </w:p>
    <w:p w14:paraId="42936C1D">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（一）强化思想认识。</w:t>
      </w:r>
      <w:r>
        <w:rPr>
          <w:rFonts w:hint="eastAsia" w:ascii="Times New Roman" w:hAnsi="Times New Roman" w:eastAsia="方正仿宋_GBK" w:cs="方正仿宋_GBK"/>
          <w:color w:val="000000"/>
          <w:sz w:val="32"/>
          <w:szCs w:val="24"/>
          <w:lang w:val="en-US" w:eastAsia="zh-CN"/>
        </w:rPr>
        <w:t>2个督导检查</w:t>
      </w:r>
      <w:r>
        <w:rPr>
          <w:rFonts w:hint="eastAsia" w:ascii="Times New Roman" w:hAnsi="Times New Roman" w:eastAsia="方正仿宋_GBK" w:cs="方正仿宋_GBK"/>
          <w:color w:val="000000"/>
          <w:sz w:val="32"/>
          <w:szCs w:val="24"/>
          <w:lang w:eastAsia="zh-CN"/>
        </w:rPr>
        <w:t>组</w:t>
      </w:r>
      <w:r>
        <w:rPr>
          <w:rFonts w:hint="eastAsia" w:ascii="Times New Roman" w:hAnsi="Times New Roman" w:eastAsia="方正仿宋_GBK" w:cs="方正仿宋_GBK"/>
          <w:color w:val="000000"/>
          <w:sz w:val="32"/>
          <w:szCs w:val="24"/>
        </w:rPr>
        <w:t>要坚决把思想和行动统一到开展农业农村领域安全生产和自然灾害防治岁末年初百日攻坚行动的决策部署和</w:t>
      </w:r>
      <w:r>
        <w:rPr>
          <w:rFonts w:hint="eastAsia" w:ascii="Times New Roman" w:hAnsi="Times New Roman" w:eastAsia="方正仿宋_GBK" w:cs="方正仿宋_GBK"/>
          <w:color w:val="000000"/>
          <w:sz w:val="32"/>
          <w:szCs w:val="24"/>
          <w:lang w:eastAsia="zh-CN"/>
        </w:rPr>
        <w:t>镇党委</w:t>
      </w:r>
      <w:r>
        <w:rPr>
          <w:rFonts w:hint="eastAsia" w:ascii="Times New Roman" w:hAnsi="Times New Roman" w:eastAsia="方正仿宋_GBK" w:cs="方正仿宋_GBK"/>
          <w:color w:val="000000"/>
          <w:sz w:val="32"/>
          <w:szCs w:val="24"/>
        </w:rPr>
        <w:t>、政府相关工作要求上来，认真对照行动方案，落实工作人员，明确职责分工，细化分解任务，认真抓好部署落实，</w:t>
      </w:r>
      <w:r>
        <w:rPr>
          <w:rFonts w:hint="eastAsia" w:ascii="Times New Roman" w:hAnsi="Times New Roman" w:eastAsia="方正仿宋_GBK" w:cs="方正仿宋_GBK"/>
          <w:color w:val="000000"/>
          <w:sz w:val="32"/>
          <w:szCs w:val="24"/>
          <w:lang w:eastAsia="zh-CN"/>
        </w:rPr>
        <w:t>督导</w:t>
      </w:r>
      <w:r>
        <w:rPr>
          <w:rFonts w:hint="eastAsia" w:ascii="Times New Roman" w:hAnsi="Times New Roman" w:eastAsia="方正仿宋_GBK" w:cs="方正仿宋_GBK"/>
          <w:color w:val="000000"/>
          <w:sz w:val="32"/>
          <w:szCs w:val="24"/>
        </w:rPr>
        <w:t>检查组每月20日前将检查表交</w:t>
      </w:r>
      <w:r>
        <w:rPr>
          <w:rFonts w:hint="eastAsia" w:ascii="Times New Roman" w:hAnsi="Times New Roman" w:eastAsia="方正仿宋_GBK" w:cs="方正仿宋_GBK"/>
          <w:color w:val="000000"/>
          <w:sz w:val="32"/>
          <w:szCs w:val="24"/>
          <w:lang w:eastAsia="zh-CN"/>
        </w:rPr>
        <w:t>汤锶艺</w:t>
      </w:r>
      <w:r>
        <w:rPr>
          <w:rFonts w:hint="eastAsia" w:ascii="Times New Roman" w:hAnsi="Times New Roman" w:eastAsia="方正仿宋_GBK" w:cs="方正仿宋_GBK"/>
          <w:color w:val="000000"/>
          <w:sz w:val="32"/>
          <w:szCs w:val="24"/>
        </w:rPr>
        <w:t>汇总。</w:t>
      </w:r>
    </w:p>
    <w:p w14:paraId="0CEF3AB8">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（二）强化协调联动。</w:t>
      </w:r>
      <w:r>
        <w:rPr>
          <w:rFonts w:hint="eastAsia" w:ascii="Times New Roman" w:hAnsi="Times New Roman" w:eastAsia="方正仿宋_GBK" w:cs="方正仿宋_GBK"/>
          <w:color w:val="000000"/>
          <w:sz w:val="32"/>
          <w:szCs w:val="24"/>
          <w:lang w:eastAsia="zh-CN"/>
        </w:rPr>
        <w:t>产业发展服务中心和各村（社区）</w:t>
      </w:r>
      <w:r>
        <w:rPr>
          <w:rFonts w:hint="eastAsia" w:ascii="Times New Roman" w:hAnsi="Times New Roman" w:eastAsia="方正仿宋_GBK" w:cs="方正仿宋_GBK"/>
          <w:color w:val="000000"/>
          <w:sz w:val="32"/>
          <w:szCs w:val="24"/>
        </w:rPr>
        <w:t>要各司其职，各负其责，协作联动，齐抓共管，形成合力共同推进农业农村领域安全生产和自然灾害防治岁末年初百日攻坚行动落地见效。</w:t>
      </w:r>
    </w:p>
    <w:p w14:paraId="678441FD">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24"/>
        </w:rPr>
      </w:pPr>
      <w:r>
        <w:rPr>
          <w:rFonts w:hint="eastAsia" w:ascii="Times New Roman" w:hAnsi="Times New Roman" w:eastAsia="方正楷体_GBK" w:cs="方正楷体_GBK"/>
          <w:color w:val="000000"/>
          <w:sz w:val="32"/>
          <w:szCs w:val="24"/>
        </w:rPr>
        <w:t>（三）强化问效问责。</w:t>
      </w:r>
      <w:r>
        <w:rPr>
          <w:rFonts w:hint="eastAsia" w:ascii="Times New Roman" w:hAnsi="Times New Roman" w:eastAsia="方正仿宋_GBK" w:cs="方正仿宋_GBK"/>
          <w:color w:val="000000"/>
          <w:sz w:val="32"/>
          <w:szCs w:val="24"/>
        </w:rPr>
        <w:t>领导小组将综合运用通报、约谈、警示等手段，对农业农村领域安全生产和自然灾害防治岁末年初百日攻坚行动不负责、不作为，分工责任不落实、措施不得力，重大问题隐患悬而不决，工作推诿扯皮、松软乏力造成重大影响或者影响进度的，依法依规坚决问责处理。</w:t>
      </w:r>
    </w:p>
    <w:p w14:paraId="10004E10">
      <w:pPr>
        <w:keepNext w:val="0"/>
        <w:keepLines w:val="0"/>
        <w:pageBreakBefore w:val="0"/>
        <w:widowControl w:val="0"/>
        <w:kinsoku/>
        <w:wordWrap/>
        <w:overflowPunct/>
        <w:topLinePunct w:val="0"/>
        <w:bidi w:val="0"/>
        <w:adjustRightInd/>
        <w:snapToGrid/>
        <w:spacing w:line="596" w:lineRule="exact"/>
        <w:ind w:firstLine="640" w:firstLineChars="200"/>
        <w:textAlignment w:val="auto"/>
        <w:rPr>
          <w:rFonts w:hint="eastAsia" w:ascii="Times New Roman" w:hAnsi="Times New Roman" w:eastAsia="楷体" w:cs="楷体"/>
          <w:color w:val="000000"/>
          <w:sz w:val="32"/>
          <w:szCs w:val="32"/>
        </w:rPr>
      </w:pPr>
      <w:r>
        <w:rPr>
          <w:rFonts w:hint="eastAsia" w:ascii="Times New Roman" w:hAnsi="Times New Roman" w:eastAsia="方正黑体_GBK" w:cs="Times New Roman"/>
          <w:color w:val="000000"/>
          <w:sz w:val="32"/>
          <w:szCs w:val="24"/>
          <w:lang w:val="en-US" w:eastAsia="zh-CN"/>
        </w:rPr>
        <w:t>五</w:t>
      </w:r>
      <w:r>
        <w:rPr>
          <w:rFonts w:ascii="Times New Roman" w:hAnsi="Times New Roman" w:eastAsia="方正黑体_GBK" w:cs="Times New Roman"/>
          <w:color w:val="000000"/>
          <w:sz w:val="32"/>
          <w:szCs w:val="24"/>
        </w:rPr>
        <w:t>、</w:t>
      </w:r>
      <w:r>
        <w:rPr>
          <w:rFonts w:hint="eastAsia" w:ascii="Times New Roman" w:hAnsi="Times New Roman" w:eastAsia="方正黑体_GBK" w:cs="黑体"/>
          <w:kern w:val="2"/>
          <w:sz w:val="32"/>
          <w:szCs w:val="32"/>
          <w:lang w:val="en-US" w:eastAsia="zh-CN"/>
        </w:rPr>
        <w:t>督查检</w:t>
      </w:r>
      <w:r>
        <w:rPr>
          <w:rFonts w:hint="eastAsia" w:ascii="Times New Roman" w:hAnsi="Times New Roman" w:eastAsia="方正黑体_GBK" w:cs="黑体"/>
          <w:kern w:val="2"/>
          <w:sz w:val="32"/>
          <w:szCs w:val="32"/>
        </w:rPr>
        <w:t>查对</w:t>
      </w:r>
      <w:r>
        <w:rPr>
          <w:rFonts w:ascii="Times New Roman" w:hAnsi="Times New Roman" w:eastAsia="黑体" w:cs="黑体"/>
          <w:i w:val="0"/>
          <w:caps w:val="0"/>
          <w:color w:val="000000"/>
          <w:spacing w:val="0"/>
          <w:sz w:val="31"/>
          <w:szCs w:val="31"/>
          <w:shd w:val="clear" w:color="auto" w:fill="FFFFFF"/>
        </w:rPr>
        <w:t>象</w:t>
      </w:r>
    </w:p>
    <w:p w14:paraId="1BC634AE">
      <w:pPr>
        <w:keepNext w:val="0"/>
        <w:keepLines w:val="0"/>
        <w:pageBreakBefore w:val="0"/>
        <w:kinsoku/>
        <w:wordWrap/>
        <w:overflowPunct/>
        <w:topLinePunct w:val="0"/>
        <w:bidi w:val="0"/>
        <w:spacing w:line="596"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19个村（社区）辖区内所有农业企业、山坪塘、农用机械、沼气和9家</w:t>
      </w:r>
      <w:r>
        <w:rPr>
          <w:rFonts w:hint="eastAsia" w:ascii="Times New Roman" w:hAnsi="Times New Roman" w:eastAsia="方正仿宋_GBK" w:cs="方正仿宋_GBK"/>
          <w:color w:val="000000"/>
          <w:sz w:val="32"/>
          <w:szCs w:val="32"/>
          <w:lang w:eastAsia="zh-CN"/>
        </w:rPr>
        <w:t>农资经营店</w:t>
      </w:r>
      <w:r>
        <w:rPr>
          <w:rFonts w:hint="eastAsia" w:ascii="Times New Roman" w:hAnsi="Times New Roman" w:eastAsia="方正仿宋_GBK" w:cs="方正仿宋_GBK"/>
          <w:color w:val="000000"/>
          <w:sz w:val="32"/>
          <w:szCs w:val="32"/>
          <w:lang w:val="en-US" w:eastAsia="zh-CN"/>
        </w:rPr>
        <w:t>。</w:t>
      </w:r>
    </w:p>
    <w:p w14:paraId="530F5C61">
      <w:pPr>
        <w:keepNext w:val="0"/>
        <w:keepLines w:val="0"/>
        <w:pageBreakBefore w:val="0"/>
        <w:widowControl w:val="0"/>
        <w:numPr>
          <w:ilvl w:val="0"/>
          <w:numId w:val="0"/>
        </w:numPr>
        <w:kinsoku/>
        <w:wordWrap/>
        <w:overflowPunct/>
        <w:topLinePunct w:val="0"/>
        <w:bidi w:val="0"/>
        <w:adjustRightInd/>
        <w:snapToGrid/>
        <w:spacing w:line="596" w:lineRule="exact"/>
        <w:ind w:firstLine="640" w:firstLineChars="200"/>
        <w:textAlignment w:val="auto"/>
        <w:rPr>
          <w:rFonts w:hint="eastAsia" w:ascii="Times New Roman" w:hAnsi="Times New Roman" w:eastAsia="方正黑体_GBK" w:cs="Times New Roman"/>
          <w:color w:val="000000"/>
          <w:sz w:val="32"/>
          <w:szCs w:val="24"/>
          <w:lang w:val="en-US" w:eastAsia="zh-CN"/>
        </w:rPr>
      </w:pPr>
      <w:r>
        <w:rPr>
          <w:rFonts w:hint="eastAsia" w:ascii="Times New Roman" w:hAnsi="Times New Roman" w:eastAsia="方正黑体_GBK" w:cs="Times New Roman"/>
          <w:color w:val="000000"/>
          <w:sz w:val="32"/>
          <w:szCs w:val="24"/>
          <w:lang w:val="en-US" w:eastAsia="zh-CN"/>
        </w:rPr>
        <w:t>六、人员配备</w:t>
      </w:r>
    </w:p>
    <w:p w14:paraId="5E77995B">
      <w:pPr>
        <w:keepNext w:val="0"/>
        <w:keepLines w:val="0"/>
        <w:pageBreakBefore w:val="0"/>
        <w:widowControl/>
        <w:kinsoku/>
        <w:wordWrap/>
        <w:overflowPunct/>
        <w:topLinePunct w:val="0"/>
        <w:bidi w:val="0"/>
        <w:spacing w:before="0" w:beforeAutospacing="0" w:after="0" w:afterAutospacing="0" w:line="596" w:lineRule="exact"/>
        <w:ind w:left="0" w:right="0"/>
        <w:jc w:val="left"/>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 xml:space="preserve">    </w:t>
      </w:r>
      <w:r>
        <w:rPr>
          <w:rFonts w:hint="eastAsia" w:ascii="Times New Roman" w:hAnsi="Times New Roman" w:eastAsia="方正仿宋_GBK" w:cs="方正仿宋_GBK"/>
          <w:color w:val="000000"/>
          <w:sz w:val="32"/>
          <w:szCs w:val="32"/>
          <w:lang w:val="en-US" w:eastAsia="zh-CN"/>
        </w:rPr>
        <w:t>产业发展服务中心</w:t>
      </w:r>
      <w:r>
        <w:rPr>
          <w:rFonts w:hint="eastAsia" w:ascii="Times New Roman" w:hAnsi="Times New Roman" w:eastAsia="方正仿宋_GBK" w:cs="方正仿宋_GBK"/>
          <w:color w:val="000000"/>
          <w:kern w:val="2"/>
          <w:sz w:val="32"/>
          <w:szCs w:val="32"/>
          <w:lang w:val="en-US" w:eastAsia="zh-CN" w:bidi="ar-SA"/>
        </w:rPr>
        <w:t>工作人员8名。</w:t>
      </w:r>
    </w:p>
    <w:p w14:paraId="3532FE96">
      <w:pPr>
        <w:keepNext w:val="0"/>
        <w:keepLines w:val="0"/>
        <w:pageBreakBefore w:val="0"/>
        <w:widowControl w:val="0"/>
        <w:kinsoku/>
        <w:wordWrap/>
        <w:overflowPunct/>
        <w:topLinePunct w:val="0"/>
        <w:autoSpaceDE w:val="0"/>
        <w:autoSpaceDN w:val="0"/>
        <w:bidi w:val="0"/>
        <w:adjustRightInd w:val="0"/>
        <w:spacing w:line="596" w:lineRule="exact"/>
        <w:textAlignment w:val="auto"/>
        <w:rPr>
          <w:rFonts w:hint="eastAsia" w:ascii="Times New Roman" w:hAnsi="Times New Roman" w:eastAsia="方正黑体_GBK" w:cs="黑体"/>
          <w:color w:val="000000"/>
          <w:kern w:val="2"/>
          <w:sz w:val="32"/>
          <w:szCs w:val="32"/>
          <w:lang w:val="en-US" w:eastAsia="zh-CN" w:bidi="ar-SA"/>
        </w:rPr>
      </w:pPr>
      <w:r>
        <w:rPr>
          <w:rFonts w:hint="eastAsia" w:ascii="Times New Roman" w:hAnsi="Times New Roman" w:eastAsia="仿宋_GB2312" w:cs="仿宋_GB2312"/>
          <w:color w:val="000000"/>
          <w:sz w:val="24"/>
          <w:szCs w:val="24"/>
          <w:lang w:val="en-US" w:eastAsia="zh-CN" w:bidi="ar-SA"/>
        </w:rPr>
        <w:t xml:space="preserve">   </w:t>
      </w:r>
      <w:r>
        <w:rPr>
          <w:rFonts w:hint="eastAsia" w:ascii="Times New Roman" w:hAnsi="Times New Roman" w:eastAsia="方正黑体_GBK" w:cs="方正黑体_GBK"/>
          <w:color w:val="000000"/>
          <w:sz w:val="32"/>
          <w:szCs w:val="32"/>
          <w:lang w:val="en-US" w:eastAsia="zh-CN" w:bidi="ar-SA"/>
        </w:rPr>
        <w:t xml:space="preserve">  </w:t>
      </w:r>
      <w:r>
        <w:rPr>
          <w:rFonts w:hint="eastAsia" w:ascii="Times New Roman" w:hAnsi="Times New Roman" w:eastAsia="方正黑体_GBK" w:cs="方正黑体_GBK"/>
          <w:color w:val="000000"/>
          <w:kern w:val="2"/>
          <w:sz w:val="32"/>
          <w:szCs w:val="32"/>
          <w:lang w:val="en-US" w:eastAsia="zh-CN" w:bidi="ar-SA"/>
        </w:rPr>
        <w:t>七、督导检查对象分类</w:t>
      </w:r>
    </w:p>
    <w:p w14:paraId="06B24317">
      <w:pPr>
        <w:keepNext w:val="0"/>
        <w:keepLines w:val="0"/>
        <w:pageBreakBefore w:val="0"/>
        <w:widowControl w:val="0"/>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（一）沼气使用安全：分沼气工程和户用沼气。</w:t>
      </w:r>
    </w:p>
    <w:p w14:paraId="59F7CC1F">
      <w:pPr>
        <w:keepNext w:val="0"/>
        <w:keepLines w:val="0"/>
        <w:pageBreakBefore w:val="0"/>
        <w:widowControl w:val="0"/>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（二）渔业船舶安全：山坪塘、自用船。</w:t>
      </w:r>
    </w:p>
    <w:p w14:paraId="7AAA52D3">
      <w:pPr>
        <w:keepNext w:val="0"/>
        <w:keepLines w:val="0"/>
        <w:pageBreakBefore w:val="0"/>
        <w:widowControl w:val="0"/>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（三）农业机器安全：微耕机、旋耕机和拖拉机等农业机械。</w:t>
      </w:r>
    </w:p>
    <w:p w14:paraId="2118773D">
      <w:pPr>
        <w:keepNext w:val="0"/>
        <w:keepLines w:val="0"/>
        <w:pageBreakBefore w:val="0"/>
        <w:widowControl w:val="0"/>
        <w:kinsoku/>
        <w:wordWrap/>
        <w:overflowPunct/>
        <w:topLinePunct w:val="0"/>
        <w:autoSpaceDE w:val="0"/>
        <w:autoSpaceDN w:val="0"/>
        <w:bidi w:val="0"/>
        <w:adjustRightInd w:val="0"/>
        <w:snapToGrid/>
        <w:spacing w:line="596" w:lineRule="exact"/>
        <w:ind w:firstLine="640" w:firstLineChars="200"/>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（四）农产品质量安全：农药、种子、农产品等农业产品。</w:t>
      </w:r>
    </w:p>
    <w:p w14:paraId="09426F6F">
      <w:pPr>
        <w:keepNext w:val="0"/>
        <w:keepLines w:val="0"/>
        <w:pageBreakBefore w:val="0"/>
        <w:kinsoku/>
        <w:wordWrap/>
        <w:overflowPunct/>
        <w:topLinePunct w:val="0"/>
        <w:autoSpaceDE w:val="0"/>
        <w:autoSpaceDN w:val="0"/>
        <w:bidi w:val="0"/>
        <w:snapToGrid w:val="0"/>
        <w:spacing w:line="596" w:lineRule="exact"/>
        <w:ind w:firstLine="640" w:firstLineChars="200"/>
        <w:jc w:val="left"/>
        <w:textAlignment w:val="auto"/>
        <w:rPr>
          <w:rFonts w:hint="eastAsia" w:ascii="Times New Roman" w:hAnsi="Times New Roman" w:eastAsia="方正仿宋_GBK" w:cs="方正仿宋_GBK"/>
          <w:color w:val="000000"/>
          <w:sz w:val="32"/>
          <w:szCs w:val="24"/>
          <w:lang w:val="en-US" w:eastAsia="zh-CN"/>
        </w:rPr>
      </w:pPr>
      <w:r>
        <w:rPr>
          <w:rFonts w:hint="eastAsia" w:ascii="Times New Roman" w:hAnsi="Times New Roman" w:eastAsia="方正仿宋_GBK" w:cs="方正仿宋_GBK"/>
          <w:color w:val="000000"/>
          <w:sz w:val="32"/>
          <w:szCs w:val="24"/>
          <w:lang w:val="en-US" w:eastAsia="zh-CN"/>
        </w:rPr>
        <w:t>（五）农业企业安全：安全生产。</w:t>
      </w:r>
    </w:p>
    <w:p w14:paraId="09A0B0CC">
      <w:pPr>
        <w:keepNext w:val="0"/>
        <w:keepLines w:val="0"/>
        <w:pageBreakBefore w:val="0"/>
        <w:widowControl w:val="0"/>
        <w:kinsoku/>
        <w:wordWrap/>
        <w:overflowPunct/>
        <w:topLinePunct w:val="0"/>
        <w:bidi w:val="0"/>
        <w:spacing w:line="596" w:lineRule="exact"/>
        <w:ind w:firstLine="567"/>
        <w:jc w:val="both"/>
        <w:textAlignment w:val="auto"/>
        <w:rPr>
          <w:rFonts w:hint="eastAsia" w:ascii="Times New Roman" w:hAnsi="Times New Roman" w:eastAsia="方正仿宋_GBK" w:cs="黑体"/>
          <w:kern w:val="2"/>
          <w:sz w:val="32"/>
          <w:szCs w:val="24"/>
          <w:lang w:val="en-US" w:eastAsia="zh-CN" w:bidi="ar-SA"/>
        </w:rPr>
      </w:pPr>
    </w:p>
    <w:p w14:paraId="578BBE44">
      <w:pPr>
        <w:keepNext w:val="0"/>
        <w:keepLines w:val="0"/>
        <w:pageBreakBefore w:val="0"/>
        <w:widowControl w:val="0"/>
        <w:kinsoku/>
        <w:wordWrap/>
        <w:overflowPunct/>
        <w:topLinePunct w:val="0"/>
        <w:autoSpaceDE w:val="0"/>
        <w:autoSpaceDN w:val="0"/>
        <w:bidi w:val="0"/>
        <w:adjustRightInd/>
        <w:snapToGrid w:val="0"/>
        <w:spacing w:line="596" w:lineRule="exact"/>
        <w:ind w:left="1920" w:hanging="1920" w:hangingChars="6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附表：1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eastAsia="zh-CN"/>
        </w:rPr>
        <w:t>农业企业、沼气使用、渔业船舶安全、农业机器安全</w:t>
      </w:r>
      <w:r>
        <w:rPr>
          <w:rFonts w:hint="eastAsia" w:ascii="Times New Roman" w:hAnsi="Times New Roman" w:eastAsia="方正仿宋_GBK" w:cs="方正仿宋_GBK"/>
          <w:color w:val="000000"/>
          <w:sz w:val="32"/>
          <w:szCs w:val="32"/>
        </w:rPr>
        <w:t>重点检查计划表</w:t>
      </w:r>
    </w:p>
    <w:p w14:paraId="603AB304">
      <w:pPr>
        <w:keepNext w:val="0"/>
        <w:keepLines w:val="0"/>
        <w:pageBreakBefore w:val="0"/>
        <w:widowControl w:val="0"/>
        <w:kinsoku/>
        <w:wordWrap/>
        <w:overflowPunct/>
        <w:topLinePunct w:val="0"/>
        <w:autoSpaceDE w:val="0"/>
        <w:autoSpaceDN w:val="0"/>
        <w:bidi w:val="0"/>
        <w:adjustRightInd/>
        <w:snapToGrid w:val="0"/>
        <w:spacing w:line="596" w:lineRule="exact"/>
        <w:ind w:firstLine="1600" w:firstLineChars="5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2.2025年农产品质量安全重点检查表</w:t>
      </w:r>
    </w:p>
    <w:p w14:paraId="3535904D">
      <w:pPr>
        <w:autoSpaceDE w:val="0"/>
        <w:autoSpaceDN w:val="0"/>
        <w:snapToGrid w:val="0"/>
        <w:jc w:val="left"/>
        <w:rPr>
          <w:rFonts w:hint="eastAsia" w:ascii="Times New Roman" w:hAnsi="Times New Roman" w:eastAsia="方正黑体_GBK" w:cs="方正黑体_GBK"/>
          <w:b w:val="0"/>
          <w:bCs w:val="0"/>
          <w:color w:val="000000"/>
          <w:sz w:val="32"/>
          <w:szCs w:val="24"/>
          <w:lang w:eastAsia="zh-CN"/>
        </w:rPr>
      </w:pPr>
      <w:r>
        <w:rPr>
          <w:rFonts w:hint="eastAsia" w:ascii="Times New Roman" w:hAnsi="Times New Roman" w:eastAsia="方正黑体_GBK" w:cs="方正黑体_GBK"/>
          <w:b w:val="0"/>
          <w:bCs w:val="0"/>
          <w:color w:val="000000"/>
          <w:sz w:val="32"/>
          <w:szCs w:val="24"/>
        </w:rPr>
        <w:t>附</w:t>
      </w:r>
      <w:r>
        <w:rPr>
          <w:rFonts w:hint="eastAsia" w:ascii="Times New Roman" w:hAnsi="Times New Roman" w:eastAsia="方正黑体_GBK" w:cs="方正黑体_GBK"/>
          <w:b w:val="0"/>
          <w:bCs w:val="0"/>
          <w:color w:val="000000"/>
          <w:sz w:val="32"/>
          <w:szCs w:val="24"/>
          <w:lang w:val="en-US" w:eastAsia="zh-CN"/>
        </w:rPr>
        <w:t>表1</w:t>
      </w:r>
    </w:p>
    <w:p w14:paraId="5F7DE414">
      <w:pPr>
        <w:autoSpaceDE w:val="0"/>
        <w:autoSpaceDN w:val="0"/>
        <w:snapToGrid w:val="0"/>
        <w:jc w:val="center"/>
        <w:rPr>
          <w:rFonts w:hint="eastAsia" w:ascii="Times New Roman" w:hAnsi="Times New Roman" w:eastAsia="方正公文小标宋" w:cs="方正公文小标宋"/>
          <w:b w:val="0"/>
          <w:bCs w:val="0"/>
          <w:sz w:val="32"/>
          <w:szCs w:val="32"/>
          <w:lang w:eastAsia="zh-CN"/>
        </w:rPr>
      </w:pPr>
    </w:p>
    <w:p w14:paraId="3C36C46C">
      <w:pPr>
        <w:autoSpaceDE w:val="0"/>
        <w:autoSpaceDN w:val="0"/>
        <w:snapToGrid w:val="0"/>
        <w:jc w:val="center"/>
        <w:rPr>
          <w:rFonts w:hint="eastAsia" w:ascii="Times New Roman" w:hAnsi="Times New Roman" w:eastAsia="方正小标宋_GBK" w:cs="方正小标宋_GBK"/>
          <w:b w:val="0"/>
          <w:bCs w:val="0"/>
          <w:sz w:val="36"/>
          <w:szCs w:val="36"/>
          <w:lang w:eastAsia="zh-CN"/>
        </w:rPr>
      </w:pPr>
      <w:r>
        <w:rPr>
          <w:rFonts w:hint="eastAsia" w:ascii="Times New Roman" w:hAnsi="Times New Roman" w:eastAsia="方正公文小标宋" w:cs="方正公文小标宋"/>
          <w:b/>
          <w:bCs/>
          <w:sz w:val="36"/>
          <w:szCs w:val="36"/>
          <w:lang w:eastAsia="zh-CN"/>
        </w:rPr>
        <w:t>2</w:t>
      </w:r>
      <w:r>
        <w:rPr>
          <w:rFonts w:hint="eastAsia" w:ascii="Times New Roman" w:hAnsi="Times New Roman" w:eastAsia="方正小标宋_GBK" w:cs="方正小标宋_GBK"/>
          <w:b w:val="0"/>
          <w:bCs w:val="0"/>
          <w:sz w:val="36"/>
          <w:szCs w:val="36"/>
          <w:lang w:eastAsia="zh-CN"/>
        </w:rPr>
        <w:t>02</w:t>
      </w:r>
      <w:r>
        <w:rPr>
          <w:rFonts w:hint="eastAsia" w:ascii="Times New Roman" w:hAnsi="Times New Roman" w:eastAsia="方正小标宋_GBK" w:cs="方正小标宋_GBK"/>
          <w:b w:val="0"/>
          <w:bCs w:val="0"/>
          <w:sz w:val="36"/>
          <w:szCs w:val="36"/>
          <w:lang w:val="en-US" w:eastAsia="zh-CN"/>
        </w:rPr>
        <w:t>5</w:t>
      </w:r>
      <w:r>
        <w:rPr>
          <w:rFonts w:hint="eastAsia" w:ascii="Times New Roman" w:hAnsi="Times New Roman" w:eastAsia="方正小标宋_GBK" w:cs="方正小标宋_GBK"/>
          <w:b w:val="0"/>
          <w:bCs w:val="0"/>
          <w:sz w:val="36"/>
          <w:szCs w:val="36"/>
          <w:lang w:eastAsia="zh-CN"/>
        </w:rPr>
        <w:t>年农业企业、沼气使用、渔业船舶安全、农业机器</w:t>
      </w:r>
    </w:p>
    <w:p w14:paraId="12AA8BB1">
      <w:pPr>
        <w:autoSpaceDE w:val="0"/>
        <w:autoSpaceDN w:val="0"/>
        <w:snapToGrid w:val="0"/>
        <w:jc w:val="center"/>
        <w:rPr>
          <w:rFonts w:hint="eastAsia" w:ascii="Times New Roman" w:hAnsi="Times New Roman" w:eastAsia="方正小标宋_GBK" w:cs="方正小标宋_GBK"/>
          <w:b w:val="0"/>
          <w:bCs w:val="0"/>
          <w:sz w:val="36"/>
          <w:szCs w:val="36"/>
          <w:lang w:val="en-US" w:eastAsia="zh-CN"/>
        </w:rPr>
      </w:pPr>
      <w:r>
        <w:rPr>
          <w:rFonts w:hint="eastAsia" w:ascii="Times New Roman" w:hAnsi="Times New Roman" w:eastAsia="方正小标宋_GBK" w:cs="方正小标宋_GBK"/>
          <w:b w:val="0"/>
          <w:bCs w:val="0"/>
          <w:sz w:val="36"/>
          <w:szCs w:val="36"/>
          <w:lang w:eastAsia="zh-CN"/>
        </w:rPr>
        <w:t>安全重点检查计划表</w:t>
      </w:r>
    </w:p>
    <w:p w14:paraId="712F1EF5">
      <w:pPr>
        <w:autoSpaceDE w:val="0"/>
        <w:autoSpaceDN w:val="0"/>
        <w:snapToGrid w:val="0"/>
        <w:jc w:val="center"/>
        <w:rPr>
          <w:rFonts w:hint="eastAsia" w:ascii="Times New Roman" w:hAnsi="Times New Roman" w:eastAsia="方正小标宋_GBK" w:cs="黑体"/>
          <w:sz w:val="24"/>
          <w:szCs w:val="21"/>
          <w:lang w:eastAsia="zh-CN"/>
        </w:rPr>
      </w:pPr>
    </w:p>
    <w:tbl>
      <w:tblPr>
        <w:tblStyle w:val="18"/>
        <w:tblpPr w:leftFromText="180" w:rightFromText="180" w:vertAnchor="text" w:horzAnchor="page" w:tblpX="962" w:tblpY="354"/>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305"/>
        <w:gridCol w:w="7065"/>
        <w:gridCol w:w="885"/>
      </w:tblGrid>
      <w:tr w14:paraId="64C6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35" w:type="dxa"/>
            <w:vAlign w:val="center"/>
          </w:tcPr>
          <w:p w14:paraId="0B1E225B">
            <w:pPr>
              <w:autoSpaceDE w:val="0"/>
              <w:autoSpaceDN w:val="0"/>
              <w:snapToGrid w:val="0"/>
              <w:spacing w:line="200" w:lineRule="atLeast"/>
              <w:jc w:val="center"/>
              <w:rPr>
                <w:rFonts w:hint="eastAsia"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序号</w:t>
            </w:r>
          </w:p>
        </w:tc>
        <w:tc>
          <w:tcPr>
            <w:tcW w:w="1305" w:type="dxa"/>
            <w:vAlign w:val="center"/>
          </w:tcPr>
          <w:p w14:paraId="0CD51A52">
            <w:pPr>
              <w:autoSpaceDE w:val="0"/>
              <w:autoSpaceDN w:val="0"/>
              <w:snapToGrid w:val="0"/>
              <w:spacing w:line="200" w:lineRule="atLeast"/>
              <w:jc w:val="center"/>
              <w:rPr>
                <w:rFonts w:hint="eastAsia"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月份</w:t>
            </w:r>
          </w:p>
        </w:tc>
        <w:tc>
          <w:tcPr>
            <w:tcW w:w="7065" w:type="dxa"/>
            <w:vAlign w:val="center"/>
          </w:tcPr>
          <w:p w14:paraId="03E30CB3">
            <w:pPr>
              <w:autoSpaceDE w:val="0"/>
              <w:autoSpaceDN w:val="0"/>
              <w:snapToGrid w:val="0"/>
              <w:spacing w:line="200" w:lineRule="atLeast"/>
              <w:jc w:val="center"/>
              <w:rPr>
                <w:rFonts w:hint="eastAsia" w:ascii="Times New Roman" w:hAnsi="Times New Roman" w:eastAsia="宋体" w:cs="宋体"/>
                <w:b/>
                <w:bCs/>
                <w:color w:val="000000"/>
                <w:sz w:val="30"/>
                <w:szCs w:val="30"/>
                <w:lang w:eastAsia="zh-CN"/>
              </w:rPr>
            </w:pPr>
            <w:r>
              <w:rPr>
                <w:rFonts w:hint="eastAsia" w:ascii="Times New Roman" w:hAnsi="Times New Roman" w:eastAsia="宋体" w:cs="宋体"/>
                <w:b/>
                <w:bCs/>
                <w:color w:val="000000"/>
                <w:sz w:val="30"/>
                <w:szCs w:val="30"/>
                <w:lang w:eastAsia="zh-CN"/>
              </w:rPr>
              <w:t>村（社区）</w:t>
            </w:r>
          </w:p>
        </w:tc>
        <w:tc>
          <w:tcPr>
            <w:tcW w:w="885" w:type="dxa"/>
            <w:vAlign w:val="center"/>
          </w:tcPr>
          <w:p w14:paraId="21E643FB">
            <w:pPr>
              <w:autoSpaceDE w:val="0"/>
              <w:autoSpaceDN w:val="0"/>
              <w:snapToGrid w:val="0"/>
              <w:spacing w:line="200" w:lineRule="atLeast"/>
              <w:jc w:val="center"/>
              <w:rPr>
                <w:rFonts w:hint="eastAsia" w:ascii="Times New Roman" w:hAnsi="Times New Roman" w:eastAsia="宋体" w:cs="宋体"/>
                <w:b/>
                <w:bCs/>
                <w:color w:val="000000"/>
                <w:sz w:val="30"/>
                <w:szCs w:val="30"/>
                <w:lang w:val="en-US" w:eastAsia="zh-CN"/>
              </w:rPr>
            </w:pPr>
            <w:r>
              <w:rPr>
                <w:rFonts w:hint="eastAsia" w:ascii="Times New Roman" w:hAnsi="Times New Roman" w:eastAsia="宋体" w:cs="宋体"/>
                <w:b/>
                <w:bCs/>
                <w:color w:val="000000"/>
                <w:sz w:val="30"/>
                <w:szCs w:val="30"/>
                <w:lang w:val="en-US" w:eastAsia="zh-CN"/>
              </w:rPr>
              <w:t>备注</w:t>
            </w:r>
          </w:p>
        </w:tc>
      </w:tr>
      <w:tr w14:paraId="132E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35" w:type="dxa"/>
            <w:vAlign w:val="center"/>
          </w:tcPr>
          <w:p w14:paraId="0F34DA9E">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w:t>
            </w:r>
          </w:p>
        </w:tc>
        <w:tc>
          <w:tcPr>
            <w:tcW w:w="1305" w:type="dxa"/>
            <w:vAlign w:val="center"/>
          </w:tcPr>
          <w:p w14:paraId="70D0B1C5">
            <w:pPr>
              <w:widowControl/>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一月</w:t>
            </w:r>
          </w:p>
        </w:tc>
        <w:tc>
          <w:tcPr>
            <w:tcW w:w="7065" w:type="dxa"/>
            <w:vAlign w:val="center"/>
          </w:tcPr>
          <w:p w14:paraId="004178A6">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红旗村、毕桥村</w:t>
            </w:r>
          </w:p>
        </w:tc>
        <w:tc>
          <w:tcPr>
            <w:tcW w:w="885" w:type="dxa"/>
            <w:vAlign w:val="center"/>
          </w:tcPr>
          <w:p w14:paraId="499F270A">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660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35" w:type="dxa"/>
            <w:vAlign w:val="center"/>
          </w:tcPr>
          <w:p w14:paraId="5E2F4FE0">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w:t>
            </w:r>
          </w:p>
        </w:tc>
        <w:tc>
          <w:tcPr>
            <w:tcW w:w="1305" w:type="dxa"/>
            <w:vAlign w:val="center"/>
          </w:tcPr>
          <w:p w14:paraId="64465D7D">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二月</w:t>
            </w:r>
          </w:p>
        </w:tc>
        <w:tc>
          <w:tcPr>
            <w:tcW w:w="7065" w:type="dxa"/>
            <w:vAlign w:val="center"/>
          </w:tcPr>
          <w:p w14:paraId="1C35ED26">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乐天村、李白村</w:t>
            </w:r>
          </w:p>
        </w:tc>
        <w:tc>
          <w:tcPr>
            <w:tcW w:w="885" w:type="dxa"/>
            <w:vAlign w:val="center"/>
          </w:tcPr>
          <w:p w14:paraId="65777A9A">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7949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35" w:type="dxa"/>
            <w:vAlign w:val="center"/>
          </w:tcPr>
          <w:p w14:paraId="0BD80331">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w:t>
            </w:r>
          </w:p>
        </w:tc>
        <w:tc>
          <w:tcPr>
            <w:tcW w:w="1305" w:type="dxa"/>
            <w:vAlign w:val="center"/>
          </w:tcPr>
          <w:p w14:paraId="38EED03C">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三月</w:t>
            </w:r>
          </w:p>
        </w:tc>
        <w:tc>
          <w:tcPr>
            <w:tcW w:w="7065" w:type="dxa"/>
            <w:vAlign w:val="center"/>
          </w:tcPr>
          <w:p w14:paraId="26CCA47C">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竹鸡村、环大村</w:t>
            </w:r>
          </w:p>
        </w:tc>
        <w:tc>
          <w:tcPr>
            <w:tcW w:w="885" w:type="dxa"/>
            <w:vAlign w:val="center"/>
          </w:tcPr>
          <w:p w14:paraId="4FE61C0D">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5CB5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35" w:type="dxa"/>
            <w:vAlign w:val="center"/>
          </w:tcPr>
          <w:p w14:paraId="727B8FDE">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4</w:t>
            </w:r>
          </w:p>
        </w:tc>
        <w:tc>
          <w:tcPr>
            <w:tcW w:w="1305" w:type="dxa"/>
            <w:vAlign w:val="center"/>
          </w:tcPr>
          <w:p w14:paraId="5E5CDFE4">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四月</w:t>
            </w:r>
          </w:p>
        </w:tc>
        <w:tc>
          <w:tcPr>
            <w:tcW w:w="7065" w:type="dxa"/>
            <w:vAlign w:val="center"/>
          </w:tcPr>
          <w:p w14:paraId="4C63EE32">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母安社区、永胜村</w:t>
            </w:r>
          </w:p>
        </w:tc>
        <w:tc>
          <w:tcPr>
            <w:tcW w:w="885" w:type="dxa"/>
            <w:vAlign w:val="center"/>
          </w:tcPr>
          <w:p w14:paraId="322D307C">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309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35" w:type="dxa"/>
            <w:vAlign w:val="center"/>
          </w:tcPr>
          <w:p w14:paraId="64486A59">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5</w:t>
            </w:r>
          </w:p>
        </w:tc>
        <w:tc>
          <w:tcPr>
            <w:tcW w:w="1305" w:type="dxa"/>
            <w:vAlign w:val="center"/>
          </w:tcPr>
          <w:p w14:paraId="1BB73F1A">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五</w:t>
            </w:r>
            <w:r>
              <w:rPr>
                <w:rFonts w:hint="eastAsia" w:ascii="Times New Roman" w:hAnsi="Times New Roman" w:eastAsia="方正仿宋_GBK" w:cs="方正仿宋_GBK"/>
                <w:color w:val="000000"/>
                <w:sz w:val="32"/>
                <w:szCs w:val="32"/>
              </w:rPr>
              <w:t>月</w:t>
            </w:r>
          </w:p>
        </w:tc>
        <w:tc>
          <w:tcPr>
            <w:tcW w:w="7065" w:type="dxa"/>
            <w:vAlign w:val="center"/>
          </w:tcPr>
          <w:p w14:paraId="6BD380EA">
            <w:pPr>
              <w:widowControl/>
              <w:wordWrap/>
              <w:adjustRightInd/>
              <w:snapToGrid/>
              <w:spacing w:line="0" w:lineRule="atLeast"/>
              <w:ind w:left="0" w:leftChars="0" w:right="0" w:firstLine="0" w:firstLineChars="0"/>
              <w:jc w:val="left"/>
              <w:textAlignment w:val="auto"/>
              <w:outlineLvl w:val="9"/>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白杨村、六角村</w:t>
            </w:r>
          </w:p>
        </w:tc>
        <w:tc>
          <w:tcPr>
            <w:tcW w:w="885" w:type="dxa"/>
            <w:vAlign w:val="center"/>
          </w:tcPr>
          <w:p w14:paraId="7A8A06B4">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42E0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5" w:type="dxa"/>
            <w:vAlign w:val="center"/>
          </w:tcPr>
          <w:p w14:paraId="166C5154">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6</w:t>
            </w:r>
          </w:p>
        </w:tc>
        <w:tc>
          <w:tcPr>
            <w:tcW w:w="1305" w:type="dxa"/>
            <w:vAlign w:val="center"/>
          </w:tcPr>
          <w:p w14:paraId="54649284">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六月</w:t>
            </w:r>
          </w:p>
        </w:tc>
        <w:tc>
          <w:tcPr>
            <w:tcW w:w="7065" w:type="dxa"/>
            <w:vAlign w:val="center"/>
          </w:tcPr>
          <w:p w14:paraId="4005B595">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双塘村、江石村</w:t>
            </w:r>
          </w:p>
        </w:tc>
        <w:tc>
          <w:tcPr>
            <w:tcW w:w="885" w:type="dxa"/>
            <w:vAlign w:val="center"/>
          </w:tcPr>
          <w:p w14:paraId="56B0D713">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2767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5" w:type="dxa"/>
            <w:vAlign w:val="center"/>
          </w:tcPr>
          <w:p w14:paraId="56463373">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7</w:t>
            </w:r>
          </w:p>
        </w:tc>
        <w:tc>
          <w:tcPr>
            <w:tcW w:w="1305" w:type="dxa"/>
            <w:vAlign w:val="center"/>
          </w:tcPr>
          <w:p w14:paraId="33C7DB71">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七</w:t>
            </w:r>
            <w:r>
              <w:rPr>
                <w:rFonts w:hint="eastAsia" w:ascii="Times New Roman" w:hAnsi="Times New Roman" w:eastAsia="方正仿宋_GBK" w:cs="方正仿宋_GBK"/>
                <w:color w:val="000000"/>
                <w:sz w:val="32"/>
                <w:szCs w:val="32"/>
              </w:rPr>
              <w:t>月</w:t>
            </w:r>
          </w:p>
        </w:tc>
        <w:tc>
          <w:tcPr>
            <w:tcW w:w="7065" w:type="dxa"/>
            <w:vAlign w:val="center"/>
          </w:tcPr>
          <w:p w14:paraId="1A322B87">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双坪村、安坪村</w:t>
            </w:r>
          </w:p>
        </w:tc>
        <w:tc>
          <w:tcPr>
            <w:tcW w:w="885" w:type="dxa"/>
            <w:vAlign w:val="center"/>
          </w:tcPr>
          <w:p w14:paraId="06C3CE96">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1707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5" w:type="dxa"/>
            <w:vAlign w:val="center"/>
          </w:tcPr>
          <w:p w14:paraId="681D18A7">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8</w:t>
            </w:r>
          </w:p>
        </w:tc>
        <w:tc>
          <w:tcPr>
            <w:tcW w:w="1305" w:type="dxa"/>
            <w:vAlign w:val="center"/>
          </w:tcPr>
          <w:p w14:paraId="2D84944C">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八月</w:t>
            </w:r>
          </w:p>
        </w:tc>
        <w:tc>
          <w:tcPr>
            <w:tcW w:w="7065" w:type="dxa"/>
            <w:vAlign w:val="center"/>
          </w:tcPr>
          <w:p w14:paraId="31FA7613">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沙坪社区、东印村</w:t>
            </w:r>
          </w:p>
        </w:tc>
        <w:tc>
          <w:tcPr>
            <w:tcW w:w="885" w:type="dxa"/>
            <w:vAlign w:val="center"/>
          </w:tcPr>
          <w:p w14:paraId="60BAB0F0">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2516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35" w:type="dxa"/>
            <w:vAlign w:val="center"/>
          </w:tcPr>
          <w:p w14:paraId="64745237">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9</w:t>
            </w:r>
          </w:p>
        </w:tc>
        <w:tc>
          <w:tcPr>
            <w:tcW w:w="1305" w:type="dxa"/>
            <w:vAlign w:val="center"/>
          </w:tcPr>
          <w:p w14:paraId="11C63254">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九</w:t>
            </w:r>
            <w:r>
              <w:rPr>
                <w:rFonts w:hint="eastAsia" w:ascii="Times New Roman" w:hAnsi="Times New Roman" w:eastAsia="方正仿宋_GBK" w:cs="方正仿宋_GBK"/>
                <w:color w:val="000000"/>
                <w:sz w:val="32"/>
                <w:szCs w:val="32"/>
              </w:rPr>
              <w:t>月</w:t>
            </w:r>
          </w:p>
        </w:tc>
        <w:tc>
          <w:tcPr>
            <w:tcW w:w="7065" w:type="dxa"/>
            <w:vAlign w:val="center"/>
          </w:tcPr>
          <w:p w14:paraId="5A6D948A">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平乐村、前进村</w:t>
            </w:r>
          </w:p>
        </w:tc>
        <w:tc>
          <w:tcPr>
            <w:tcW w:w="885" w:type="dxa"/>
            <w:vAlign w:val="center"/>
          </w:tcPr>
          <w:p w14:paraId="705175E5">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1804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35" w:type="dxa"/>
            <w:vAlign w:val="center"/>
          </w:tcPr>
          <w:p w14:paraId="79C8C17D">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10</w:t>
            </w:r>
          </w:p>
        </w:tc>
        <w:tc>
          <w:tcPr>
            <w:tcW w:w="1305" w:type="dxa"/>
            <w:vAlign w:val="center"/>
          </w:tcPr>
          <w:p w14:paraId="3A6405F1">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十月</w:t>
            </w:r>
          </w:p>
        </w:tc>
        <w:tc>
          <w:tcPr>
            <w:tcW w:w="7065" w:type="dxa"/>
            <w:vAlign w:val="center"/>
          </w:tcPr>
          <w:p w14:paraId="761F1D27">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人和村</w:t>
            </w:r>
          </w:p>
        </w:tc>
        <w:tc>
          <w:tcPr>
            <w:tcW w:w="885" w:type="dxa"/>
            <w:vAlign w:val="center"/>
          </w:tcPr>
          <w:p w14:paraId="1CCE5CA7">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758A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35" w:type="dxa"/>
            <w:vAlign w:val="center"/>
          </w:tcPr>
          <w:p w14:paraId="07715C66">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11</w:t>
            </w:r>
          </w:p>
        </w:tc>
        <w:tc>
          <w:tcPr>
            <w:tcW w:w="1305" w:type="dxa"/>
            <w:vAlign w:val="center"/>
          </w:tcPr>
          <w:p w14:paraId="07C72128">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十一月</w:t>
            </w:r>
          </w:p>
        </w:tc>
        <w:tc>
          <w:tcPr>
            <w:tcW w:w="7065" w:type="dxa"/>
            <w:vAlign w:val="center"/>
          </w:tcPr>
          <w:p w14:paraId="4B82A1BE">
            <w:pPr>
              <w:widowControl/>
              <w:wordWrap/>
              <w:adjustRightInd/>
              <w:snapToGrid/>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抽查武安片相关村（社区）农业企业安全生产情况</w:t>
            </w:r>
          </w:p>
        </w:tc>
        <w:tc>
          <w:tcPr>
            <w:tcW w:w="885" w:type="dxa"/>
            <w:vAlign w:val="center"/>
          </w:tcPr>
          <w:p w14:paraId="63145A44">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r w14:paraId="6B82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35" w:type="dxa"/>
            <w:vAlign w:val="center"/>
          </w:tcPr>
          <w:p w14:paraId="46EC1203">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12</w:t>
            </w:r>
          </w:p>
        </w:tc>
        <w:tc>
          <w:tcPr>
            <w:tcW w:w="1305" w:type="dxa"/>
            <w:vAlign w:val="center"/>
          </w:tcPr>
          <w:p w14:paraId="5BB81D0B">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十二月</w:t>
            </w:r>
          </w:p>
        </w:tc>
        <w:tc>
          <w:tcPr>
            <w:tcW w:w="7065" w:type="dxa"/>
            <w:vAlign w:val="center"/>
          </w:tcPr>
          <w:p w14:paraId="5B1891C4">
            <w:pPr>
              <w:wordWrap/>
              <w:autoSpaceDE w:val="0"/>
              <w:autoSpaceDN w:val="0"/>
              <w:adjustRightInd/>
              <w:snapToGrid w:val="0"/>
              <w:spacing w:line="0" w:lineRule="atLeast"/>
              <w:ind w:left="0" w:leftChars="0" w:right="0" w:firstLine="0" w:firstLineChars="0"/>
              <w:jc w:val="left"/>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抽查沙坪片相关村（社区）农业企业安全生产情况</w:t>
            </w:r>
          </w:p>
        </w:tc>
        <w:tc>
          <w:tcPr>
            <w:tcW w:w="885" w:type="dxa"/>
            <w:vAlign w:val="center"/>
          </w:tcPr>
          <w:p w14:paraId="67A6986E">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p>
        </w:tc>
      </w:tr>
    </w:tbl>
    <w:p w14:paraId="57C7D52D">
      <w:pPr>
        <w:rPr>
          <w:rFonts w:hint="eastAsia" w:ascii="Times New Roman" w:hAnsi="Times New Roman" w:eastAsia="方正黑体_GBK" w:cs="方正黑体_GBK"/>
          <w:color w:val="000000"/>
          <w:sz w:val="32"/>
          <w:szCs w:val="24"/>
        </w:rPr>
      </w:pPr>
    </w:p>
    <w:p w14:paraId="6BBF1DB7">
      <w:pPr>
        <w:autoSpaceDE w:val="0"/>
        <w:autoSpaceDN w:val="0"/>
        <w:snapToGrid w:val="0"/>
        <w:jc w:val="left"/>
        <w:rPr>
          <w:rFonts w:hint="eastAsia" w:ascii="Times New Roman" w:hAnsi="Times New Roman" w:eastAsia="方正仿宋_GBK" w:cs="方正仿宋_GBK"/>
          <w:b/>
          <w:bCs/>
          <w:color w:val="000000"/>
          <w:sz w:val="32"/>
          <w:szCs w:val="32"/>
          <w:lang w:eastAsia="zh-CN"/>
        </w:rPr>
      </w:pPr>
    </w:p>
    <w:p w14:paraId="27F1E8BD">
      <w:pPr>
        <w:autoSpaceDE w:val="0"/>
        <w:autoSpaceDN w:val="0"/>
        <w:snapToGrid w:val="0"/>
        <w:jc w:val="left"/>
        <w:rPr>
          <w:rFonts w:hint="eastAsia" w:ascii="Times New Roman" w:hAnsi="Times New Roman" w:eastAsia="方正黑体_GBK" w:cs="方正黑体_GBK"/>
          <w:b w:val="0"/>
          <w:bCs w:val="0"/>
          <w:color w:val="000000"/>
          <w:sz w:val="32"/>
          <w:szCs w:val="32"/>
          <w:lang w:val="en-US" w:eastAsia="zh-CN"/>
        </w:rPr>
      </w:pPr>
      <w:r>
        <w:rPr>
          <w:rFonts w:hint="eastAsia" w:ascii="Times New Roman" w:hAnsi="Times New Roman" w:eastAsia="方正黑体_GBK" w:cs="方正黑体_GBK"/>
          <w:b w:val="0"/>
          <w:bCs w:val="0"/>
          <w:color w:val="000000"/>
          <w:sz w:val="32"/>
          <w:szCs w:val="32"/>
          <w:lang w:eastAsia="zh-CN"/>
        </w:rPr>
        <w:t>附</w:t>
      </w:r>
      <w:r>
        <w:rPr>
          <w:rFonts w:hint="eastAsia" w:ascii="Times New Roman" w:hAnsi="Times New Roman" w:eastAsia="方正黑体_GBK" w:cs="方正黑体_GBK"/>
          <w:b w:val="0"/>
          <w:bCs w:val="0"/>
          <w:color w:val="000000"/>
          <w:sz w:val="32"/>
          <w:szCs w:val="32"/>
          <w:lang w:val="en-US" w:eastAsia="zh-CN"/>
        </w:rPr>
        <w:t>表2</w:t>
      </w:r>
    </w:p>
    <w:p w14:paraId="174F12CA">
      <w:pPr>
        <w:autoSpaceDE w:val="0"/>
        <w:autoSpaceDN w:val="0"/>
        <w:snapToGrid w:val="0"/>
        <w:jc w:val="center"/>
        <w:rPr>
          <w:rFonts w:hint="eastAsia" w:ascii="Times New Roman" w:hAnsi="Times New Roman" w:eastAsia="方正小标宋_GBK" w:cs="方正小标宋_GBK"/>
          <w:color w:val="000000"/>
          <w:sz w:val="36"/>
          <w:szCs w:val="36"/>
        </w:rPr>
      </w:pPr>
    </w:p>
    <w:p w14:paraId="3699E9DE">
      <w:pPr>
        <w:autoSpaceDE w:val="0"/>
        <w:autoSpaceDN w:val="0"/>
        <w:snapToGrid w:val="0"/>
        <w:jc w:val="center"/>
        <w:rPr>
          <w:rFonts w:hint="eastAsia" w:ascii="Times New Roman" w:hAnsi="Times New Roman" w:eastAsia="方正小标宋_GBK" w:cs="黑体"/>
          <w:sz w:val="36"/>
          <w:szCs w:val="36"/>
          <w:lang w:eastAsia="zh-CN"/>
        </w:rPr>
      </w:pPr>
      <w:r>
        <w:rPr>
          <w:rFonts w:hint="eastAsia" w:ascii="Times New Roman" w:hAnsi="Times New Roman" w:eastAsia="方正小标宋_GBK" w:cs="方正小标宋_GBK"/>
          <w:color w:val="000000"/>
          <w:sz w:val="36"/>
          <w:szCs w:val="36"/>
        </w:rPr>
        <w:t>202</w:t>
      </w:r>
      <w:r>
        <w:rPr>
          <w:rFonts w:hint="eastAsia" w:ascii="Times New Roman" w:hAnsi="Times New Roman" w:eastAsia="方正小标宋_GBK" w:cs="方正小标宋_GBK"/>
          <w:color w:val="000000"/>
          <w:sz w:val="36"/>
          <w:szCs w:val="36"/>
          <w:lang w:val="en-US" w:eastAsia="zh-CN"/>
        </w:rPr>
        <w:t>5年</w:t>
      </w:r>
      <w:r>
        <w:rPr>
          <w:rFonts w:hint="eastAsia" w:ascii="Times New Roman" w:hAnsi="Times New Roman" w:eastAsia="方正小标宋_GBK" w:cs="方正小标宋_GBK"/>
          <w:color w:val="000000"/>
          <w:sz w:val="36"/>
          <w:szCs w:val="36"/>
          <w:lang w:eastAsia="zh-CN"/>
        </w:rPr>
        <w:t>农产品质量安全重点检查表</w:t>
      </w:r>
    </w:p>
    <w:tbl>
      <w:tblPr>
        <w:tblStyle w:val="18"/>
        <w:tblpPr w:leftFromText="180" w:rightFromText="180" w:vertAnchor="text" w:horzAnchor="page" w:tblpX="1395" w:tblpY="281"/>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40"/>
        <w:gridCol w:w="5498"/>
        <w:gridCol w:w="2182"/>
      </w:tblGrid>
      <w:tr w14:paraId="3BB6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7" w:type="dxa"/>
            <w:vAlign w:val="center"/>
          </w:tcPr>
          <w:p w14:paraId="17FE4156">
            <w:pPr>
              <w:autoSpaceDE w:val="0"/>
              <w:autoSpaceDN w:val="0"/>
              <w:snapToGrid w:val="0"/>
              <w:spacing w:line="200" w:lineRule="atLeast"/>
              <w:jc w:val="center"/>
              <w:rPr>
                <w:rFonts w:hint="eastAsia" w:ascii="Times New Roman" w:hAnsi="Times New Roman" w:eastAsia="宋体" w:cs="宋体"/>
                <w:b/>
                <w:bCs/>
                <w:color w:val="000000"/>
                <w:sz w:val="30"/>
                <w:szCs w:val="30"/>
              </w:rPr>
            </w:pPr>
            <w:r>
              <w:rPr>
                <w:rFonts w:hint="eastAsia" w:ascii="Times New Roman" w:hAnsi="Times New Roman" w:eastAsia="宋体" w:cs="宋体"/>
                <w:b/>
                <w:bCs/>
                <w:color w:val="000000"/>
                <w:sz w:val="30"/>
                <w:szCs w:val="30"/>
              </w:rPr>
              <w:t>序号</w:t>
            </w:r>
          </w:p>
        </w:tc>
        <w:tc>
          <w:tcPr>
            <w:tcW w:w="1240" w:type="dxa"/>
            <w:vAlign w:val="center"/>
          </w:tcPr>
          <w:p w14:paraId="5224231C">
            <w:pPr>
              <w:autoSpaceDE w:val="0"/>
              <w:autoSpaceDN w:val="0"/>
              <w:snapToGrid w:val="0"/>
              <w:spacing w:line="200" w:lineRule="atLeast"/>
              <w:jc w:val="center"/>
              <w:rPr>
                <w:rFonts w:hint="eastAsia" w:ascii="Times New Roman" w:hAnsi="Times New Roman" w:eastAsia="宋体" w:cs="宋体"/>
                <w:b/>
                <w:bCs/>
                <w:color w:val="000000"/>
                <w:sz w:val="30"/>
                <w:szCs w:val="30"/>
                <w:lang w:eastAsia="zh-CN"/>
              </w:rPr>
            </w:pPr>
            <w:r>
              <w:rPr>
                <w:rFonts w:hint="eastAsia" w:ascii="Times New Roman" w:hAnsi="Times New Roman" w:eastAsia="宋体" w:cs="宋体"/>
                <w:b/>
                <w:bCs/>
                <w:color w:val="000000"/>
                <w:sz w:val="30"/>
                <w:szCs w:val="30"/>
                <w:lang w:eastAsia="zh-CN"/>
              </w:rPr>
              <w:t>季度</w:t>
            </w:r>
          </w:p>
        </w:tc>
        <w:tc>
          <w:tcPr>
            <w:tcW w:w="5498" w:type="dxa"/>
            <w:vAlign w:val="center"/>
          </w:tcPr>
          <w:p w14:paraId="415619B1">
            <w:pPr>
              <w:autoSpaceDE w:val="0"/>
              <w:autoSpaceDN w:val="0"/>
              <w:snapToGrid w:val="0"/>
              <w:spacing w:line="200" w:lineRule="atLeast"/>
              <w:jc w:val="center"/>
              <w:rPr>
                <w:rFonts w:hint="eastAsia" w:ascii="Times New Roman" w:hAnsi="Times New Roman" w:eastAsia="宋体" w:cs="宋体"/>
                <w:b/>
                <w:bCs/>
                <w:color w:val="000000"/>
                <w:sz w:val="30"/>
                <w:szCs w:val="30"/>
                <w:lang w:eastAsia="zh-CN"/>
              </w:rPr>
            </w:pPr>
            <w:r>
              <w:rPr>
                <w:rFonts w:hint="eastAsia" w:ascii="Times New Roman" w:hAnsi="Times New Roman" w:eastAsia="宋体" w:cs="宋体"/>
                <w:b/>
                <w:bCs/>
                <w:color w:val="000000"/>
                <w:sz w:val="30"/>
                <w:szCs w:val="30"/>
                <w:lang w:eastAsia="zh-CN"/>
              </w:rPr>
              <w:t>主体名称</w:t>
            </w:r>
          </w:p>
        </w:tc>
        <w:tc>
          <w:tcPr>
            <w:tcW w:w="2182" w:type="dxa"/>
            <w:vAlign w:val="center"/>
          </w:tcPr>
          <w:p w14:paraId="47346296">
            <w:pPr>
              <w:autoSpaceDE w:val="0"/>
              <w:autoSpaceDN w:val="0"/>
              <w:snapToGrid w:val="0"/>
              <w:spacing w:line="200" w:lineRule="atLeast"/>
              <w:jc w:val="center"/>
              <w:rPr>
                <w:rFonts w:hint="eastAsia" w:ascii="Times New Roman" w:hAnsi="Times New Roman" w:eastAsia="宋体" w:cs="宋体"/>
                <w:b/>
                <w:bCs/>
                <w:color w:val="000000"/>
                <w:sz w:val="30"/>
                <w:szCs w:val="30"/>
                <w:lang w:val="en-US" w:eastAsia="zh-CN"/>
              </w:rPr>
            </w:pPr>
            <w:r>
              <w:rPr>
                <w:rFonts w:hint="eastAsia" w:ascii="Times New Roman" w:hAnsi="Times New Roman" w:eastAsia="宋体" w:cs="宋体"/>
                <w:b/>
                <w:bCs/>
                <w:color w:val="000000"/>
                <w:sz w:val="30"/>
                <w:szCs w:val="30"/>
                <w:lang w:val="en-US" w:eastAsia="zh-CN"/>
              </w:rPr>
              <w:t>种类</w:t>
            </w:r>
          </w:p>
        </w:tc>
      </w:tr>
      <w:tr w14:paraId="010A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17" w:type="dxa"/>
            <w:vAlign w:val="center"/>
          </w:tcPr>
          <w:p w14:paraId="2F12A432">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w:t>
            </w:r>
          </w:p>
        </w:tc>
        <w:tc>
          <w:tcPr>
            <w:tcW w:w="1240" w:type="dxa"/>
            <w:vAlign w:val="center"/>
          </w:tcPr>
          <w:p w14:paraId="1E1D4035">
            <w:pPr>
              <w:widowControl/>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rPr>
              <w:t>一</w:t>
            </w:r>
            <w:r>
              <w:rPr>
                <w:rFonts w:hint="eastAsia" w:ascii="Times New Roman" w:hAnsi="Times New Roman" w:eastAsia="方正仿宋_GBK" w:cs="方正仿宋_GBK"/>
                <w:color w:val="000000"/>
                <w:sz w:val="32"/>
                <w:szCs w:val="32"/>
                <w:lang w:eastAsia="zh-CN"/>
              </w:rPr>
              <w:t>季度</w:t>
            </w:r>
          </w:p>
        </w:tc>
        <w:tc>
          <w:tcPr>
            <w:tcW w:w="5498" w:type="dxa"/>
            <w:vAlign w:val="center"/>
          </w:tcPr>
          <w:p w14:paraId="7C3E5B20">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刘德英、李国华</w:t>
            </w:r>
          </w:p>
        </w:tc>
        <w:tc>
          <w:tcPr>
            <w:tcW w:w="2182" w:type="dxa"/>
            <w:vAlign w:val="center"/>
          </w:tcPr>
          <w:p w14:paraId="0835E840">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val="en-US" w:eastAsia="zh-CN"/>
              </w:rPr>
              <w:t>农资经营主体</w:t>
            </w:r>
          </w:p>
        </w:tc>
      </w:tr>
      <w:tr w14:paraId="000B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7" w:type="dxa"/>
            <w:vAlign w:val="center"/>
          </w:tcPr>
          <w:p w14:paraId="3BE36D0A">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w:t>
            </w:r>
          </w:p>
        </w:tc>
        <w:tc>
          <w:tcPr>
            <w:tcW w:w="1240" w:type="dxa"/>
            <w:vAlign w:val="center"/>
          </w:tcPr>
          <w:p w14:paraId="7502EC9F">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二季度</w:t>
            </w:r>
          </w:p>
        </w:tc>
        <w:tc>
          <w:tcPr>
            <w:tcW w:w="5498" w:type="dxa"/>
            <w:vAlign w:val="center"/>
          </w:tcPr>
          <w:p w14:paraId="40251E94">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黄胜利、卢家兴、贺洪贵</w:t>
            </w:r>
          </w:p>
        </w:tc>
        <w:tc>
          <w:tcPr>
            <w:tcW w:w="2182" w:type="dxa"/>
            <w:vAlign w:val="center"/>
          </w:tcPr>
          <w:p w14:paraId="0F191768">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val="en-US" w:eastAsia="zh-CN"/>
              </w:rPr>
              <w:t>农资经营主体</w:t>
            </w:r>
          </w:p>
        </w:tc>
      </w:tr>
      <w:tr w14:paraId="080C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7" w:type="dxa"/>
            <w:vAlign w:val="center"/>
          </w:tcPr>
          <w:p w14:paraId="53AA0076">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w:t>
            </w:r>
          </w:p>
        </w:tc>
        <w:tc>
          <w:tcPr>
            <w:tcW w:w="1240" w:type="dxa"/>
            <w:vAlign w:val="center"/>
          </w:tcPr>
          <w:p w14:paraId="46806BDC">
            <w:pPr>
              <w:autoSpaceDE w:val="0"/>
              <w:autoSpaceDN w:val="0"/>
              <w:snapToGrid w:val="0"/>
              <w:spacing w:line="200" w:lineRule="atLeast"/>
              <w:jc w:val="center"/>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三季度</w:t>
            </w:r>
          </w:p>
        </w:tc>
        <w:tc>
          <w:tcPr>
            <w:tcW w:w="5498" w:type="dxa"/>
            <w:vAlign w:val="center"/>
          </w:tcPr>
          <w:p w14:paraId="2C76339F">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垫江县卢桂芳</w:t>
            </w:r>
            <w:r>
              <w:rPr>
                <w:rFonts w:hint="eastAsia" w:ascii="Times New Roman" w:hAnsi="Times New Roman" w:eastAsia="方正仿宋_GBK" w:cs="方正仿宋_GBK"/>
                <w:kern w:val="2"/>
                <w:sz w:val="32"/>
                <w:szCs w:val="32"/>
                <w:lang w:val="en-US" w:eastAsia="zh-CN"/>
              </w:rPr>
              <w:t>农资经营部、垫江县包静农资经营部</w:t>
            </w:r>
          </w:p>
        </w:tc>
        <w:tc>
          <w:tcPr>
            <w:tcW w:w="2182" w:type="dxa"/>
            <w:vAlign w:val="center"/>
          </w:tcPr>
          <w:p w14:paraId="1370B1FB">
            <w:pPr>
              <w:widowControl/>
              <w:wordWrap/>
              <w:adjustRightInd/>
              <w:snapToGrid/>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val="en-US" w:eastAsia="zh-CN"/>
              </w:rPr>
              <w:t>农资经营主体</w:t>
            </w:r>
          </w:p>
        </w:tc>
      </w:tr>
      <w:tr w14:paraId="6E33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7" w:type="dxa"/>
            <w:vAlign w:val="center"/>
          </w:tcPr>
          <w:p w14:paraId="26CA026B">
            <w:pPr>
              <w:autoSpaceDE w:val="0"/>
              <w:autoSpaceDN w:val="0"/>
              <w:snapToGrid w:val="0"/>
              <w:spacing w:line="200" w:lineRule="atLeast"/>
              <w:jc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4</w:t>
            </w:r>
          </w:p>
        </w:tc>
        <w:tc>
          <w:tcPr>
            <w:tcW w:w="1240" w:type="dxa"/>
            <w:vAlign w:val="center"/>
          </w:tcPr>
          <w:p w14:paraId="7E897E86">
            <w:pPr>
              <w:autoSpaceDE w:val="0"/>
              <w:autoSpaceDN w:val="0"/>
              <w:snapToGrid w:val="0"/>
              <w:spacing w:line="200" w:lineRule="atLeast"/>
              <w:jc w:val="center"/>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四季度</w:t>
            </w:r>
          </w:p>
        </w:tc>
        <w:tc>
          <w:tcPr>
            <w:tcW w:w="5498" w:type="dxa"/>
            <w:vAlign w:val="center"/>
          </w:tcPr>
          <w:p w14:paraId="5EB9CEBA">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罗启会、代泽会</w:t>
            </w:r>
          </w:p>
        </w:tc>
        <w:tc>
          <w:tcPr>
            <w:tcW w:w="2182" w:type="dxa"/>
            <w:vAlign w:val="center"/>
          </w:tcPr>
          <w:p w14:paraId="36E985EA">
            <w:pPr>
              <w:wordWrap/>
              <w:autoSpaceDE w:val="0"/>
              <w:autoSpaceDN w:val="0"/>
              <w:adjustRightInd/>
              <w:snapToGrid w:val="0"/>
              <w:spacing w:line="0" w:lineRule="atLeast"/>
              <w:ind w:left="0" w:leftChars="0" w:right="0" w:firstLine="0" w:firstLineChars="0"/>
              <w:jc w:val="center"/>
              <w:textAlignment w:val="auto"/>
              <w:outlineLvl w:val="9"/>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val="en-US" w:eastAsia="zh-CN"/>
              </w:rPr>
              <w:t>农资经营主体</w:t>
            </w:r>
          </w:p>
        </w:tc>
      </w:tr>
    </w:tbl>
    <w:p w14:paraId="30A272F8">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3E0B6E6">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016A5880">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200FBF5">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7C071343">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40720FDC">
      <w:pPr>
        <w:widowControl w:val="0"/>
        <w:autoSpaceDE w:val="0"/>
        <w:autoSpaceDN w:val="0"/>
        <w:adjustRightInd w:val="0"/>
        <w:rPr>
          <w:rFonts w:hint="eastAsia" w:ascii="Times New Roman" w:hAnsi="Times New Roman" w:eastAsia="方正黑体_GBK" w:cs="方正黑体_GBK"/>
          <w:color w:val="000000"/>
          <w:sz w:val="24"/>
          <w:szCs w:val="24"/>
          <w:lang w:val="en-US" w:eastAsia="zh-CN" w:bidi="ar-SA"/>
        </w:rPr>
      </w:pPr>
    </w:p>
    <w:p w14:paraId="386088A4">
      <w:pPr>
        <w:widowControl w:val="0"/>
        <w:autoSpaceDE w:val="0"/>
        <w:autoSpaceDN w:val="0"/>
        <w:adjustRightInd w:val="0"/>
        <w:rPr>
          <w:rFonts w:hint="eastAsia" w:ascii="Times New Roman" w:hAnsi="Times New Roman" w:eastAsia="方正小标宋_GBK" w:cs="仿宋_GB2312"/>
          <w:color w:val="000000"/>
          <w:sz w:val="44"/>
          <w:szCs w:val="44"/>
          <w:lang w:val="en-US" w:eastAsia="zh-CN" w:bidi="ar-SA"/>
        </w:rPr>
      </w:pPr>
    </w:p>
    <w:p w14:paraId="678B95A9">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61C48864">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3207379F">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4E3A1E85">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69AFE44E">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29C4636D">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6" w:lineRule="exact"/>
        <w:textAlignment w:val="auto"/>
        <w:rPr>
          <w:rFonts w:hint="eastAsia" w:ascii="Times New Roman" w:hAnsi="Times New Roman" w:eastAsia="方正仿宋_GBK" w:cs="方正仿宋_GBK"/>
          <w:sz w:val="32"/>
          <w:szCs w:val="32"/>
          <w:lang w:val="en-US" w:eastAsia="zh-CN"/>
        </w:rPr>
      </w:pPr>
    </w:p>
    <w:p w14:paraId="4A21F3BD">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600" w:lineRule="exact"/>
        <w:ind w:firstLine="240" w:firstLineChars="100"/>
        <w:textAlignment w:val="auto"/>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方正仿宋_GBK" w:cs="方正仿宋_GBK"/>
          <w:color w:val="auto"/>
          <w:spacing w:val="-20"/>
          <w:sz w:val="28"/>
          <w:szCs w:val="28"/>
        </w:rPr>
        <w:t>垫江县沙坪镇</w:t>
      </w:r>
      <w:r>
        <w:rPr>
          <w:rFonts w:hint="eastAsia" w:ascii="Times New Roman" w:hAnsi="Times New Roman" w:eastAsia="方正仿宋_GBK" w:cs="方正仿宋_GBK"/>
          <w:color w:val="auto"/>
          <w:spacing w:val="-20"/>
          <w:sz w:val="28"/>
          <w:szCs w:val="28"/>
          <w:lang w:val="en-US" w:eastAsia="zh-CN"/>
        </w:rPr>
        <w:t>基层治理综合指挥室</w:t>
      </w:r>
      <w:r>
        <w:rPr>
          <w:rFonts w:hint="default" w:ascii="Times New Roman" w:hAnsi="Times New Roman" w:eastAsia="方正仿宋_GBK" w:cs="Times New Roman"/>
          <w:color w:val="auto"/>
          <w:spacing w:val="-20"/>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w:t>
      </w:r>
      <w:r>
        <w:rPr>
          <w:rFonts w:hint="default" w:ascii="Times New Roman" w:hAnsi="Times New Roman" w:eastAsia="方正仿宋_GBK" w:cs="Times New Roman"/>
          <w:color w:val="auto"/>
          <w:sz w:val="28"/>
          <w:szCs w:val="28"/>
          <w:lang w:val="en-US" w:eastAsia="zh-CN"/>
        </w:rPr>
        <w:t>2</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20</w:t>
      </w:r>
      <w:r>
        <w:rPr>
          <w:rFonts w:hint="default" w:ascii="Times New Roman" w:hAnsi="Times New Roman" w:eastAsia="方正仿宋_GBK" w:cs="Times New Roman"/>
          <w:color w:val="auto"/>
          <w:sz w:val="28"/>
          <w:szCs w:val="28"/>
        </w:rPr>
        <w:t>日印</w:t>
      </w:r>
      <w:r>
        <w:rPr>
          <w:rFonts w:hint="default" w:ascii="Times New Roman" w:hAnsi="Times New Roman" w:eastAsia="方正仿宋_GBK" w:cs="Times New Roman"/>
          <w:color w:val="auto"/>
          <w:sz w:val="28"/>
          <w:szCs w:val="28"/>
          <w:lang w:eastAsia="zh-CN"/>
        </w:rPr>
        <w:t>发</w:t>
      </w:r>
    </w:p>
    <w:sectPr>
      <w:headerReference r:id="rId4" w:type="default"/>
      <w:footerReference r:id="rId5" w:type="default"/>
      <w:pgSz w:w="11906" w:h="16838"/>
      <w:pgMar w:top="1985"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F716">
    <w:pPr>
      <w:widowControl w:val="0"/>
      <w:tabs>
        <w:tab w:val="center" w:pos="4153"/>
        <w:tab w:val="right" w:pos="8306"/>
      </w:tabs>
      <w:snapToGrid w:val="0"/>
      <w:jc w:val="left"/>
      <w:rPr>
        <w:rFonts w:ascii="Calibri" w:hAnsi="Calibri" w:eastAsia="方正仿宋_GBK" w:cs="黑体"/>
        <w:kern w:val="2"/>
        <w:sz w:val="18"/>
        <w:szCs w:val="24"/>
        <w:lang w:val="en-US" w:eastAsia="zh-CN" w:bidi="ar-SA"/>
      </w:rPr>
    </w:pPr>
    <w:r>
      <w:rPr>
        <w:rFonts w:ascii="Calibri" w:hAnsi="Calibri" w:eastAsia="方正仿宋_GBK"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35AFAB7">
                          <w:pPr>
                            <w:widowControl w:val="0"/>
                            <w:tabs>
                              <w:tab w:val="center" w:pos="4153"/>
                              <w:tab w:val="right" w:pos="8306"/>
                            </w:tabs>
                            <w:snapToGrid w:val="0"/>
                            <w:jc w:val="left"/>
                            <w:rPr>
                              <w:rFonts w:hint="default" w:ascii="Times New Roman" w:hAnsi="Times New Roman" w:eastAsia="方正仿宋_GBK" w:cs="Times New Roman"/>
                              <w:kern w:val="2"/>
                              <w:sz w:val="28"/>
                              <w:szCs w:val="28"/>
                              <w:lang w:val="en-US" w:eastAsia="zh-CN" w:bidi="ar-SA"/>
                            </w:rPr>
                          </w:pPr>
                          <w:r>
                            <w:rPr>
                              <w:rFonts w:hint="eastAsia" w:ascii="Calibri" w:hAnsi="Calibri" w:eastAsia="方正仿宋_GBK" w:cs="Times New Roman"/>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Calibri" w:hAnsi="Calibri" w:eastAsia="方正仿宋_GBK" w:cs="Times New Roman"/>
                              <w:kern w:val="2"/>
                              <w:sz w:val="28"/>
                              <w:szCs w:val="28"/>
                              <w:lang w:val="en-US" w:eastAsia="zh-CN" w:bidi="ar-SA"/>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135AFAB7">
                    <w:pPr>
                      <w:widowControl w:val="0"/>
                      <w:tabs>
                        <w:tab w:val="center" w:pos="4153"/>
                        <w:tab w:val="right" w:pos="8306"/>
                      </w:tabs>
                      <w:snapToGrid w:val="0"/>
                      <w:jc w:val="left"/>
                      <w:rPr>
                        <w:rFonts w:hint="default" w:ascii="Times New Roman" w:hAnsi="Times New Roman" w:eastAsia="方正仿宋_GBK" w:cs="Times New Roman"/>
                        <w:kern w:val="2"/>
                        <w:sz w:val="28"/>
                        <w:szCs w:val="28"/>
                        <w:lang w:val="en-US" w:eastAsia="zh-CN" w:bidi="ar-SA"/>
                      </w:rPr>
                    </w:pPr>
                    <w:r>
                      <w:rPr>
                        <w:rFonts w:hint="eastAsia" w:ascii="Calibri" w:hAnsi="Calibri" w:eastAsia="方正仿宋_GBK" w:cs="Times New Roman"/>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Calibri" w:hAnsi="Calibri" w:eastAsia="方正仿宋_GBK" w:cs="Times New Roman"/>
                        <w:kern w:val="2"/>
                        <w:sz w:val="28"/>
                        <w:szCs w:val="28"/>
                        <w:lang w:val="en-US" w:eastAsia="zh-CN" w:bidi="ar-SA"/>
                      </w:rPr>
                      <w:t xml:space="preserve"> —</w:t>
                    </w:r>
                  </w:p>
                </w:txbxContent>
              </v:textbox>
            </v:rect>
          </w:pict>
        </mc:Fallback>
      </mc:AlternateContent>
    </w:r>
    <w:r>
      <w:rPr>
        <w:rFonts w:ascii="Calibri" w:hAnsi="Calibri" w:eastAsia="方正仿宋_GBK"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51088AA">
                          <w:pPr>
                            <w:rPr>
                              <w:rFonts w:hint="default" w:eastAsia="方正仿宋_GBK" w:cs="黑体"/>
                              <w:sz w:val="32"/>
                              <w:szCs w:val="24"/>
                              <w:lang w:eastAsia="zh-CN"/>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251088AA">
                    <w:pPr>
                      <w:rPr>
                        <w:rFonts w:hint="default" w:eastAsia="方正仿宋_GBK" w:cs="黑体"/>
                        <w:sz w:val="32"/>
                        <w:szCs w:val="24"/>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F382">
    <w:pPr>
      <w:pStyle w:val="1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2D2D3">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92D2D3">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436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3B9F1"/>
    <w:multiLevelType w:val="singleLevel"/>
    <w:tmpl w:val="6073B9F1"/>
    <w:lvl w:ilvl="0" w:tentative="0">
      <w:start w:val="1"/>
      <w:numFmt w:val="chineseCounting"/>
      <w:suff w:val="nothing"/>
      <w:lvlText w:val="（%1）"/>
      <w:lvlJc w:val="left"/>
    </w:lvl>
  </w:abstractNum>
  <w:abstractNum w:abstractNumId="1">
    <w:nsid w:val="621EDA80"/>
    <w:multiLevelType w:val="singleLevel"/>
    <w:tmpl w:val="621EDA80"/>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1BBC"/>
    <w:rsid w:val="00002456"/>
    <w:rsid w:val="00005331"/>
    <w:rsid w:val="000115BC"/>
    <w:rsid w:val="00013B2E"/>
    <w:rsid w:val="00014071"/>
    <w:rsid w:val="00016B4C"/>
    <w:rsid w:val="0002538B"/>
    <w:rsid w:val="00035FAF"/>
    <w:rsid w:val="00044844"/>
    <w:rsid w:val="000460C0"/>
    <w:rsid w:val="000472D0"/>
    <w:rsid w:val="00050644"/>
    <w:rsid w:val="00050F3C"/>
    <w:rsid w:val="00051FCF"/>
    <w:rsid w:val="00052AD5"/>
    <w:rsid w:val="0005476B"/>
    <w:rsid w:val="00055AE6"/>
    <w:rsid w:val="00056811"/>
    <w:rsid w:val="00056F43"/>
    <w:rsid w:val="00057CD2"/>
    <w:rsid w:val="00062701"/>
    <w:rsid w:val="00062D7F"/>
    <w:rsid w:val="00063BA3"/>
    <w:rsid w:val="00070634"/>
    <w:rsid w:val="000717C2"/>
    <w:rsid w:val="00072EEB"/>
    <w:rsid w:val="00074AD4"/>
    <w:rsid w:val="00074EAD"/>
    <w:rsid w:val="000856C6"/>
    <w:rsid w:val="00092D76"/>
    <w:rsid w:val="000A0611"/>
    <w:rsid w:val="000A676C"/>
    <w:rsid w:val="000A6D64"/>
    <w:rsid w:val="000A7885"/>
    <w:rsid w:val="000A7FB9"/>
    <w:rsid w:val="000B00B0"/>
    <w:rsid w:val="000B03E1"/>
    <w:rsid w:val="000B2B2D"/>
    <w:rsid w:val="000B680D"/>
    <w:rsid w:val="000C2902"/>
    <w:rsid w:val="000C52BE"/>
    <w:rsid w:val="000D30BE"/>
    <w:rsid w:val="000D3709"/>
    <w:rsid w:val="000D4C2B"/>
    <w:rsid w:val="000E1C56"/>
    <w:rsid w:val="000E25D5"/>
    <w:rsid w:val="000E6A53"/>
    <w:rsid w:val="000F66C1"/>
    <w:rsid w:val="00100218"/>
    <w:rsid w:val="00100A71"/>
    <w:rsid w:val="00100D24"/>
    <w:rsid w:val="00101A15"/>
    <w:rsid w:val="001025B1"/>
    <w:rsid w:val="00102C28"/>
    <w:rsid w:val="001040E3"/>
    <w:rsid w:val="001101C4"/>
    <w:rsid w:val="00113E54"/>
    <w:rsid w:val="00114232"/>
    <w:rsid w:val="00121F87"/>
    <w:rsid w:val="001313E5"/>
    <w:rsid w:val="001323C3"/>
    <w:rsid w:val="0013280C"/>
    <w:rsid w:val="00141EE1"/>
    <w:rsid w:val="00142166"/>
    <w:rsid w:val="001464DB"/>
    <w:rsid w:val="00153214"/>
    <w:rsid w:val="0015528A"/>
    <w:rsid w:val="00155808"/>
    <w:rsid w:val="00155D6E"/>
    <w:rsid w:val="00156319"/>
    <w:rsid w:val="00162644"/>
    <w:rsid w:val="001648D2"/>
    <w:rsid w:val="00167225"/>
    <w:rsid w:val="001672C4"/>
    <w:rsid w:val="0016777C"/>
    <w:rsid w:val="00173BC1"/>
    <w:rsid w:val="00174010"/>
    <w:rsid w:val="00174112"/>
    <w:rsid w:val="00181F41"/>
    <w:rsid w:val="00190AE1"/>
    <w:rsid w:val="00196773"/>
    <w:rsid w:val="001A233E"/>
    <w:rsid w:val="001A2687"/>
    <w:rsid w:val="001A756A"/>
    <w:rsid w:val="001B0FD1"/>
    <w:rsid w:val="001B7917"/>
    <w:rsid w:val="001C47F7"/>
    <w:rsid w:val="001C4CB9"/>
    <w:rsid w:val="001C5BDE"/>
    <w:rsid w:val="001C73CD"/>
    <w:rsid w:val="001C78C5"/>
    <w:rsid w:val="001D0C98"/>
    <w:rsid w:val="001D286F"/>
    <w:rsid w:val="001D3CD5"/>
    <w:rsid w:val="001D7522"/>
    <w:rsid w:val="001D774F"/>
    <w:rsid w:val="001E0C89"/>
    <w:rsid w:val="001E1415"/>
    <w:rsid w:val="001E1D08"/>
    <w:rsid w:val="001F0FF3"/>
    <w:rsid w:val="001F12E9"/>
    <w:rsid w:val="001F1AC3"/>
    <w:rsid w:val="001F34F8"/>
    <w:rsid w:val="001F6F59"/>
    <w:rsid w:val="002100A1"/>
    <w:rsid w:val="002101CE"/>
    <w:rsid w:val="00211F21"/>
    <w:rsid w:val="00214352"/>
    <w:rsid w:val="002163AC"/>
    <w:rsid w:val="0021764A"/>
    <w:rsid w:val="00225277"/>
    <w:rsid w:val="00226D41"/>
    <w:rsid w:val="00227270"/>
    <w:rsid w:val="00240315"/>
    <w:rsid w:val="00240F06"/>
    <w:rsid w:val="00242B4F"/>
    <w:rsid w:val="00250F92"/>
    <w:rsid w:val="00251599"/>
    <w:rsid w:val="0025553B"/>
    <w:rsid w:val="00257685"/>
    <w:rsid w:val="00260DF4"/>
    <w:rsid w:val="00261F15"/>
    <w:rsid w:val="00262A09"/>
    <w:rsid w:val="00265F63"/>
    <w:rsid w:val="00270083"/>
    <w:rsid w:val="0028341B"/>
    <w:rsid w:val="002837CB"/>
    <w:rsid w:val="00284698"/>
    <w:rsid w:val="00285106"/>
    <w:rsid w:val="00287B93"/>
    <w:rsid w:val="00290574"/>
    <w:rsid w:val="00293574"/>
    <w:rsid w:val="002957E1"/>
    <w:rsid w:val="00296B3E"/>
    <w:rsid w:val="002A3793"/>
    <w:rsid w:val="002A4E31"/>
    <w:rsid w:val="002B046B"/>
    <w:rsid w:val="002B33B8"/>
    <w:rsid w:val="002B3749"/>
    <w:rsid w:val="002B4A28"/>
    <w:rsid w:val="002C226F"/>
    <w:rsid w:val="002C4857"/>
    <w:rsid w:val="002C5E0B"/>
    <w:rsid w:val="002C6966"/>
    <w:rsid w:val="002C7F61"/>
    <w:rsid w:val="002D766B"/>
    <w:rsid w:val="002E0E4B"/>
    <w:rsid w:val="002E1C74"/>
    <w:rsid w:val="002E3E34"/>
    <w:rsid w:val="002E484D"/>
    <w:rsid w:val="002E4F35"/>
    <w:rsid w:val="002F2A69"/>
    <w:rsid w:val="002F5296"/>
    <w:rsid w:val="00302AF0"/>
    <w:rsid w:val="00303E36"/>
    <w:rsid w:val="00305216"/>
    <w:rsid w:val="003108F1"/>
    <w:rsid w:val="00312038"/>
    <w:rsid w:val="00312732"/>
    <w:rsid w:val="003176A4"/>
    <w:rsid w:val="00317ECB"/>
    <w:rsid w:val="003218F6"/>
    <w:rsid w:val="00326EF0"/>
    <w:rsid w:val="00337E49"/>
    <w:rsid w:val="003418EB"/>
    <w:rsid w:val="0034683A"/>
    <w:rsid w:val="00351E78"/>
    <w:rsid w:val="00353B98"/>
    <w:rsid w:val="00353DA3"/>
    <w:rsid w:val="00355467"/>
    <w:rsid w:val="003641B0"/>
    <w:rsid w:val="00364684"/>
    <w:rsid w:val="00364C12"/>
    <w:rsid w:val="0036553B"/>
    <w:rsid w:val="00367E70"/>
    <w:rsid w:val="003715E1"/>
    <w:rsid w:val="00371C64"/>
    <w:rsid w:val="00372A52"/>
    <w:rsid w:val="00376600"/>
    <w:rsid w:val="0039524C"/>
    <w:rsid w:val="003A2014"/>
    <w:rsid w:val="003A5CF9"/>
    <w:rsid w:val="003A60C5"/>
    <w:rsid w:val="003A6206"/>
    <w:rsid w:val="003A62C2"/>
    <w:rsid w:val="003A6AA6"/>
    <w:rsid w:val="003B05F4"/>
    <w:rsid w:val="003B4BA2"/>
    <w:rsid w:val="003B5185"/>
    <w:rsid w:val="003B60B8"/>
    <w:rsid w:val="003C04E5"/>
    <w:rsid w:val="003C1AE5"/>
    <w:rsid w:val="003C6752"/>
    <w:rsid w:val="003D38A6"/>
    <w:rsid w:val="003D4805"/>
    <w:rsid w:val="003D6DEA"/>
    <w:rsid w:val="003D7CD1"/>
    <w:rsid w:val="003E1497"/>
    <w:rsid w:val="003E30C2"/>
    <w:rsid w:val="003E530D"/>
    <w:rsid w:val="003E7D72"/>
    <w:rsid w:val="003F1376"/>
    <w:rsid w:val="003F2872"/>
    <w:rsid w:val="003F46E7"/>
    <w:rsid w:val="003F4FED"/>
    <w:rsid w:val="003F50E3"/>
    <w:rsid w:val="003F6466"/>
    <w:rsid w:val="003F7C98"/>
    <w:rsid w:val="00404A7A"/>
    <w:rsid w:val="00405D83"/>
    <w:rsid w:val="00405DD6"/>
    <w:rsid w:val="00411E31"/>
    <w:rsid w:val="00414044"/>
    <w:rsid w:val="00416CED"/>
    <w:rsid w:val="004239D9"/>
    <w:rsid w:val="00423E7B"/>
    <w:rsid w:val="00426EC6"/>
    <w:rsid w:val="004301F6"/>
    <w:rsid w:val="0043230A"/>
    <w:rsid w:val="004326DB"/>
    <w:rsid w:val="00440E13"/>
    <w:rsid w:val="00445333"/>
    <w:rsid w:val="00445334"/>
    <w:rsid w:val="004461F6"/>
    <w:rsid w:val="00451D62"/>
    <w:rsid w:val="00453122"/>
    <w:rsid w:val="00455249"/>
    <w:rsid w:val="00461351"/>
    <w:rsid w:val="00461E54"/>
    <w:rsid w:val="004737D4"/>
    <w:rsid w:val="00475AF0"/>
    <w:rsid w:val="004773E9"/>
    <w:rsid w:val="004832F3"/>
    <w:rsid w:val="00484316"/>
    <w:rsid w:val="004844C6"/>
    <w:rsid w:val="004879A6"/>
    <w:rsid w:val="00490370"/>
    <w:rsid w:val="0049765E"/>
    <w:rsid w:val="00497A03"/>
    <w:rsid w:val="004A1A37"/>
    <w:rsid w:val="004A3EF7"/>
    <w:rsid w:val="004A5E1F"/>
    <w:rsid w:val="004A64B8"/>
    <w:rsid w:val="004A657F"/>
    <w:rsid w:val="004B014C"/>
    <w:rsid w:val="004B130D"/>
    <w:rsid w:val="004B3704"/>
    <w:rsid w:val="004B4907"/>
    <w:rsid w:val="004B58C0"/>
    <w:rsid w:val="004B7ECD"/>
    <w:rsid w:val="004C19FF"/>
    <w:rsid w:val="004C28C3"/>
    <w:rsid w:val="004C4420"/>
    <w:rsid w:val="004C62EE"/>
    <w:rsid w:val="004C6CBC"/>
    <w:rsid w:val="004D5403"/>
    <w:rsid w:val="004D7034"/>
    <w:rsid w:val="004E0863"/>
    <w:rsid w:val="004E49BC"/>
    <w:rsid w:val="004E5B0C"/>
    <w:rsid w:val="004E647A"/>
    <w:rsid w:val="004F080B"/>
    <w:rsid w:val="004F22F4"/>
    <w:rsid w:val="004F551A"/>
    <w:rsid w:val="004F7EF1"/>
    <w:rsid w:val="005023C4"/>
    <w:rsid w:val="0050310E"/>
    <w:rsid w:val="00503D34"/>
    <w:rsid w:val="00504115"/>
    <w:rsid w:val="00504D0F"/>
    <w:rsid w:val="0050552F"/>
    <w:rsid w:val="00506C4C"/>
    <w:rsid w:val="00511959"/>
    <w:rsid w:val="00511E5F"/>
    <w:rsid w:val="00520158"/>
    <w:rsid w:val="00520DE2"/>
    <w:rsid w:val="0052199C"/>
    <w:rsid w:val="005227B6"/>
    <w:rsid w:val="00523811"/>
    <w:rsid w:val="0052470B"/>
    <w:rsid w:val="00525D20"/>
    <w:rsid w:val="00531675"/>
    <w:rsid w:val="005320B9"/>
    <w:rsid w:val="00535C6F"/>
    <w:rsid w:val="00536306"/>
    <w:rsid w:val="005368F9"/>
    <w:rsid w:val="005406FD"/>
    <w:rsid w:val="00542628"/>
    <w:rsid w:val="00542936"/>
    <w:rsid w:val="00553BF0"/>
    <w:rsid w:val="005568FB"/>
    <w:rsid w:val="005574CF"/>
    <w:rsid w:val="00564C3D"/>
    <w:rsid w:val="005703CD"/>
    <w:rsid w:val="00571C47"/>
    <w:rsid w:val="00572ACC"/>
    <w:rsid w:val="00573C1B"/>
    <w:rsid w:val="0057546A"/>
    <w:rsid w:val="005768A2"/>
    <w:rsid w:val="005773A4"/>
    <w:rsid w:val="00577B9B"/>
    <w:rsid w:val="0058438E"/>
    <w:rsid w:val="0058471A"/>
    <w:rsid w:val="00591954"/>
    <w:rsid w:val="005923AA"/>
    <w:rsid w:val="0059254C"/>
    <w:rsid w:val="0059717F"/>
    <w:rsid w:val="005973E7"/>
    <w:rsid w:val="005A032C"/>
    <w:rsid w:val="005A0761"/>
    <w:rsid w:val="005A130D"/>
    <w:rsid w:val="005A1929"/>
    <w:rsid w:val="005A48CD"/>
    <w:rsid w:val="005A5CDE"/>
    <w:rsid w:val="005A6112"/>
    <w:rsid w:val="005A6E7A"/>
    <w:rsid w:val="005B378A"/>
    <w:rsid w:val="005C3CF6"/>
    <w:rsid w:val="005C4491"/>
    <w:rsid w:val="005C480C"/>
    <w:rsid w:val="005C5B45"/>
    <w:rsid w:val="005C667F"/>
    <w:rsid w:val="005C7903"/>
    <w:rsid w:val="005D158E"/>
    <w:rsid w:val="005D29C4"/>
    <w:rsid w:val="005D3C6C"/>
    <w:rsid w:val="005D7B66"/>
    <w:rsid w:val="005E0D32"/>
    <w:rsid w:val="005E1558"/>
    <w:rsid w:val="005E26A0"/>
    <w:rsid w:val="005E3527"/>
    <w:rsid w:val="005E6135"/>
    <w:rsid w:val="005E7E46"/>
    <w:rsid w:val="005F1357"/>
    <w:rsid w:val="005F1B7D"/>
    <w:rsid w:val="00601FC0"/>
    <w:rsid w:val="0060233F"/>
    <w:rsid w:val="00602942"/>
    <w:rsid w:val="00606781"/>
    <w:rsid w:val="00607F11"/>
    <w:rsid w:val="00611D1F"/>
    <w:rsid w:val="00617C7C"/>
    <w:rsid w:val="006207D6"/>
    <w:rsid w:val="0062277C"/>
    <w:rsid w:val="00623CBD"/>
    <w:rsid w:val="006277BB"/>
    <w:rsid w:val="00630DF5"/>
    <w:rsid w:val="006311CF"/>
    <w:rsid w:val="0063231D"/>
    <w:rsid w:val="00640876"/>
    <w:rsid w:val="00640B22"/>
    <w:rsid w:val="0064471E"/>
    <w:rsid w:val="00646946"/>
    <w:rsid w:val="00646A83"/>
    <w:rsid w:val="00653144"/>
    <w:rsid w:val="00656DC1"/>
    <w:rsid w:val="00660853"/>
    <w:rsid w:val="00661598"/>
    <w:rsid w:val="006633C9"/>
    <w:rsid w:val="0066366F"/>
    <w:rsid w:val="006666F8"/>
    <w:rsid w:val="00667A1B"/>
    <w:rsid w:val="00670BC9"/>
    <w:rsid w:val="00671FBF"/>
    <w:rsid w:val="00672462"/>
    <w:rsid w:val="0068124D"/>
    <w:rsid w:val="006823F2"/>
    <w:rsid w:val="006842E3"/>
    <w:rsid w:val="0068658F"/>
    <w:rsid w:val="006867CA"/>
    <w:rsid w:val="006909BE"/>
    <w:rsid w:val="00692500"/>
    <w:rsid w:val="00694518"/>
    <w:rsid w:val="006958AC"/>
    <w:rsid w:val="00697E36"/>
    <w:rsid w:val="006A0085"/>
    <w:rsid w:val="006A0A06"/>
    <w:rsid w:val="006A1956"/>
    <w:rsid w:val="006A6521"/>
    <w:rsid w:val="006B0BD0"/>
    <w:rsid w:val="006B43C0"/>
    <w:rsid w:val="006B5335"/>
    <w:rsid w:val="006B6875"/>
    <w:rsid w:val="006C0B2A"/>
    <w:rsid w:val="006C32DC"/>
    <w:rsid w:val="006C39ED"/>
    <w:rsid w:val="006C603A"/>
    <w:rsid w:val="006C75C3"/>
    <w:rsid w:val="006D1E7C"/>
    <w:rsid w:val="006D323B"/>
    <w:rsid w:val="006D591C"/>
    <w:rsid w:val="006D5B32"/>
    <w:rsid w:val="006D5DD1"/>
    <w:rsid w:val="006D6C73"/>
    <w:rsid w:val="006D7A1E"/>
    <w:rsid w:val="006E2933"/>
    <w:rsid w:val="006E2A18"/>
    <w:rsid w:val="006E356D"/>
    <w:rsid w:val="006E3BC6"/>
    <w:rsid w:val="006E5737"/>
    <w:rsid w:val="006F091B"/>
    <w:rsid w:val="006F1F13"/>
    <w:rsid w:val="006F2436"/>
    <w:rsid w:val="006F5BAB"/>
    <w:rsid w:val="006F6878"/>
    <w:rsid w:val="006F6F06"/>
    <w:rsid w:val="007025A8"/>
    <w:rsid w:val="007050A7"/>
    <w:rsid w:val="00705C7A"/>
    <w:rsid w:val="00705E20"/>
    <w:rsid w:val="0071145E"/>
    <w:rsid w:val="00711588"/>
    <w:rsid w:val="00711BEB"/>
    <w:rsid w:val="00712F68"/>
    <w:rsid w:val="0072383E"/>
    <w:rsid w:val="00725342"/>
    <w:rsid w:val="00726A9B"/>
    <w:rsid w:val="007318EA"/>
    <w:rsid w:val="00731AC1"/>
    <w:rsid w:val="00735224"/>
    <w:rsid w:val="00735695"/>
    <w:rsid w:val="00746D9B"/>
    <w:rsid w:val="00747608"/>
    <w:rsid w:val="00751647"/>
    <w:rsid w:val="00754050"/>
    <w:rsid w:val="007546CC"/>
    <w:rsid w:val="00755A2A"/>
    <w:rsid w:val="00755BFF"/>
    <w:rsid w:val="0076025F"/>
    <w:rsid w:val="00761B37"/>
    <w:rsid w:val="007708E2"/>
    <w:rsid w:val="00774BAC"/>
    <w:rsid w:val="007759D3"/>
    <w:rsid w:val="00776854"/>
    <w:rsid w:val="00780E4C"/>
    <w:rsid w:val="00782D32"/>
    <w:rsid w:val="00784623"/>
    <w:rsid w:val="007847CA"/>
    <w:rsid w:val="00793747"/>
    <w:rsid w:val="00794170"/>
    <w:rsid w:val="00795365"/>
    <w:rsid w:val="0079770A"/>
    <w:rsid w:val="00797BC2"/>
    <w:rsid w:val="007A0812"/>
    <w:rsid w:val="007A1AEF"/>
    <w:rsid w:val="007A724A"/>
    <w:rsid w:val="007A7F57"/>
    <w:rsid w:val="007B21D9"/>
    <w:rsid w:val="007B30ED"/>
    <w:rsid w:val="007B46F8"/>
    <w:rsid w:val="007B4E22"/>
    <w:rsid w:val="007B5B9D"/>
    <w:rsid w:val="007C3259"/>
    <w:rsid w:val="007C3D30"/>
    <w:rsid w:val="007C44A6"/>
    <w:rsid w:val="007D17AA"/>
    <w:rsid w:val="007D2CB4"/>
    <w:rsid w:val="007E0124"/>
    <w:rsid w:val="007E15A1"/>
    <w:rsid w:val="007F0C9D"/>
    <w:rsid w:val="007F3AAD"/>
    <w:rsid w:val="007F5EB5"/>
    <w:rsid w:val="007F67BB"/>
    <w:rsid w:val="008113A9"/>
    <w:rsid w:val="00812B9E"/>
    <w:rsid w:val="00812D55"/>
    <w:rsid w:val="0081611F"/>
    <w:rsid w:val="00821A12"/>
    <w:rsid w:val="00822794"/>
    <w:rsid w:val="00822EAB"/>
    <w:rsid w:val="00824D7B"/>
    <w:rsid w:val="008309C9"/>
    <w:rsid w:val="00834231"/>
    <w:rsid w:val="00836122"/>
    <w:rsid w:val="00840B01"/>
    <w:rsid w:val="00844EFF"/>
    <w:rsid w:val="00850466"/>
    <w:rsid w:val="00850E3B"/>
    <w:rsid w:val="00850F4C"/>
    <w:rsid w:val="008517E2"/>
    <w:rsid w:val="008524B4"/>
    <w:rsid w:val="00853DF5"/>
    <w:rsid w:val="00856485"/>
    <w:rsid w:val="00862585"/>
    <w:rsid w:val="0086630E"/>
    <w:rsid w:val="008707B3"/>
    <w:rsid w:val="008717B2"/>
    <w:rsid w:val="00873A47"/>
    <w:rsid w:val="0087600D"/>
    <w:rsid w:val="00876670"/>
    <w:rsid w:val="008837E3"/>
    <w:rsid w:val="00884C12"/>
    <w:rsid w:val="00885D80"/>
    <w:rsid w:val="008907BF"/>
    <w:rsid w:val="00892855"/>
    <w:rsid w:val="00892F2D"/>
    <w:rsid w:val="00897CDB"/>
    <w:rsid w:val="008A074D"/>
    <w:rsid w:val="008B12A8"/>
    <w:rsid w:val="008B12AF"/>
    <w:rsid w:val="008B595A"/>
    <w:rsid w:val="008B5ED3"/>
    <w:rsid w:val="008C1105"/>
    <w:rsid w:val="008C1354"/>
    <w:rsid w:val="008C2435"/>
    <w:rsid w:val="008D1CC7"/>
    <w:rsid w:val="008D5C86"/>
    <w:rsid w:val="008E1D9B"/>
    <w:rsid w:val="008E28A4"/>
    <w:rsid w:val="008E4B46"/>
    <w:rsid w:val="008E5DBC"/>
    <w:rsid w:val="008E6EA1"/>
    <w:rsid w:val="008F0629"/>
    <w:rsid w:val="00905B90"/>
    <w:rsid w:val="00905F1E"/>
    <w:rsid w:val="009068D0"/>
    <w:rsid w:val="00907ED5"/>
    <w:rsid w:val="009126A2"/>
    <w:rsid w:val="00920FEF"/>
    <w:rsid w:val="00924669"/>
    <w:rsid w:val="0092675D"/>
    <w:rsid w:val="009302DC"/>
    <w:rsid w:val="009305FA"/>
    <w:rsid w:val="00933917"/>
    <w:rsid w:val="00934B15"/>
    <w:rsid w:val="00937DE6"/>
    <w:rsid w:val="0094387C"/>
    <w:rsid w:val="00945172"/>
    <w:rsid w:val="00946CB7"/>
    <w:rsid w:val="00946D49"/>
    <w:rsid w:val="00947B18"/>
    <w:rsid w:val="00951E83"/>
    <w:rsid w:val="009555D5"/>
    <w:rsid w:val="00955F40"/>
    <w:rsid w:val="00960995"/>
    <w:rsid w:val="00961AD0"/>
    <w:rsid w:val="00962D6E"/>
    <w:rsid w:val="00974162"/>
    <w:rsid w:val="00974181"/>
    <w:rsid w:val="00974990"/>
    <w:rsid w:val="009774D5"/>
    <w:rsid w:val="00981CC0"/>
    <w:rsid w:val="00982DA6"/>
    <w:rsid w:val="00985150"/>
    <w:rsid w:val="0098589D"/>
    <w:rsid w:val="00986465"/>
    <w:rsid w:val="00992A74"/>
    <w:rsid w:val="009948ED"/>
    <w:rsid w:val="00994EB1"/>
    <w:rsid w:val="00997938"/>
    <w:rsid w:val="009A1851"/>
    <w:rsid w:val="009A3B88"/>
    <w:rsid w:val="009A46D1"/>
    <w:rsid w:val="009B0255"/>
    <w:rsid w:val="009B3146"/>
    <w:rsid w:val="009C0734"/>
    <w:rsid w:val="009C2684"/>
    <w:rsid w:val="009C3F2A"/>
    <w:rsid w:val="009D0C24"/>
    <w:rsid w:val="009D1C27"/>
    <w:rsid w:val="009D457E"/>
    <w:rsid w:val="009E3012"/>
    <w:rsid w:val="009E7427"/>
    <w:rsid w:val="009E76C0"/>
    <w:rsid w:val="009F0CD0"/>
    <w:rsid w:val="00A00CB7"/>
    <w:rsid w:val="00A01850"/>
    <w:rsid w:val="00A01A15"/>
    <w:rsid w:val="00A047AC"/>
    <w:rsid w:val="00A1083C"/>
    <w:rsid w:val="00A11BA6"/>
    <w:rsid w:val="00A15502"/>
    <w:rsid w:val="00A15949"/>
    <w:rsid w:val="00A20015"/>
    <w:rsid w:val="00A227DC"/>
    <w:rsid w:val="00A23BD6"/>
    <w:rsid w:val="00A23E54"/>
    <w:rsid w:val="00A27CFF"/>
    <w:rsid w:val="00A30249"/>
    <w:rsid w:val="00A35B12"/>
    <w:rsid w:val="00A400AB"/>
    <w:rsid w:val="00A41E7A"/>
    <w:rsid w:val="00A42256"/>
    <w:rsid w:val="00A4548E"/>
    <w:rsid w:val="00A510B1"/>
    <w:rsid w:val="00A5465E"/>
    <w:rsid w:val="00A546CA"/>
    <w:rsid w:val="00A571F6"/>
    <w:rsid w:val="00A57598"/>
    <w:rsid w:val="00A57953"/>
    <w:rsid w:val="00A6282C"/>
    <w:rsid w:val="00A64004"/>
    <w:rsid w:val="00A666C5"/>
    <w:rsid w:val="00A66AD6"/>
    <w:rsid w:val="00A66CFD"/>
    <w:rsid w:val="00A82C46"/>
    <w:rsid w:val="00A8503D"/>
    <w:rsid w:val="00A85DBD"/>
    <w:rsid w:val="00A85E5C"/>
    <w:rsid w:val="00A8640C"/>
    <w:rsid w:val="00A867EC"/>
    <w:rsid w:val="00A90A39"/>
    <w:rsid w:val="00A943D8"/>
    <w:rsid w:val="00A96865"/>
    <w:rsid w:val="00A9762B"/>
    <w:rsid w:val="00A97ED9"/>
    <w:rsid w:val="00AA46F1"/>
    <w:rsid w:val="00AA487F"/>
    <w:rsid w:val="00AA6DEC"/>
    <w:rsid w:val="00AA70FE"/>
    <w:rsid w:val="00AB2308"/>
    <w:rsid w:val="00AB3423"/>
    <w:rsid w:val="00AB3C74"/>
    <w:rsid w:val="00AC0366"/>
    <w:rsid w:val="00AC0FBB"/>
    <w:rsid w:val="00AC1DB5"/>
    <w:rsid w:val="00AC2EAE"/>
    <w:rsid w:val="00AC3B54"/>
    <w:rsid w:val="00AC3CA8"/>
    <w:rsid w:val="00AC44FF"/>
    <w:rsid w:val="00AD43C5"/>
    <w:rsid w:val="00AD53FF"/>
    <w:rsid w:val="00AE4AB3"/>
    <w:rsid w:val="00AE7EA7"/>
    <w:rsid w:val="00AF245D"/>
    <w:rsid w:val="00AF3FED"/>
    <w:rsid w:val="00AF4DA5"/>
    <w:rsid w:val="00AF54CA"/>
    <w:rsid w:val="00AF5EAA"/>
    <w:rsid w:val="00B04E91"/>
    <w:rsid w:val="00B07543"/>
    <w:rsid w:val="00B10F1F"/>
    <w:rsid w:val="00B1230C"/>
    <w:rsid w:val="00B1351B"/>
    <w:rsid w:val="00B3207D"/>
    <w:rsid w:val="00B33A33"/>
    <w:rsid w:val="00B37871"/>
    <w:rsid w:val="00B3789E"/>
    <w:rsid w:val="00B43EE6"/>
    <w:rsid w:val="00B445F2"/>
    <w:rsid w:val="00B51CC3"/>
    <w:rsid w:val="00B51E9F"/>
    <w:rsid w:val="00B529B9"/>
    <w:rsid w:val="00B530D7"/>
    <w:rsid w:val="00B530E6"/>
    <w:rsid w:val="00B54E53"/>
    <w:rsid w:val="00B56EF7"/>
    <w:rsid w:val="00B6125E"/>
    <w:rsid w:val="00B62BBB"/>
    <w:rsid w:val="00B63294"/>
    <w:rsid w:val="00B71145"/>
    <w:rsid w:val="00B72360"/>
    <w:rsid w:val="00B8055B"/>
    <w:rsid w:val="00B813AE"/>
    <w:rsid w:val="00B81A5B"/>
    <w:rsid w:val="00B8422A"/>
    <w:rsid w:val="00B85BA4"/>
    <w:rsid w:val="00B864DF"/>
    <w:rsid w:val="00B86616"/>
    <w:rsid w:val="00B86CE1"/>
    <w:rsid w:val="00B87B47"/>
    <w:rsid w:val="00B87D43"/>
    <w:rsid w:val="00B87E39"/>
    <w:rsid w:val="00B9030B"/>
    <w:rsid w:val="00B90918"/>
    <w:rsid w:val="00B9202B"/>
    <w:rsid w:val="00B92B73"/>
    <w:rsid w:val="00B94C9B"/>
    <w:rsid w:val="00B9798D"/>
    <w:rsid w:val="00BA2BAD"/>
    <w:rsid w:val="00BA36FF"/>
    <w:rsid w:val="00BA5EDF"/>
    <w:rsid w:val="00BA629E"/>
    <w:rsid w:val="00BB10C8"/>
    <w:rsid w:val="00BB1AD5"/>
    <w:rsid w:val="00BB1BAE"/>
    <w:rsid w:val="00BC0B64"/>
    <w:rsid w:val="00BC0C6E"/>
    <w:rsid w:val="00BC31E3"/>
    <w:rsid w:val="00BC3A59"/>
    <w:rsid w:val="00BC44C2"/>
    <w:rsid w:val="00BC4C2E"/>
    <w:rsid w:val="00BC5951"/>
    <w:rsid w:val="00BC636F"/>
    <w:rsid w:val="00BC6FD0"/>
    <w:rsid w:val="00BD1A2E"/>
    <w:rsid w:val="00BD5E8F"/>
    <w:rsid w:val="00BD7AA4"/>
    <w:rsid w:val="00BD7AFB"/>
    <w:rsid w:val="00BE0593"/>
    <w:rsid w:val="00BE0978"/>
    <w:rsid w:val="00BE7E2C"/>
    <w:rsid w:val="00BF61EC"/>
    <w:rsid w:val="00BF7834"/>
    <w:rsid w:val="00BF79B8"/>
    <w:rsid w:val="00C010BB"/>
    <w:rsid w:val="00C01178"/>
    <w:rsid w:val="00C01DFD"/>
    <w:rsid w:val="00C06172"/>
    <w:rsid w:val="00C1034C"/>
    <w:rsid w:val="00C110F7"/>
    <w:rsid w:val="00C13613"/>
    <w:rsid w:val="00C136A2"/>
    <w:rsid w:val="00C14467"/>
    <w:rsid w:val="00C15460"/>
    <w:rsid w:val="00C17314"/>
    <w:rsid w:val="00C21DC8"/>
    <w:rsid w:val="00C226B4"/>
    <w:rsid w:val="00C22911"/>
    <w:rsid w:val="00C2440D"/>
    <w:rsid w:val="00C31B16"/>
    <w:rsid w:val="00C3353A"/>
    <w:rsid w:val="00C33F79"/>
    <w:rsid w:val="00C34227"/>
    <w:rsid w:val="00C34CED"/>
    <w:rsid w:val="00C374FF"/>
    <w:rsid w:val="00C37796"/>
    <w:rsid w:val="00C44D2C"/>
    <w:rsid w:val="00C45F9B"/>
    <w:rsid w:val="00C50D68"/>
    <w:rsid w:val="00C5669B"/>
    <w:rsid w:val="00C65EDF"/>
    <w:rsid w:val="00C66AC7"/>
    <w:rsid w:val="00C67243"/>
    <w:rsid w:val="00C67AE5"/>
    <w:rsid w:val="00C71FE7"/>
    <w:rsid w:val="00C73360"/>
    <w:rsid w:val="00C73CE1"/>
    <w:rsid w:val="00C77D2B"/>
    <w:rsid w:val="00C8034C"/>
    <w:rsid w:val="00C804A3"/>
    <w:rsid w:val="00C820FF"/>
    <w:rsid w:val="00C91CEE"/>
    <w:rsid w:val="00C91FAA"/>
    <w:rsid w:val="00C92051"/>
    <w:rsid w:val="00C930A7"/>
    <w:rsid w:val="00C9487B"/>
    <w:rsid w:val="00C956AC"/>
    <w:rsid w:val="00C959CF"/>
    <w:rsid w:val="00CA49E3"/>
    <w:rsid w:val="00CA653A"/>
    <w:rsid w:val="00CB050B"/>
    <w:rsid w:val="00CB2401"/>
    <w:rsid w:val="00CC144E"/>
    <w:rsid w:val="00CC4A13"/>
    <w:rsid w:val="00CC74B4"/>
    <w:rsid w:val="00CC7A47"/>
    <w:rsid w:val="00CD0C59"/>
    <w:rsid w:val="00CD19D6"/>
    <w:rsid w:val="00CD42D0"/>
    <w:rsid w:val="00CE1E0E"/>
    <w:rsid w:val="00CE2D9B"/>
    <w:rsid w:val="00CF049D"/>
    <w:rsid w:val="00CF2694"/>
    <w:rsid w:val="00CF368F"/>
    <w:rsid w:val="00CF3A46"/>
    <w:rsid w:val="00CF4B78"/>
    <w:rsid w:val="00CF4D72"/>
    <w:rsid w:val="00CF52A8"/>
    <w:rsid w:val="00D00A69"/>
    <w:rsid w:val="00D03C46"/>
    <w:rsid w:val="00D042BF"/>
    <w:rsid w:val="00D06255"/>
    <w:rsid w:val="00D06C92"/>
    <w:rsid w:val="00D12E16"/>
    <w:rsid w:val="00D177CB"/>
    <w:rsid w:val="00D17962"/>
    <w:rsid w:val="00D20BDB"/>
    <w:rsid w:val="00D273C2"/>
    <w:rsid w:val="00D30742"/>
    <w:rsid w:val="00D31049"/>
    <w:rsid w:val="00D32F58"/>
    <w:rsid w:val="00D36AC8"/>
    <w:rsid w:val="00D404DA"/>
    <w:rsid w:val="00D40AAF"/>
    <w:rsid w:val="00D44D81"/>
    <w:rsid w:val="00D454A0"/>
    <w:rsid w:val="00D462B4"/>
    <w:rsid w:val="00D47FEC"/>
    <w:rsid w:val="00D56CE9"/>
    <w:rsid w:val="00D57F91"/>
    <w:rsid w:val="00D604FE"/>
    <w:rsid w:val="00D66BF4"/>
    <w:rsid w:val="00D672AC"/>
    <w:rsid w:val="00D705C5"/>
    <w:rsid w:val="00D708C5"/>
    <w:rsid w:val="00D74B07"/>
    <w:rsid w:val="00D7666D"/>
    <w:rsid w:val="00D7717D"/>
    <w:rsid w:val="00D8188D"/>
    <w:rsid w:val="00D82068"/>
    <w:rsid w:val="00D845C3"/>
    <w:rsid w:val="00D86667"/>
    <w:rsid w:val="00D9270E"/>
    <w:rsid w:val="00D929C1"/>
    <w:rsid w:val="00D96487"/>
    <w:rsid w:val="00D97FF5"/>
    <w:rsid w:val="00DA126E"/>
    <w:rsid w:val="00DA2E64"/>
    <w:rsid w:val="00DA2EC4"/>
    <w:rsid w:val="00DA4B6F"/>
    <w:rsid w:val="00DA76FE"/>
    <w:rsid w:val="00DB15F4"/>
    <w:rsid w:val="00DB160F"/>
    <w:rsid w:val="00DB2C30"/>
    <w:rsid w:val="00DB3279"/>
    <w:rsid w:val="00DB6070"/>
    <w:rsid w:val="00DB65B2"/>
    <w:rsid w:val="00DB6969"/>
    <w:rsid w:val="00DB7411"/>
    <w:rsid w:val="00DC008A"/>
    <w:rsid w:val="00DC0588"/>
    <w:rsid w:val="00DC0D8B"/>
    <w:rsid w:val="00DC3A57"/>
    <w:rsid w:val="00DC6BF8"/>
    <w:rsid w:val="00DC71B7"/>
    <w:rsid w:val="00DD03FD"/>
    <w:rsid w:val="00DD17D6"/>
    <w:rsid w:val="00DD2570"/>
    <w:rsid w:val="00DD2A6D"/>
    <w:rsid w:val="00DD6BCD"/>
    <w:rsid w:val="00DE241D"/>
    <w:rsid w:val="00DE3685"/>
    <w:rsid w:val="00DE413F"/>
    <w:rsid w:val="00DE4DDF"/>
    <w:rsid w:val="00DE4E21"/>
    <w:rsid w:val="00DE5B8B"/>
    <w:rsid w:val="00DE5BA3"/>
    <w:rsid w:val="00DF07EB"/>
    <w:rsid w:val="00DF2689"/>
    <w:rsid w:val="00DF2EFD"/>
    <w:rsid w:val="00DF5A19"/>
    <w:rsid w:val="00DF5A1C"/>
    <w:rsid w:val="00DF6B24"/>
    <w:rsid w:val="00E032F8"/>
    <w:rsid w:val="00E04FE5"/>
    <w:rsid w:val="00E119A4"/>
    <w:rsid w:val="00E22AF4"/>
    <w:rsid w:val="00E23014"/>
    <w:rsid w:val="00E264EA"/>
    <w:rsid w:val="00E2686B"/>
    <w:rsid w:val="00E347C5"/>
    <w:rsid w:val="00E350F8"/>
    <w:rsid w:val="00E369D8"/>
    <w:rsid w:val="00E41D3D"/>
    <w:rsid w:val="00E434AD"/>
    <w:rsid w:val="00E4541E"/>
    <w:rsid w:val="00E47FD1"/>
    <w:rsid w:val="00E511D8"/>
    <w:rsid w:val="00E53431"/>
    <w:rsid w:val="00E5671C"/>
    <w:rsid w:val="00E61CF6"/>
    <w:rsid w:val="00E63856"/>
    <w:rsid w:val="00E655EE"/>
    <w:rsid w:val="00E65E92"/>
    <w:rsid w:val="00E661B8"/>
    <w:rsid w:val="00E668D5"/>
    <w:rsid w:val="00E67462"/>
    <w:rsid w:val="00E72698"/>
    <w:rsid w:val="00E82575"/>
    <w:rsid w:val="00E9627F"/>
    <w:rsid w:val="00EA4CC6"/>
    <w:rsid w:val="00EA4EDD"/>
    <w:rsid w:val="00EA7EA5"/>
    <w:rsid w:val="00EA7F08"/>
    <w:rsid w:val="00EC3147"/>
    <w:rsid w:val="00EC32B2"/>
    <w:rsid w:val="00EC4F5F"/>
    <w:rsid w:val="00EC63EE"/>
    <w:rsid w:val="00EC7194"/>
    <w:rsid w:val="00ED1292"/>
    <w:rsid w:val="00ED1A51"/>
    <w:rsid w:val="00ED2E13"/>
    <w:rsid w:val="00ED3AA7"/>
    <w:rsid w:val="00ED6FA5"/>
    <w:rsid w:val="00ED7EED"/>
    <w:rsid w:val="00EE0E24"/>
    <w:rsid w:val="00EE1245"/>
    <w:rsid w:val="00EE2269"/>
    <w:rsid w:val="00EE3813"/>
    <w:rsid w:val="00EE6112"/>
    <w:rsid w:val="00EF0B1A"/>
    <w:rsid w:val="00F01940"/>
    <w:rsid w:val="00F01A42"/>
    <w:rsid w:val="00F01FE0"/>
    <w:rsid w:val="00F059DF"/>
    <w:rsid w:val="00F10A7F"/>
    <w:rsid w:val="00F17F66"/>
    <w:rsid w:val="00F21BB1"/>
    <w:rsid w:val="00F22C69"/>
    <w:rsid w:val="00F26A28"/>
    <w:rsid w:val="00F31299"/>
    <w:rsid w:val="00F4690B"/>
    <w:rsid w:val="00F51E88"/>
    <w:rsid w:val="00F52441"/>
    <w:rsid w:val="00F52B9F"/>
    <w:rsid w:val="00F539EF"/>
    <w:rsid w:val="00F549C1"/>
    <w:rsid w:val="00F5508B"/>
    <w:rsid w:val="00F55D60"/>
    <w:rsid w:val="00F56195"/>
    <w:rsid w:val="00F61F70"/>
    <w:rsid w:val="00F63518"/>
    <w:rsid w:val="00F76BAC"/>
    <w:rsid w:val="00F77AB3"/>
    <w:rsid w:val="00F836F9"/>
    <w:rsid w:val="00F842B9"/>
    <w:rsid w:val="00F85EA7"/>
    <w:rsid w:val="00F87BC8"/>
    <w:rsid w:val="00F87EFF"/>
    <w:rsid w:val="00F90805"/>
    <w:rsid w:val="00F910D4"/>
    <w:rsid w:val="00F91109"/>
    <w:rsid w:val="00F94134"/>
    <w:rsid w:val="00F957E7"/>
    <w:rsid w:val="00FA364C"/>
    <w:rsid w:val="00FA5C6B"/>
    <w:rsid w:val="00FB098C"/>
    <w:rsid w:val="00FB403B"/>
    <w:rsid w:val="00FB40BC"/>
    <w:rsid w:val="00FB5753"/>
    <w:rsid w:val="00FB63DD"/>
    <w:rsid w:val="00FC1C5A"/>
    <w:rsid w:val="00FC4799"/>
    <w:rsid w:val="00FC65F2"/>
    <w:rsid w:val="00FC6BEE"/>
    <w:rsid w:val="00FC7757"/>
    <w:rsid w:val="00FD1CF9"/>
    <w:rsid w:val="00FF0B91"/>
    <w:rsid w:val="00FF5CD5"/>
    <w:rsid w:val="00FF611D"/>
    <w:rsid w:val="00FF7C26"/>
    <w:rsid w:val="01282E62"/>
    <w:rsid w:val="013B6D62"/>
    <w:rsid w:val="01536903"/>
    <w:rsid w:val="01A34544"/>
    <w:rsid w:val="02DE5ECF"/>
    <w:rsid w:val="043E35C6"/>
    <w:rsid w:val="061A4193"/>
    <w:rsid w:val="06FB3734"/>
    <w:rsid w:val="07E15B19"/>
    <w:rsid w:val="082B616F"/>
    <w:rsid w:val="088844F9"/>
    <w:rsid w:val="088D2A5D"/>
    <w:rsid w:val="08B0518A"/>
    <w:rsid w:val="0A5B54C8"/>
    <w:rsid w:val="0B8D0492"/>
    <w:rsid w:val="0C7A6B2E"/>
    <w:rsid w:val="0C985A6A"/>
    <w:rsid w:val="0D083FD0"/>
    <w:rsid w:val="0D0B673B"/>
    <w:rsid w:val="0E0A4956"/>
    <w:rsid w:val="0E377879"/>
    <w:rsid w:val="0E725C2C"/>
    <w:rsid w:val="0E735487"/>
    <w:rsid w:val="0ECD14AE"/>
    <w:rsid w:val="0F810ED2"/>
    <w:rsid w:val="0F9B04D3"/>
    <w:rsid w:val="1006196F"/>
    <w:rsid w:val="11DC7709"/>
    <w:rsid w:val="12AF0CEE"/>
    <w:rsid w:val="131F031F"/>
    <w:rsid w:val="133236CD"/>
    <w:rsid w:val="13FE07F4"/>
    <w:rsid w:val="143F3701"/>
    <w:rsid w:val="14432891"/>
    <w:rsid w:val="14A31264"/>
    <w:rsid w:val="14C87673"/>
    <w:rsid w:val="174A36DB"/>
    <w:rsid w:val="190F0738"/>
    <w:rsid w:val="19342376"/>
    <w:rsid w:val="19404DB1"/>
    <w:rsid w:val="19520625"/>
    <w:rsid w:val="19755C45"/>
    <w:rsid w:val="19CC60B0"/>
    <w:rsid w:val="1ADD0CEA"/>
    <w:rsid w:val="1B7C8EF3"/>
    <w:rsid w:val="1BAD6B11"/>
    <w:rsid w:val="1CE231A1"/>
    <w:rsid w:val="1D0F6888"/>
    <w:rsid w:val="1D94210C"/>
    <w:rsid w:val="1F780234"/>
    <w:rsid w:val="1FF9521B"/>
    <w:rsid w:val="20B927B5"/>
    <w:rsid w:val="211A5453"/>
    <w:rsid w:val="22B02FE8"/>
    <w:rsid w:val="236C2B25"/>
    <w:rsid w:val="23C06F33"/>
    <w:rsid w:val="23CB4FD6"/>
    <w:rsid w:val="24232B82"/>
    <w:rsid w:val="256242E5"/>
    <w:rsid w:val="25F5286B"/>
    <w:rsid w:val="260141DF"/>
    <w:rsid w:val="29565D6E"/>
    <w:rsid w:val="29866A20"/>
    <w:rsid w:val="29B736C7"/>
    <w:rsid w:val="2AA00AC5"/>
    <w:rsid w:val="2B571E47"/>
    <w:rsid w:val="2C273B93"/>
    <w:rsid w:val="2C430458"/>
    <w:rsid w:val="2E696A3E"/>
    <w:rsid w:val="2E86402E"/>
    <w:rsid w:val="2ECF0E4D"/>
    <w:rsid w:val="2F517264"/>
    <w:rsid w:val="318367A0"/>
    <w:rsid w:val="32E909B8"/>
    <w:rsid w:val="345D654E"/>
    <w:rsid w:val="351E1789"/>
    <w:rsid w:val="357F46B3"/>
    <w:rsid w:val="390F2E52"/>
    <w:rsid w:val="3A416EB3"/>
    <w:rsid w:val="3B6E0E96"/>
    <w:rsid w:val="3C095063"/>
    <w:rsid w:val="3C0D4B53"/>
    <w:rsid w:val="3C4B5EC9"/>
    <w:rsid w:val="3D501EB7"/>
    <w:rsid w:val="3D855851"/>
    <w:rsid w:val="3E2830BA"/>
    <w:rsid w:val="3E593B6B"/>
    <w:rsid w:val="3F5315E1"/>
    <w:rsid w:val="3F775CB6"/>
    <w:rsid w:val="3F977AF0"/>
    <w:rsid w:val="400B1708"/>
    <w:rsid w:val="40AC3C03"/>
    <w:rsid w:val="42B9333F"/>
    <w:rsid w:val="42F907D1"/>
    <w:rsid w:val="430C52B3"/>
    <w:rsid w:val="43B42925"/>
    <w:rsid w:val="445F4171"/>
    <w:rsid w:val="44A20BC0"/>
    <w:rsid w:val="46080C31"/>
    <w:rsid w:val="460E6267"/>
    <w:rsid w:val="465F53BF"/>
    <w:rsid w:val="46D173F7"/>
    <w:rsid w:val="47FF71AA"/>
    <w:rsid w:val="482C57EC"/>
    <w:rsid w:val="48B06C30"/>
    <w:rsid w:val="49D413D7"/>
    <w:rsid w:val="4AC46A60"/>
    <w:rsid w:val="4B11259B"/>
    <w:rsid w:val="4BA02F8C"/>
    <w:rsid w:val="4D1C1F40"/>
    <w:rsid w:val="4D403526"/>
    <w:rsid w:val="4D7235D7"/>
    <w:rsid w:val="4E2179B3"/>
    <w:rsid w:val="4FF850FE"/>
    <w:rsid w:val="502D5938"/>
    <w:rsid w:val="50357D7D"/>
    <w:rsid w:val="50696484"/>
    <w:rsid w:val="50E4701C"/>
    <w:rsid w:val="512C3805"/>
    <w:rsid w:val="52D52AB2"/>
    <w:rsid w:val="52DD0C7E"/>
    <w:rsid w:val="54584E25"/>
    <w:rsid w:val="54894E6C"/>
    <w:rsid w:val="553A5E45"/>
    <w:rsid w:val="55547147"/>
    <w:rsid w:val="559244DF"/>
    <w:rsid w:val="56C424CF"/>
    <w:rsid w:val="576615D8"/>
    <w:rsid w:val="57D06E3B"/>
    <w:rsid w:val="5A183534"/>
    <w:rsid w:val="5A4C744D"/>
    <w:rsid w:val="5C875E04"/>
    <w:rsid w:val="5D1374F9"/>
    <w:rsid w:val="5DD4720A"/>
    <w:rsid w:val="5DDB45AF"/>
    <w:rsid w:val="5E3C06B0"/>
    <w:rsid w:val="5EA2440A"/>
    <w:rsid w:val="5EC073AC"/>
    <w:rsid w:val="5F2956D2"/>
    <w:rsid w:val="60392E2E"/>
    <w:rsid w:val="609C217B"/>
    <w:rsid w:val="61C854B3"/>
    <w:rsid w:val="63C84C19"/>
    <w:rsid w:val="640247CE"/>
    <w:rsid w:val="644C271D"/>
    <w:rsid w:val="65071890"/>
    <w:rsid w:val="651A5477"/>
    <w:rsid w:val="68D64374"/>
    <w:rsid w:val="69A4728C"/>
    <w:rsid w:val="69BF6BDD"/>
    <w:rsid w:val="6A9F1EAC"/>
    <w:rsid w:val="6B17511F"/>
    <w:rsid w:val="6CA353E4"/>
    <w:rsid w:val="6CA72B36"/>
    <w:rsid w:val="6CCF4F59"/>
    <w:rsid w:val="6CEC0585"/>
    <w:rsid w:val="6E8708F4"/>
    <w:rsid w:val="6ECB22D3"/>
    <w:rsid w:val="705270C7"/>
    <w:rsid w:val="706136AD"/>
    <w:rsid w:val="72037883"/>
    <w:rsid w:val="728E10B7"/>
    <w:rsid w:val="74C02EB9"/>
    <w:rsid w:val="759153D6"/>
    <w:rsid w:val="75C7029F"/>
    <w:rsid w:val="76F801FF"/>
    <w:rsid w:val="77473221"/>
    <w:rsid w:val="784907D0"/>
    <w:rsid w:val="789A33D8"/>
    <w:rsid w:val="79084159"/>
    <w:rsid w:val="79951602"/>
    <w:rsid w:val="7A02317E"/>
    <w:rsid w:val="7A8E0085"/>
    <w:rsid w:val="7AF469EB"/>
    <w:rsid w:val="7B7A2964"/>
    <w:rsid w:val="7C34060A"/>
    <w:rsid w:val="7D812869"/>
    <w:rsid w:val="7D95070A"/>
    <w:rsid w:val="7DE347A0"/>
    <w:rsid w:val="7EC74BFB"/>
    <w:rsid w:val="BFF95DF8"/>
    <w:rsid w:val="EED7324E"/>
    <w:rsid w:val="FDE756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35"/>
    <w:autoRedefine/>
    <w:qFormat/>
    <w:uiPriority w:val="1"/>
    <w:pPr>
      <w:autoSpaceDE w:val="0"/>
      <w:autoSpaceDN w:val="0"/>
      <w:spacing w:before="66"/>
      <w:ind w:left="1062"/>
      <w:jc w:val="left"/>
      <w:outlineLvl w:val="1"/>
    </w:pPr>
    <w:rPr>
      <w:rFonts w:ascii="宋体" w:hAnsi="宋体" w:cs="宋体" w:eastAsiaTheme="minorEastAsia"/>
      <w:b/>
      <w:bCs/>
      <w:kern w:val="0"/>
      <w:sz w:val="24"/>
      <w:szCs w:val="24"/>
      <w:lang w:eastAsia="en-US"/>
    </w:rPr>
  </w:style>
  <w:style w:type="paragraph" w:styleId="4">
    <w:name w:val="heading 3"/>
    <w:basedOn w:val="1"/>
    <w:next w:val="1"/>
    <w:autoRedefine/>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方正仿宋_GBK" w:cs="Times New Roman"/>
      <w:b/>
      <w:kern w:val="2"/>
      <w:sz w:val="32"/>
      <w:szCs w:val="32"/>
      <w:lang w:val="en-US" w:eastAsia="zh-CN" w:bidi="ar"/>
    </w:rPr>
  </w:style>
  <w:style w:type="paragraph" w:styleId="2">
    <w:name w:val="heading 4"/>
    <w:basedOn w:val="3"/>
    <w:next w:val="1"/>
    <w:autoRedefine/>
    <w:qFormat/>
    <w:uiPriority w:val="0"/>
    <w:pPr>
      <w:keepNext/>
      <w:keepLines/>
      <w:widowControl w:val="0"/>
      <w:spacing w:line="372" w:lineRule="auto"/>
      <w:jc w:val="both"/>
      <w:outlineLvl w:val="3"/>
    </w:pPr>
    <w:rPr>
      <w:rFonts w:ascii="Arial" w:hAnsi="Arial" w:eastAsia="黑体" w:cs="Times New Roman"/>
      <w:kern w:val="2"/>
      <w:sz w:val="28"/>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unhideWhenUsed/>
    <w:qFormat/>
    <w:uiPriority w:val="0"/>
    <w:pPr>
      <w:ind w:firstLine="420" w:firstLineChars="200"/>
    </w:pPr>
  </w:style>
  <w:style w:type="paragraph" w:styleId="6">
    <w:name w:val="annotation text"/>
    <w:basedOn w:val="1"/>
    <w:link w:val="39"/>
    <w:autoRedefine/>
    <w:qFormat/>
    <w:uiPriority w:val="0"/>
    <w:pPr>
      <w:jc w:val="left"/>
    </w:pPr>
    <w:rPr>
      <w:rFonts w:asciiTheme="minorHAnsi" w:hAnsiTheme="minorHAnsi" w:eastAsiaTheme="minorEastAsia" w:cstheme="minorBidi"/>
      <w:sz w:val="24"/>
      <w:szCs w:val="24"/>
    </w:rPr>
  </w:style>
  <w:style w:type="paragraph" w:styleId="7">
    <w:name w:val="Body Text"/>
    <w:basedOn w:val="1"/>
    <w:link w:val="36"/>
    <w:autoRedefine/>
    <w:qFormat/>
    <w:uiPriority w:val="0"/>
    <w:rPr>
      <w:rFonts w:asciiTheme="minorHAnsi" w:hAnsiTheme="minorHAnsi" w:eastAsiaTheme="minorEastAsia" w:cstheme="minorBidi"/>
      <w:szCs w:val="24"/>
    </w:rPr>
  </w:style>
  <w:style w:type="paragraph" w:styleId="8">
    <w:name w:val="toc 5"/>
    <w:basedOn w:val="1"/>
    <w:next w:val="1"/>
    <w:autoRedefine/>
    <w:semiHidden/>
    <w:unhideWhenUsed/>
    <w:qFormat/>
    <w:uiPriority w:val="39"/>
    <w:pPr>
      <w:ind w:left="1680" w:leftChars="800"/>
    </w:pPr>
    <w:rPr>
      <w:rFonts w:asciiTheme="minorHAnsi" w:hAnsiTheme="minorHAnsi" w:eastAsiaTheme="minorEastAsia" w:cstheme="minorBidi"/>
      <w:szCs w:val="24"/>
    </w:rPr>
  </w:style>
  <w:style w:type="paragraph" w:styleId="9">
    <w:name w:val="Date"/>
    <w:basedOn w:val="1"/>
    <w:next w:val="1"/>
    <w:link w:val="31"/>
    <w:autoRedefine/>
    <w:semiHidden/>
    <w:unhideWhenUsed/>
    <w:qFormat/>
    <w:uiPriority w:val="99"/>
    <w:pPr>
      <w:ind w:left="100" w:leftChars="2500"/>
    </w:pPr>
  </w:style>
  <w:style w:type="paragraph" w:styleId="10">
    <w:name w:val="footer"/>
    <w:basedOn w:val="1"/>
    <w:link w:val="29"/>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paragraph" w:styleId="13">
    <w:name w:val="Message Header"/>
    <w:basedOn w:val="1"/>
    <w:next w:val="7"/>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4">
    <w:name w:val="Normal (Web)"/>
    <w:basedOn w:val="1"/>
    <w:autoRedefine/>
    <w:qFormat/>
    <w:uiPriority w:val="0"/>
    <w:pPr>
      <w:widowControl/>
      <w:spacing w:before="100" w:beforeAutospacing="1" w:after="100" w:afterAutospacing="1" w:line="480" w:lineRule="auto"/>
      <w:jc w:val="left"/>
    </w:pPr>
    <w:rPr>
      <w:rFonts w:ascii="宋体" w:hAnsi="宋体"/>
      <w:kern w:val="0"/>
      <w:sz w:val="24"/>
    </w:rPr>
  </w:style>
  <w:style w:type="paragraph" w:styleId="15">
    <w:name w:val="Title"/>
    <w:basedOn w:val="1"/>
    <w:next w:val="1"/>
    <w:qFormat/>
    <w:uiPriority w:val="0"/>
    <w:pPr>
      <w:spacing w:before="240" w:after="60"/>
      <w:outlineLvl w:val="0"/>
    </w:pPr>
    <w:rPr>
      <w:rFonts w:ascii="Arial" w:hAnsi="Arial" w:eastAsia="宋体" w:cs="Arial"/>
      <w:bCs/>
      <w:sz w:val="32"/>
      <w:szCs w:val="32"/>
    </w:rPr>
  </w:style>
  <w:style w:type="paragraph" w:styleId="16">
    <w:name w:val="Body Text First Indent"/>
    <w:basedOn w:val="7"/>
    <w:autoRedefine/>
    <w:qFormat/>
    <w:uiPriority w:val="0"/>
    <w:pPr>
      <w:ind w:firstLine="420" w:firstLineChars="100"/>
    </w:pPr>
  </w:style>
  <w:style w:type="paragraph" w:styleId="17">
    <w:name w:val="Body Text First Indent 2"/>
    <w:autoRedefine/>
    <w:qFormat/>
    <w:uiPriority w:val="0"/>
    <w:pPr>
      <w:widowControl w:val="0"/>
      <w:spacing w:after="120"/>
      <w:ind w:left="200" w:leftChars="200" w:firstLine="420" w:firstLineChars="200"/>
      <w:jc w:val="both"/>
    </w:pPr>
    <w:rPr>
      <w:rFonts w:ascii="Calibri" w:hAnsi="Calibri" w:eastAsia="宋体" w:cs="Times New Roman"/>
      <w:kern w:val="2"/>
      <w:sz w:val="32"/>
      <w:szCs w:val="32"/>
      <w:lang w:val="en-US" w:eastAsia="zh-CN" w:bidi="ar-SA"/>
    </w:rPr>
  </w:style>
  <w:style w:type="table" w:styleId="19">
    <w:name w:val="Table Grid"/>
    <w:basedOn w:val="1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basedOn w:val="20"/>
    <w:autoRedefine/>
    <w:qFormat/>
    <w:uiPriority w:val="0"/>
    <w:rPr>
      <w:color w:val="0000FF" w:themeColor="hyperlink"/>
      <w:u w:val="single"/>
      <w14:textFill>
        <w14:solidFill>
          <w14:schemeClr w14:val="hlink"/>
        </w14:solidFill>
      </w14:textFill>
    </w:rPr>
  </w:style>
  <w:style w:type="character" w:styleId="23">
    <w:name w:val="annotation reference"/>
    <w:basedOn w:val="20"/>
    <w:autoRedefine/>
    <w:qFormat/>
    <w:uiPriority w:val="0"/>
    <w:rPr>
      <w:sz w:val="21"/>
      <w:szCs w:val="21"/>
    </w:rPr>
  </w:style>
  <w:style w:type="paragraph" w:customStyle="1" w:styleId="24">
    <w:name w:val="Default"/>
    <w:next w:val="1"/>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5">
    <w:name w:val="BodyText"/>
    <w:basedOn w:val="1"/>
    <w:autoRedefine/>
    <w:qFormat/>
    <w:uiPriority w:val="0"/>
    <w:pPr>
      <w:spacing w:after="120"/>
      <w:textAlignment w:val="baseline"/>
    </w:pPr>
    <w:rPr>
      <w:kern w:val="0"/>
      <w:sz w:val="21"/>
      <w:szCs w:val="21"/>
    </w:rPr>
  </w:style>
  <w:style w:type="paragraph" w:customStyle="1" w:styleId="26">
    <w:name w:val="默认"/>
    <w:autoRedefine/>
    <w:qFormat/>
    <w:uiPriority w:val="0"/>
    <w:rPr>
      <w:rFonts w:ascii="Helvetica" w:hAnsi="Helvetica" w:eastAsia="Helvetica" w:cs="Helvetica"/>
      <w:color w:val="000000"/>
      <w:sz w:val="22"/>
      <w:szCs w:val="22"/>
      <w:lang w:val="en-US" w:eastAsia="zh-CN" w:bidi="ar-SA"/>
    </w:rPr>
  </w:style>
  <w:style w:type="paragraph" w:customStyle="1" w:styleId="27">
    <w:name w:val="常用样式"/>
    <w:basedOn w:val="1"/>
    <w:autoRedefine/>
    <w:qFormat/>
    <w:uiPriority w:val="0"/>
    <w:pPr>
      <w:spacing w:line="594" w:lineRule="exact"/>
      <w:ind w:firstLine="640" w:firstLineChars="200"/>
    </w:pPr>
    <w:rPr>
      <w:rFonts w:ascii="Times New Roman" w:hAnsi="Times New Roman"/>
      <w:szCs w:val="32"/>
    </w:rPr>
  </w:style>
  <w:style w:type="character" w:customStyle="1" w:styleId="28">
    <w:name w:val="页眉 Char"/>
    <w:basedOn w:val="20"/>
    <w:link w:val="11"/>
    <w:autoRedefine/>
    <w:qFormat/>
    <w:uiPriority w:val="99"/>
    <w:rPr>
      <w:sz w:val="18"/>
      <w:szCs w:val="18"/>
    </w:rPr>
  </w:style>
  <w:style w:type="character" w:customStyle="1" w:styleId="29">
    <w:name w:val="页脚 Char"/>
    <w:basedOn w:val="20"/>
    <w:link w:val="10"/>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Char"/>
    <w:basedOn w:val="20"/>
    <w:link w:val="9"/>
    <w:autoRedefine/>
    <w:semiHidden/>
    <w:qFormat/>
    <w:uiPriority w:val="99"/>
    <w:rPr>
      <w:kern w:val="2"/>
      <w:sz w:val="21"/>
      <w:szCs w:val="22"/>
    </w:rPr>
  </w:style>
  <w:style w:type="character" w:customStyle="1" w:styleId="32">
    <w:name w:val="font01"/>
    <w:autoRedefine/>
    <w:qFormat/>
    <w:uiPriority w:val="0"/>
    <w:rPr>
      <w:rFonts w:hint="eastAsia" w:ascii="宋体" w:hAnsi="宋体" w:eastAsia="宋体" w:cs="宋体"/>
      <w:color w:val="000000"/>
      <w:sz w:val="24"/>
      <w:szCs w:val="24"/>
      <w:u w:val="none"/>
    </w:rPr>
  </w:style>
  <w:style w:type="character" w:customStyle="1" w:styleId="33">
    <w:name w:val="font11"/>
    <w:autoRedefine/>
    <w:qFormat/>
    <w:uiPriority w:val="0"/>
    <w:rPr>
      <w:rFonts w:hint="eastAsia" w:ascii="宋体" w:hAnsi="宋体" w:eastAsia="宋体" w:cs="宋体"/>
      <w:color w:val="000000"/>
      <w:sz w:val="24"/>
      <w:szCs w:val="24"/>
      <w:u w:val="single"/>
    </w:rPr>
  </w:style>
  <w:style w:type="paragraph" w:customStyle="1" w:styleId="3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5">
    <w:name w:val="标题 2 Char"/>
    <w:basedOn w:val="20"/>
    <w:link w:val="3"/>
    <w:autoRedefine/>
    <w:qFormat/>
    <w:uiPriority w:val="1"/>
    <w:rPr>
      <w:rFonts w:ascii="宋体" w:hAnsi="宋体" w:cs="宋体" w:eastAsiaTheme="minorEastAsia"/>
      <w:b/>
      <w:bCs/>
      <w:sz w:val="24"/>
      <w:szCs w:val="24"/>
      <w:lang w:eastAsia="en-US"/>
    </w:rPr>
  </w:style>
  <w:style w:type="character" w:customStyle="1" w:styleId="36">
    <w:name w:val="正文文本 Char"/>
    <w:basedOn w:val="20"/>
    <w:link w:val="7"/>
    <w:autoRedefine/>
    <w:qFormat/>
    <w:uiPriority w:val="0"/>
    <w:rPr>
      <w:rFonts w:asciiTheme="minorHAnsi" w:hAnsiTheme="minorHAnsi" w:eastAsiaTheme="minorEastAsia" w:cstheme="minorBidi"/>
      <w:kern w:val="2"/>
      <w:sz w:val="21"/>
      <w:szCs w:val="24"/>
    </w:rPr>
  </w:style>
  <w:style w:type="paragraph" w:customStyle="1" w:styleId="37">
    <w:name w:val="Table Paragraph"/>
    <w:basedOn w:val="1"/>
    <w:autoRedefine/>
    <w:qFormat/>
    <w:uiPriority w:val="1"/>
    <w:pPr>
      <w:autoSpaceDE w:val="0"/>
      <w:autoSpaceDN w:val="0"/>
      <w:jc w:val="left"/>
    </w:pPr>
    <w:rPr>
      <w:rFonts w:ascii="宋体" w:hAnsi="宋体" w:cs="宋体" w:eastAsiaTheme="minorEastAsia"/>
      <w:kern w:val="0"/>
      <w:sz w:val="22"/>
      <w:lang w:eastAsia="en-US"/>
    </w:rPr>
  </w:style>
  <w:style w:type="paragraph" w:customStyle="1" w:styleId="38">
    <w:name w:val="列出段落1"/>
    <w:basedOn w:val="1"/>
    <w:autoRedefine/>
    <w:qFormat/>
    <w:uiPriority w:val="1"/>
    <w:pPr>
      <w:autoSpaceDE w:val="0"/>
      <w:autoSpaceDN w:val="0"/>
      <w:spacing w:before="160"/>
      <w:ind w:left="961" w:hanging="361"/>
      <w:jc w:val="left"/>
    </w:pPr>
    <w:rPr>
      <w:rFonts w:ascii="宋体" w:hAnsi="宋体" w:cs="宋体" w:eastAsiaTheme="minorEastAsia"/>
      <w:kern w:val="0"/>
      <w:sz w:val="22"/>
      <w:lang w:eastAsia="en-US"/>
    </w:rPr>
  </w:style>
  <w:style w:type="character" w:customStyle="1" w:styleId="39">
    <w:name w:val="批注文字 Char"/>
    <w:basedOn w:val="20"/>
    <w:link w:val="6"/>
    <w:autoRedefine/>
    <w:qFormat/>
    <w:uiPriority w:val="0"/>
    <w:rPr>
      <w:rFonts w:asciiTheme="minorHAnsi" w:hAnsiTheme="minorHAnsi" w:eastAsiaTheme="minorEastAsia" w:cstheme="minorBidi"/>
      <w:kern w:val="2"/>
      <w:sz w:val="24"/>
      <w:szCs w:val="24"/>
    </w:rPr>
  </w:style>
  <w:style w:type="paragraph" w:customStyle="1" w:styleId="40">
    <w:name w:val="修订1"/>
    <w:autoRedefine/>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1">
    <w:name w:val="font41"/>
    <w:qFormat/>
    <w:uiPriority w:val="0"/>
    <w:rPr>
      <w:rFonts w:hint="eastAsia" w:ascii="方正黑体_GBK" w:hAnsi="方正黑体_GBK" w:eastAsia="方正黑体_GBK" w:cs="方正黑体_GBK"/>
      <w:color w:val="000000"/>
      <w:sz w:val="28"/>
      <w:szCs w:val="28"/>
      <w:u w:val="none"/>
    </w:rPr>
  </w:style>
  <w:style w:type="paragraph" w:customStyle="1" w:styleId="42">
    <w:name w:val="默认段落字体 Para Char Char Char Char Char Char Char Char Char Char"/>
    <w:autoRedefine/>
    <w:qFormat/>
    <w:uiPriority w:val="0"/>
    <w:pPr>
      <w:widowControl w:val="0"/>
      <w:ind w:firstLine="200" w:firstLineChars="200"/>
      <w:jc w:val="both"/>
    </w:pPr>
    <w:rPr>
      <w:rFonts w:ascii="Calibri" w:hAnsi="Calibri" w:eastAsia="方正仿宋_GBK" w:cs="Times New Roman"/>
      <w:kern w:val="2"/>
      <w:sz w:val="32"/>
      <w:szCs w:val="22"/>
      <w:lang w:val="en-US" w:eastAsia="zh-CN" w:bidi="ar-SA"/>
    </w:rPr>
  </w:style>
  <w:style w:type="character" w:customStyle="1" w:styleId="43">
    <w:name w:val="font21"/>
    <w:qFormat/>
    <w:uiPriority w:val="0"/>
    <w:rPr>
      <w:rFonts w:hint="eastAsia" w:ascii="方正仿宋_GBK" w:hAnsi="方正仿宋_GBK" w:eastAsia="方正仿宋_GBK" w:cs="方正仿宋_GBK"/>
      <w:color w:val="000000"/>
      <w:sz w:val="24"/>
      <w:szCs w:val="24"/>
      <w:u w:val="none"/>
    </w:rPr>
  </w:style>
  <w:style w:type="paragraph" w:customStyle="1" w:styleId="44">
    <w:name w:val="WPSOffice手动目录 1"/>
    <w:autoRedefine/>
    <w:qFormat/>
    <w:uiPriority w:val="0"/>
    <w:pPr>
      <w:ind w:leftChars="0"/>
    </w:pPr>
    <w:rPr>
      <w:rFonts w:ascii="Times New Roman" w:hAnsi="Times New Roman" w:eastAsia="宋体" w:cs="Times New Roman"/>
      <w:sz w:val="20"/>
      <w:szCs w:val="20"/>
    </w:rPr>
  </w:style>
  <w:style w:type="paragraph" w:customStyle="1" w:styleId="45">
    <w:name w:val="UserStyle_4"/>
    <w:autoRedefine/>
    <w:qFormat/>
    <w:uiPriority w:val="0"/>
    <w:pPr>
      <w:textAlignment w:val="baseline"/>
    </w:pPr>
    <w:rPr>
      <w:rFonts w:ascii="Helvetica" w:hAnsi="Helvetica" w:eastAsia="宋体" w:cs="Times New Roman"/>
      <w:color w:val="000000"/>
      <w:sz w:val="22"/>
      <w:szCs w:val="22"/>
      <w:lang w:val="en-US" w:eastAsia="zh-CN" w:bidi="ar-SA"/>
    </w:rPr>
  </w:style>
  <w:style w:type="paragraph" w:customStyle="1" w:styleId="46">
    <w:name w:val="UserStyle_0"/>
    <w:basedOn w:val="1"/>
    <w:qFormat/>
    <w:uiPriority w:val="0"/>
    <w:pPr>
      <w:spacing w:line="594" w:lineRule="exact"/>
      <w:ind w:firstLine="482"/>
      <w:textAlignment w:val="baseline"/>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14648</Words>
  <Characters>14945</Characters>
  <Lines>1</Lines>
  <Paragraphs>1</Paragraphs>
  <TotalTime>14</TotalTime>
  <ScaleCrop>false</ScaleCrop>
  <LinksUpToDate>false</LinksUpToDate>
  <CharactersWithSpaces>15121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2023-10-27T01:57:00Z</dcterms:created>
  <dc:creator>Administrator</dc:creator>
  <cp:lastModifiedBy>无知</cp:lastModifiedBy>
  <cp:lastPrinted>2025-02-21T04:44:00Z</cp:lastPrinted>
  <dcterms:modified xsi:type="dcterms:W3CDTF">2025-10-21T08:02:30Z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F934657E39AD4DD1B8F8E346F899A020_13</vt:lpwstr>
  </property>
  <property fmtid="{D5CDD505-2E9C-101B-9397-08002B2CF9AE}" pid="4" name="KSOTemplateDocerSaveRecord">
    <vt:lpwstr>eyJoZGlkIjoiNDExN2Q4MjlhYmUyYjg0Yzc1N2E1Y2FjNWE4ZjBhZWQiLCJ1c2VySWQiOiIzNjQwOTc4MTkifQ==</vt:lpwstr>
  </property>
</Properties>
</file>