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垫江县沙坪镇综合行政执法大队</w:t>
      </w:r>
    </w:p>
    <w:p>
      <w:pPr>
        <w:pStyle w:val="9"/>
        <w:keepNext w:val="0"/>
        <w:keepLines w:val="0"/>
        <w:pageBreakBefore w:val="0"/>
        <w:widowControl/>
        <w:kinsoku/>
        <w:overflowPunct/>
        <w:topLinePunct w:val="0"/>
        <w:autoSpaceDN/>
        <w:bidi w:val="0"/>
        <w:adjustRightInd w:val="0"/>
        <w:snapToGrid w:val="0"/>
        <w:spacing w:before="0" w:beforeAutospacing="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Fonts w:hint="default" w:ascii="黑体" w:hAnsi="黑体" w:eastAsia="黑体" w:cs="黑体"/>
          <w:sz w:val="32"/>
          <w:szCs w:val="32"/>
        </w:rPr>
      </w:pPr>
      <w:r>
        <w:rPr>
          <w:rStyle w:val="14"/>
          <w:rFonts w:ascii="黑体" w:hAnsi="黑体" w:eastAsia="黑体" w:cs="黑体"/>
          <w:sz w:val="32"/>
          <w:szCs w:val="32"/>
          <w:shd w:val="clear" w:color="auto" w:fill="FFFFFF"/>
        </w:rPr>
        <w:t>一、单位基本情况</w:t>
      </w:r>
    </w:p>
    <w:p>
      <w:pPr>
        <w:pStyle w:val="9"/>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主要职能。</w:t>
      </w:r>
      <w:r>
        <w:rPr>
          <w:rFonts w:hint="eastAsia" w:ascii="仿宋_GB2312" w:hAnsi="仿宋" w:eastAsia="仿宋_GB2312"/>
          <w:sz w:val="32"/>
          <w:szCs w:val="32"/>
        </w:rPr>
        <w:t>负责配合综合行政执法办公室做好有关农林水利、规划建设、卫生健</w:t>
      </w:r>
      <w:bookmarkStart w:id="0" w:name="_GoBack"/>
      <w:bookmarkEnd w:id="0"/>
      <w:r>
        <w:rPr>
          <w:rFonts w:hint="eastAsia" w:ascii="仿宋_GB2312" w:hAnsi="仿宋" w:eastAsia="仿宋_GB2312"/>
          <w:sz w:val="32"/>
          <w:szCs w:val="32"/>
        </w:rPr>
        <w:t>康、市容环卫、环境保护、文化旅游、民政管理、消防等方面的执法工作。</w:t>
      </w:r>
    </w:p>
    <w:p>
      <w:pPr>
        <w:pStyle w:val="9"/>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highlight w:val="none"/>
        </w:rPr>
        <w:t>机构情况</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rPr>
        <w:t>本单位内设</w:t>
      </w:r>
      <w:r>
        <w:rPr>
          <w:rFonts w:hint="eastAsia" w:ascii="仿宋_GB2312" w:hAnsi="仿宋" w:eastAsia="仿宋_GB2312"/>
          <w:color w:val="auto"/>
          <w:sz w:val="32"/>
          <w:szCs w:val="32"/>
          <w:lang w:eastAsia="zh-CN"/>
        </w:rPr>
        <w:t>一个事业单位。</w:t>
      </w:r>
      <w:r>
        <w:rPr>
          <w:rFonts w:hint="eastAsia" w:ascii="仿宋_GB2312" w:hAnsi="仿宋" w:eastAsia="仿宋_GB2312"/>
          <w:color w:val="auto"/>
          <w:sz w:val="32"/>
          <w:szCs w:val="32"/>
          <w:highlight w:val="none"/>
        </w:rPr>
        <w:t>人员情况，</w:t>
      </w:r>
      <w:r>
        <w:rPr>
          <w:rFonts w:hint="eastAsia" w:ascii="仿宋_GB2312" w:hAnsi="仿宋" w:eastAsia="仿宋_GB2312"/>
          <w:color w:val="auto"/>
          <w:sz w:val="32"/>
          <w:szCs w:val="32"/>
        </w:rPr>
        <w:t>本单位现有在职职工</w:t>
      </w:r>
      <w:r>
        <w:rPr>
          <w:rFonts w:hint="eastAsia" w:ascii="仿宋_GB2312" w:hAnsi="仿宋" w:eastAsia="仿宋_GB2312"/>
          <w:color w:val="auto"/>
          <w:sz w:val="32"/>
          <w:szCs w:val="32"/>
          <w:lang w:val="en-US" w:eastAsia="zh-CN"/>
        </w:rPr>
        <w:t>6名</w:t>
      </w:r>
      <w:r>
        <w:rPr>
          <w:rFonts w:hint="eastAsia" w:ascii="仿宋_GB2312" w:hAnsi="仿宋" w:eastAsia="仿宋_GB2312"/>
          <w:color w:val="auto"/>
          <w:sz w:val="32"/>
          <w:szCs w:val="32"/>
          <w:lang w:eastAsia="zh-CN"/>
        </w:rPr>
        <w:t>。其中事业人员</w:t>
      </w:r>
      <w:r>
        <w:rPr>
          <w:rFonts w:hint="eastAsia" w:ascii="仿宋_GB2312" w:hAnsi="仿宋" w:eastAsia="仿宋_GB2312"/>
          <w:color w:val="auto"/>
          <w:sz w:val="32"/>
          <w:szCs w:val="32"/>
          <w:lang w:val="en-US" w:eastAsia="zh-CN"/>
        </w:rPr>
        <w:t>6名。主要原因是机构改革，本单位减少一人。</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3" w:firstLineChars="200"/>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color w:val="auto"/>
          <w:sz w:val="32"/>
          <w:szCs w:val="32"/>
        </w:rPr>
      </w:pPr>
      <w:r>
        <w:rPr>
          <w:rStyle w:val="14"/>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度收入总计155.60万元，支出总计</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万元。收、支与2023年度相比，减少2.62万元，下降1.66%，主要原因是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度收入合计155.60万元，与2023年度相比，减少2.62万元，下降1.66%，主要原因是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万元，与2023年度相比，减少2.62万元，下降1.66%，主要原因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auto"/>
          <w:sz w:val="32"/>
          <w:szCs w:val="32"/>
          <w:lang w:val="en-US"/>
        </w:rPr>
      </w:pPr>
      <w:r>
        <w:rPr>
          <w:rStyle w:val="14"/>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度财政拨款收、支总计155.60万元。与202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年相比，财政拨款收、支总计各减少2.62万元，下降1.66%。主要原因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3" w:firstLineChars="200"/>
        <w:outlineLvl w:val="0"/>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万元，与2023年度相比，减少2.62万元，下降1.66%。主要原因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较年初预算数增加31.75万元，增长25.64%。主要原因是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shd w:val="clear" w:color="auto" w:fill="FFFFFF"/>
          <w:lang w:val="en-US" w:eastAsia="zh-CN" w:bidi="ar-SA"/>
        </w:rPr>
      </w:pPr>
      <w:r>
        <w:rPr>
          <w:rStyle w:val="14"/>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万元，与2023年度相比，减少2.62万元，下降1.66%。主要原因是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较年初预算数增加31.75万元，增长25.64%。主要原因是</w:t>
      </w:r>
      <w:r>
        <w:rPr>
          <w:rFonts w:hint="eastAsia" w:ascii="方正仿宋_GBK" w:hAnsi="方正仿宋_GBK" w:eastAsia="方正仿宋_GBK" w:cs="方正仿宋_GBK"/>
          <w:sz w:val="32"/>
          <w:szCs w:val="32"/>
          <w:shd w:val="clear" w:color="auto" w:fill="FFFFFF"/>
          <w:lang w:val="en-US" w:eastAsia="zh-CN" w:bidi="ar-SA"/>
        </w:rPr>
        <w:t>事业人员补缴2022-2023年养老保险和职业年金。</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9"/>
        <w:keepNext w:val="0"/>
        <w:keepLines w:val="0"/>
        <w:pageBreakBefore w:val="0"/>
        <w:widowControl/>
        <w:numPr>
          <w:ilvl w:val="0"/>
          <w:numId w:val="1"/>
        </w:numPr>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20.06</w:t>
      </w:r>
      <w:r>
        <w:rPr>
          <w:rFonts w:ascii="方正仿宋_GBK" w:hAnsi="方正仿宋_GBK" w:eastAsia="方正仿宋_GBK" w:cs="方正仿宋_GBK"/>
          <w:sz w:val="32"/>
          <w:szCs w:val="32"/>
          <w:shd w:val="clear" w:color="auto" w:fill="FFFFFF"/>
        </w:rPr>
        <w:t>%，较年初预算数增加17.00万元，增长119.63%，主要原因是</w:t>
      </w:r>
      <w:r>
        <w:rPr>
          <w:rFonts w:hint="eastAsia" w:ascii="仿宋_GB2312" w:hAnsi="宋体" w:eastAsia="仿宋_GB2312" w:cs="Arial"/>
          <w:kern w:val="0"/>
          <w:sz w:val="32"/>
          <w:szCs w:val="32"/>
        </w:rPr>
        <w:t>事</w:t>
      </w:r>
      <w:r>
        <w:rPr>
          <w:rFonts w:hint="eastAsia" w:ascii="方正仿宋_GBK" w:hAnsi="方正仿宋_GBK" w:eastAsia="方正仿宋_GBK" w:cs="方正仿宋_GBK"/>
          <w:sz w:val="32"/>
          <w:szCs w:val="32"/>
          <w:shd w:val="clear" w:color="auto" w:fill="FFFFFF"/>
          <w:lang w:val="en-US" w:eastAsia="zh-CN" w:bidi="ar-SA"/>
        </w:rPr>
        <w:t>业人员补缴2022-2023年养老保险和职业年金。</w:t>
      </w:r>
    </w:p>
    <w:p>
      <w:pPr>
        <w:pStyle w:val="9"/>
        <w:keepNext w:val="0"/>
        <w:keepLines w:val="0"/>
        <w:pageBreakBefore w:val="0"/>
        <w:widowControl/>
        <w:numPr>
          <w:ilvl w:val="0"/>
          <w:numId w:val="0"/>
        </w:numP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%，较年初预算数增加0.51万元，增长10.78%，主要原因是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2024年度医疗二次报账增多，相应的支出增加。</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107.96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69.38</w:t>
      </w:r>
      <w:r>
        <w:rPr>
          <w:rFonts w:ascii="方正仿宋_GBK" w:hAnsi="方正仿宋_GBK" w:eastAsia="方正仿宋_GBK" w:cs="方正仿宋_GBK"/>
          <w:sz w:val="32"/>
          <w:szCs w:val="32"/>
          <w:shd w:val="clear" w:color="auto" w:fill="FFFFFF"/>
        </w:rPr>
        <w:t>%，较年初预算数增加8.72万元，增长8.79%，主要原因是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2024年度用于道路清扫、垃圾清运与污水处理的支出增多，相应的支出增加。</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7.19</w:t>
      </w:r>
      <w:r>
        <w:rPr>
          <w:rFonts w:ascii="方正仿宋_GBK" w:hAnsi="方正仿宋_GBK" w:eastAsia="方正仿宋_GBK" w:cs="方正仿宋_GBK"/>
          <w:sz w:val="32"/>
          <w:szCs w:val="32"/>
          <w:shd w:val="clear" w:color="auto" w:fill="FFFFFF"/>
        </w:rPr>
        <w:t>%，较年初预算数增加5.52万元，增长97.35%，主要原因是</w:t>
      </w:r>
      <w:r>
        <w:rPr>
          <w:rFonts w:hint="eastAsia" w:ascii="方正仿宋_GBK" w:hAnsi="方正仿宋_GBK" w:eastAsia="方正仿宋_GBK" w:cs="方正仿宋_GBK"/>
          <w:color w:val="auto"/>
          <w:sz w:val="32"/>
          <w:szCs w:val="32"/>
          <w:shd w:val="clear" w:color="auto" w:fill="FFFFFF"/>
          <w:lang w:eastAsia="zh-CN"/>
        </w:rPr>
        <w:t>在职人员工资调整，公积金基数变化，相应的住房保障开支增加。</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155.60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147.09</w:t>
      </w:r>
      <w:r>
        <w:rPr>
          <w:rFonts w:ascii="方正仿宋_GBK" w:hAnsi="方正仿宋_GBK" w:eastAsia="方正仿宋_GBK" w:cs="方正仿宋_GBK"/>
          <w:sz w:val="32"/>
          <w:szCs w:val="32"/>
          <w:shd w:val="clear" w:color="auto" w:fill="FFFFFF"/>
        </w:rPr>
        <w:t>万元，与2023年度相比，减少1.33万元，下降0.90%，主要原因是</w:t>
      </w:r>
      <w:r>
        <w:rPr>
          <w:rFonts w:hint="eastAsia" w:ascii="方正仿宋_GBK" w:hAnsi="方正仿宋_GBK" w:eastAsia="方正仿宋_GBK" w:cs="方正仿宋_GBK"/>
          <w:color w:val="auto"/>
          <w:sz w:val="32"/>
          <w:szCs w:val="32"/>
          <w:shd w:val="clear" w:color="auto" w:fill="FFFFFF"/>
          <w:lang w:eastAsia="zh-CN"/>
        </w:rPr>
        <w:t>机构改革后，在职人员减少，相应的开支减少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工资支出、社保支出、公积金支出等。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8.51</w:t>
      </w:r>
      <w:r>
        <w:rPr>
          <w:rFonts w:ascii="方正仿宋_GBK" w:hAnsi="方正仿宋_GBK" w:eastAsia="方正仿宋_GBK" w:cs="方正仿宋_GBK"/>
          <w:color w:val="auto"/>
          <w:sz w:val="32"/>
          <w:szCs w:val="32"/>
          <w:shd w:val="clear" w:color="auto" w:fill="FFFFFF"/>
        </w:rPr>
        <w:t>万元，与2023年度相比，减少1.29万元，下降13.16%，主要原因是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差旅费支出、培训费支出、会议费支出等。</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（一）“三公”经费支出总体情况说</w:t>
      </w:r>
      <w:r>
        <w:rPr>
          <w:rFonts w:hint="eastAsia" w:ascii="楷体" w:hAnsi="楷体" w:eastAsia="楷体" w:cs="楷体"/>
          <w:b/>
          <w:bCs/>
          <w:color w:val="auto"/>
          <w:sz w:val="32"/>
          <w:szCs w:val="32"/>
          <w:shd w:val="clear" w:color="auto" w:fill="FFFFFF"/>
        </w:rPr>
        <w:t>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本单位本年度与上年度均无三公经费支出。</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本单位本年度无公务车购置费。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本单位本年度无公务车购置费支出</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本单位本年度与上年度均无公务车购置费支出。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本单位本年度与上年度均无公务车运行维护费。</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本单位本年度无公务接待费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本单位本年度与上年度均无公务接待费。</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万元，与2023年度相比，增加0.06万元，增长150.00%，主要原因是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2024年度外出执法培训增加，因此培训费增加。</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4"/>
          <w:rFonts w:hint="default"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lang w:val="en-US" w:eastAsia="zh-CN" w:bidi="ar-SA"/>
        </w:rPr>
        <w:t>五、2024年度预算绩效管理情况说明</w:t>
      </w:r>
    </w:p>
    <w:p>
      <w:pPr>
        <w:pStyle w:val="16"/>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3" w:firstLineChars="20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rPr>
        <w:t>（一）单位自评情况</w:t>
      </w:r>
      <w:r>
        <w:rPr>
          <w:rFonts w:hint="eastAsia" w:ascii="楷体" w:hAnsi="楷体" w:eastAsia="楷体" w:cs="楷体"/>
          <w:b/>
          <w:bCs/>
          <w:sz w:val="32"/>
          <w:szCs w:val="32"/>
          <w:shd w:val="clear" w:color="auto" w:fill="FFFFFF"/>
          <w:lang w:val="en-US" w:eastAsia="zh-CN" w:bidi="ar"/>
        </w:rPr>
        <w:t xml:space="preserve">  </w:t>
      </w:r>
    </w:p>
    <w:p>
      <w:pPr>
        <w:pStyle w:val="16"/>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我单位无项目绩效自评。</w:t>
      </w:r>
    </w:p>
    <w:p>
      <w:pPr>
        <w:pStyle w:val="18"/>
        <w:keepNext w:val="0"/>
        <w:keepLines w:val="0"/>
        <w:pageBreakBefore w:val="0"/>
        <w:widowControl/>
        <w:numPr>
          <w:ilvl w:val="0"/>
          <w:numId w:val="2"/>
        </w:numPr>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18"/>
        <w:keepNext w:val="0"/>
        <w:keepLines w:val="0"/>
        <w:pageBreakBefore w:val="0"/>
        <w:widowControl/>
        <w:numPr>
          <w:ilvl w:val="0"/>
          <w:numId w:val="0"/>
        </w:numPr>
        <w:kinsoku/>
        <w:overflowPunct/>
        <w:topLinePunct w:val="0"/>
        <w:autoSpaceDE w:val="0"/>
        <w:autoSpaceDN/>
        <w:bidi w:val="0"/>
        <w:adjustRightInd w:val="0"/>
        <w:snapToGrid w:val="0"/>
        <w:spacing w:beforeAutospacing="0" w:afterAutospacing="0" w:line="594" w:lineRule="exact"/>
        <w:ind w:firstLine="640" w:firstLineChars="200"/>
        <w:rPr>
          <w:rFonts w:hint="eastAsia" w:ascii="楷体" w:hAnsi="楷体" w:eastAsia="楷体" w:cs="楷体"/>
          <w:b/>
          <w:bCs/>
          <w:sz w:val="32"/>
          <w:szCs w:val="32"/>
          <w:shd w:val="clear" w:color="auto" w:fill="FFFFFF"/>
          <w:lang w:val="en-US" w:eastAsia="zh-CN"/>
        </w:rPr>
      </w:pP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我单位未组织开展绩效评价。</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8"/>
        <w:keepNext w:val="0"/>
        <w:keepLines w:val="0"/>
        <w:pageBreakBefore w:val="0"/>
        <w:widowControl/>
        <w:numPr>
          <w:ilvl w:val="0"/>
          <w:numId w:val="0"/>
        </w:numPr>
        <w:kinsoku/>
        <w:overflowPunct/>
        <w:topLinePunct w:val="0"/>
        <w:autoSpaceDE w:val="0"/>
        <w:autoSpaceDN/>
        <w:bidi w:val="0"/>
        <w:adjustRightInd w:val="0"/>
        <w:snapToGrid w:val="0"/>
        <w:spacing w:beforeAutospacing="0" w:afterAutospacing="0" w:line="594" w:lineRule="exact"/>
        <w:ind w:firstLine="643" w:firstLineChars="200"/>
        <w:rPr>
          <w:rFonts w:hint="eastAsia" w:ascii="方正仿宋_GBK" w:hAnsi="方正仿宋_GBK" w:eastAsia="方正仿宋_GBK" w:cs="方正仿宋_GBK"/>
          <w:b w:val="0"/>
          <w:bCs w:val="0"/>
          <w:kern w:val="0"/>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4"/>
          <w:rFonts w:hint="default" w:ascii="黑体" w:hAnsi="黑体" w:eastAsia="黑体" w:cs="黑体"/>
          <w:sz w:val="32"/>
          <w:szCs w:val="32"/>
          <w:shd w:val="clear" w:color="auto" w:fill="FFFFFF"/>
          <w:lang w:val="en-US" w:eastAsia="zh-CN"/>
        </w:rPr>
      </w:pPr>
      <w:r>
        <w:rPr>
          <w:rStyle w:val="14"/>
          <w:rFonts w:hint="eastAsia" w:ascii="黑体" w:hAnsi="黑体" w:eastAsia="黑体" w:cs="黑体"/>
          <w:sz w:val="32"/>
          <w:szCs w:val="32"/>
          <w:shd w:val="clear" w:color="auto" w:fill="FFFFFF"/>
          <w:lang w:val="en-US" w:eastAsia="zh-CN"/>
        </w:rPr>
        <w:t>  六、专业名词解释</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4"/>
          <w:rFonts w:hint="default" w:ascii="方正仿宋_GBK" w:hAnsi="方正仿宋_GBK" w:eastAsia="方正仿宋_GBK" w:cs="方正仿宋_GBK"/>
          <w:sz w:val="32"/>
          <w:szCs w:val="32"/>
          <w:shd w:val="clear" w:color="auto" w:fill="FFFFFF"/>
        </w:rPr>
      </w:pPr>
      <w:r>
        <w:rPr>
          <w:rStyle w:val="14"/>
          <w:rFonts w:ascii="黑体" w:hAnsi="黑体" w:eastAsia="黑体" w:cs="黑体"/>
          <w:sz w:val="32"/>
          <w:szCs w:val="32"/>
          <w:shd w:val="clear" w:color="auto" w:fill="FFFFFF"/>
        </w:rPr>
        <w:t>七、决算公开联系方式及信息反馈渠道</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023-74575118</w:t>
      </w: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rPr>
      </w:pPr>
    </w:p>
    <w:p>
      <w:pPr>
        <w:pStyle w:val="15"/>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3" w:firstLineChars="200"/>
        <w:jc w:val="left"/>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垫江县沙坪镇综合行政执法大队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5"/>
        <w:gridCol w:w="2930"/>
        <w:gridCol w:w="1588"/>
        <w:gridCol w:w="1456"/>
        <w:gridCol w:w="1261"/>
        <w:gridCol w:w="1443"/>
        <w:gridCol w:w="1464"/>
        <w:gridCol w:w="1301"/>
        <w:gridCol w:w="1355"/>
        <w:gridCol w:w="1327"/>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垫江县沙坪镇综合行政执法大队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155.60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155.60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7"/>
        <w:gridCol w:w="3615"/>
        <w:gridCol w:w="1848"/>
        <w:gridCol w:w="1771"/>
        <w:gridCol w:w="1630"/>
        <w:gridCol w:w="1563"/>
        <w:gridCol w:w="1698"/>
        <w:gridCol w:w="1956"/>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155.60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155.60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10"/>
        <w:gridCol w:w="4088"/>
        <w:gridCol w:w="3318"/>
        <w:gridCol w:w="3309"/>
        <w:gridCol w:w="335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6"/>
        <w:gridCol w:w="2819"/>
        <w:gridCol w:w="1547"/>
        <w:gridCol w:w="876"/>
        <w:gridCol w:w="2039"/>
        <w:gridCol w:w="1423"/>
        <w:gridCol w:w="876"/>
        <w:gridCol w:w="3476"/>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147.09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5"/>
        <w:gridCol w:w="3607"/>
        <w:gridCol w:w="1707"/>
        <w:gridCol w:w="1707"/>
        <w:gridCol w:w="1707"/>
        <w:gridCol w:w="1707"/>
        <w:gridCol w:w="1771"/>
        <w:gridCol w:w="1846"/>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8"/>
        <w:gridCol w:w="3629"/>
        <w:gridCol w:w="3285"/>
        <w:gridCol w:w="191"/>
        <w:gridCol w:w="3476"/>
        <w:gridCol w:w="86"/>
        <w:gridCol w:w="3413"/>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360" w:firstLineChars="200"/>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1060001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4A36"/>
    <w:multiLevelType w:val="singleLevel"/>
    <w:tmpl w:val="689D4A36"/>
    <w:lvl w:ilvl="0" w:tentative="0">
      <w:start w:val="1"/>
      <w:numFmt w:val="decimal"/>
      <w:suff w:val="nothing"/>
      <w:lvlText w:val="（%1）"/>
      <w:lvlJc w:val="left"/>
    </w:lvl>
  </w:abstractNum>
  <w:abstractNum w:abstractNumId="1">
    <w:nsid w:val="689D51DA"/>
    <w:multiLevelType w:val="singleLevel"/>
    <w:tmpl w:val="689D51DA"/>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5807FE"/>
    <w:rsid w:val="16286B1A"/>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84233A"/>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B6641A"/>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177260"/>
    <w:rsid w:val="4DAC4ACA"/>
    <w:rsid w:val="4DBE01D2"/>
    <w:rsid w:val="4F0C6BA3"/>
    <w:rsid w:val="4F186D58"/>
    <w:rsid w:val="50F06B6E"/>
    <w:rsid w:val="51D21804"/>
    <w:rsid w:val="52234D33"/>
    <w:rsid w:val="522F6E0C"/>
    <w:rsid w:val="52463BA1"/>
    <w:rsid w:val="52CA1CDA"/>
    <w:rsid w:val="52F163D4"/>
    <w:rsid w:val="531A2DB4"/>
    <w:rsid w:val="53C0244D"/>
    <w:rsid w:val="53DD4D4E"/>
    <w:rsid w:val="53E578CE"/>
    <w:rsid w:val="541330F0"/>
    <w:rsid w:val="54272666"/>
    <w:rsid w:val="543B029D"/>
    <w:rsid w:val="54861779"/>
    <w:rsid w:val="54983978"/>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autoRedefine/>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ody Text Indent"/>
    <w:basedOn w:val="1"/>
    <w:autoRedefine/>
    <w:qFormat/>
    <w:uiPriority w:val="0"/>
    <w:pPr>
      <w:ind w:firstLine="630" w:firstLineChars="200"/>
    </w:pPr>
    <w:rPr>
      <w:rFonts w:ascii="仿宋_GB2312" w:eastAsia="仿宋_GB2312"/>
    </w:rPr>
  </w:style>
  <w:style w:type="paragraph" w:styleId="5">
    <w:name w:val="Balloon Text"/>
    <w:basedOn w:val="1"/>
    <w:link w:val="19"/>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paragraph" w:styleId="10">
    <w:name w:val="Body Text First Indent 2"/>
    <w:basedOn w:val="4"/>
    <w:autoRedefine/>
    <w:qFormat/>
    <w:uiPriority w:val="0"/>
    <w:pPr>
      <w:ind w:firstLine="420"/>
    </w:pPr>
    <w:rPr>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rPr>
  </w:style>
  <w:style w:type="paragraph" w:customStyle="1" w:styleId="15">
    <w:name w:val="列出段落1"/>
    <w:basedOn w:val="1"/>
    <w:autoRedefine/>
    <w:qFormat/>
    <w:uiPriority w:val="99"/>
    <w:pPr>
      <w:ind w:firstLine="420" w:firstLineChars="200"/>
    </w:pPr>
    <w:rPr>
      <w:rFonts w:hint="default"/>
    </w:rPr>
  </w:style>
  <w:style w:type="paragraph" w:customStyle="1" w:styleId="16">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autoRedefine/>
    <w:qFormat/>
    <w:uiPriority w:val="0"/>
    <w:rPr>
      <w:rFonts w:hint="default" w:ascii="Wingdings" w:hAnsi="Wingdings" w:cs="Wingdings"/>
      <w:b/>
      <w:bCs/>
    </w:rPr>
  </w:style>
  <w:style w:type="paragraph" w:customStyle="1" w:styleId="18">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autoRedefine/>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8386</Words>
  <Characters>10551</Characters>
  <Lines>190</Lines>
  <Paragraphs>53</Paragraphs>
  <TotalTime>2</TotalTime>
  <ScaleCrop>false</ScaleCrop>
  <LinksUpToDate>false</LinksUpToDate>
  <CharactersWithSpaces>11612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2025-09-24T08:41:04Z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