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垫江县沙坪镇农业服务中心</w:t>
      </w:r>
    </w:p>
    <w:p>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sz w:val="32"/>
          <w:szCs w:val="32"/>
        </w:rPr>
      </w:pPr>
      <w:r>
        <w:rPr>
          <w:rStyle w:val="12"/>
          <w:rFonts w:ascii="黑体" w:hAnsi="黑体" w:eastAsia="黑体" w:cs="黑体"/>
          <w:sz w:val="32"/>
          <w:szCs w:val="32"/>
          <w:shd w:val="clear" w:color="auto" w:fill="FFFFFF"/>
        </w:rPr>
        <w:t>一、单位基本情况</w:t>
      </w:r>
    </w:p>
    <w:p>
      <w:pPr>
        <w:pStyle w:val="8"/>
        <w:shd w:val="clear" w:color="auto" w:fill="FFFFFF"/>
        <w:ind w:firstLine="420"/>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pPr>
        <w:pStyle w:val="8"/>
        <w:shd w:val="clear" w:color="auto" w:fill="FFFFFF"/>
        <w:ind w:firstLine="42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农业服务中心。负责农业技术的引进、示范与推广。负责动植物病虫害、农业灾情的监测、预报、防治</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负责农业生态环境和农业投入品使用监测。承担农产品、水产种苗、水产品质量安全监管公共服务等工作。依法实施行政区域内动物 疫病的防疫、强制免疫和承担动物、动物产品的检疫工作，负责实施动物疫情调查、动物疫病监测、动物疫情报告和畜禽圈舍等环境的消毒工作。负责农业公共信息服务和实用技术培训等工作。</w:t>
      </w:r>
    </w:p>
    <w:p>
      <w:pPr>
        <w:pStyle w:val="8"/>
        <w:shd w:val="clear" w:color="auto" w:fill="FFFFFF"/>
        <w:ind w:firstLine="420"/>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p>
    <w:p>
      <w:pPr>
        <w:snapToGrid w:val="0"/>
        <w:spacing w:line="52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机构情况</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rPr>
        <w:t>本单位内设</w:t>
      </w:r>
      <w:r>
        <w:rPr>
          <w:rFonts w:hint="eastAsia" w:ascii="仿宋_GB2312" w:hAnsi="仿宋" w:eastAsia="仿宋_GB2312"/>
          <w:sz w:val="32"/>
          <w:szCs w:val="32"/>
          <w:lang w:eastAsia="zh-CN"/>
        </w:rPr>
        <w:t>一个事业单位。</w:t>
      </w:r>
      <w:r>
        <w:rPr>
          <w:rFonts w:hint="eastAsia" w:ascii="仿宋_GB2312" w:hAnsi="仿宋" w:eastAsia="仿宋_GB2312"/>
          <w:sz w:val="32"/>
          <w:szCs w:val="32"/>
          <w:highlight w:val="none"/>
        </w:rPr>
        <w:t>人员情况，</w:t>
      </w:r>
      <w:r>
        <w:rPr>
          <w:rFonts w:hint="eastAsia" w:ascii="仿宋_GB2312" w:hAnsi="仿宋" w:eastAsia="仿宋_GB2312"/>
          <w:sz w:val="32"/>
          <w:szCs w:val="32"/>
        </w:rPr>
        <w:t>本单位现有在职职工</w:t>
      </w:r>
      <w:r>
        <w:rPr>
          <w:rFonts w:hint="eastAsia" w:ascii="仿宋_GB2312" w:hAnsi="仿宋" w:eastAsia="仿宋_GB2312"/>
          <w:sz w:val="32"/>
          <w:szCs w:val="32"/>
          <w:lang w:val="en-US" w:eastAsia="zh-CN"/>
        </w:rPr>
        <w:t>16</w:t>
      </w:r>
      <w:r>
        <w:rPr>
          <w:rFonts w:hint="eastAsia" w:ascii="仿宋_GB2312" w:hAnsi="仿宋" w:eastAsia="仿宋_GB2312"/>
          <w:sz w:val="32"/>
          <w:szCs w:val="32"/>
        </w:rPr>
        <w:t>人</w:t>
      </w:r>
      <w:r>
        <w:rPr>
          <w:rFonts w:hint="eastAsia" w:ascii="仿宋_GB2312" w:hAnsi="仿宋" w:eastAsia="仿宋_GB2312"/>
          <w:sz w:val="32"/>
          <w:szCs w:val="32"/>
          <w:lang w:eastAsia="zh-CN"/>
        </w:rPr>
        <w:t>。其中事业人员</w:t>
      </w:r>
      <w:r>
        <w:rPr>
          <w:rFonts w:hint="eastAsia" w:ascii="仿宋_GB2312" w:hAnsi="仿宋" w:eastAsia="仿宋_GB2312"/>
          <w:sz w:val="32"/>
          <w:szCs w:val="32"/>
          <w:lang w:val="en-US" w:eastAsia="zh-CN"/>
        </w:rPr>
        <w:t>16名。因2024年机构改革，本单位新增3人。</w:t>
      </w:r>
    </w:p>
    <w:p>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二、</w:t>
      </w:r>
      <w:r>
        <w:rPr>
          <w:rStyle w:val="12"/>
          <w:rFonts w:hint="eastAsia" w:ascii="黑体" w:hAnsi="黑体" w:eastAsia="黑体" w:cs="黑体"/>
          <w:sz w:val="32"/>
          <w:szCs w:val="32"/>
          <w:shd w:val="clear" w:color="auto" w:fill="FFFFFF"/>
          <w:lang w:eastAsia="zh-CN"/>
        </w:rPr>
        <w:t>单位</w:t>
      </w:r>
      <w:r>
        <w:rPr>
          <w:rStyle w:val="12"/>
          <w:rFonts w:ascii="黑体" w:hAnsi="黑体" w:eastAsia="黑体" w:cs="黑体"/>
          <w:sz w:val="32"/>
          <w:szCs w:val="32"/>
          <w:shd w:val="clear" w:color="auto" w:fill="FFFFFF"/>
        </w:rPr>
        <w:t>决算</w:t>
      </w:r>
      <w:r>
        <w:rPr>
          <w:rStyle w:val="12"/>
          <w:rFonts w:hint="eastAsia" w:ascii="黑体" w:hAnsi="黑体" w:eastAsia="黑体" w:cs="黑体"/>
          <w:sz w:val="32"/>
          <w:szCs w:val="32"/>
          <w:shd w:val="clear" w:color="auto" w:fill="FFFFFF"/>
          <w:lang w:eastAsia="zh-CN"/>
        </w:rPr>
        <w:t>收支</w:t>
      </w:r>
      <w:r>
        <w:rPr>
          <w:rStyle w:val="12"/>
          <w:rFonts w:ascii="黑体" w:hAnsi="黑体" w:eastAsia="黑体" w:cs="黑体"/>
          <w:sz w:val="32"/>
          <w:szCs w:val="32"/>
          <w:shd w:val="clear" w:color="auto" w:fill="FFFFFF"/>
        </w:rPr>
        <w:t>情况说明</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8"/>
        <w:shd w:val="clear" w:color="auto" w:fill="FFFFFF"/>
        <w:ind w:firstLine="643" w:firstLineChars="200"/>
        <w:rPr>
          <w:rFonts w:hint="eastAsia"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度收入总计363.13万元，支出总计</w:t>
      </w:r>
      <w:r>
        <w:rPr>
          <w:rFonts w:ascii="方正仿宋_GBK" w:hAnsi="方正仿宋_GBK" w:eastAsia="方正仿宋_GBK" w:cs="方正仿宋_GBK"/>
          <w:sz w:val="32"/>
          <w:szCs w:val="32"/>
        </w:rPr>
        <w:t>363.13</w:t>
      </w:r>
      <w:r>
        <w:rPr>
          <w:rFonts w:ascii="方正仿宋_GBK" w:hAnsi="方正仿宋_GBK" w:eastAsia="方正仿宋_GBK" w:cs="方正仿宋_GBK"/>
          <w:sz w:val="32"/>
          <w:szCs w:val="32"/>
          <w:shd w:val="clear" w:color="auto" w:fill="FFFFFF"/>
        </w:rPr>
        <w:t>万元。收、支与2023年度相比，增加5.57万元，增长1.56%，主要原因是</w:t>
      </w:r>
      <w:r>
        <w:rPr>
          <w:rFonts w:hint="eastAsia" w:ascii="方正仿宋_GBK" w:hAnsi="方正仿宋_GBK" w:eastAsia="方正仿宋_GBK" w:cs="方正仿宋_GBK"/>
          <w:sz w:val="32"/>
          <w:szCs w:val="32"/>
          <w:shd w:val="clear" w:color="auto" w:fill="FFFFFF"/>
        </w:rPr>
        <w:t>事业人员补缴2022-2023年养老保险和职业年金。</w:t>
      </w:r>
    </w:p>
    <w:p>
      <w:pPr>
        <w:pStyle w:val="8"/>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度收入合计363.13万元，与2023年度相比，增加5.57万元，增长1.56%，主要原因是</w:t>
      </w:r>
      <w:r>
        <w:rPr>
          <w:rFonts w:hint="eastAsia" w:ascii="方正仿宋_GBK" w:hAnsi="方正仿宋_GBK" w:eastAsia="方正仿宋_GBK" w:cs="方正仿宋_GBK"/>
          <w:sz w:val="32"/>
          <w:szCs w:val="32"/>
          <w:shd w:val="clear" w:color="auto" w:fill="FFFFFF"/>
        </w:rPr>
        <w:t>事业人员补缴2022-2023年养老保险和职业年金。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363.13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363.13</w:t>
      </w:r>
      <w:r>
        <w:rPr>
          <w:rFonts w:ascii="方正仿宋_GBK" w:hAnsi="方正仿宋_GBK" w:eastAsia="方正仿宋_GBK" w:cs="方正仿宋_GBK"/>
          <w:sz w:val="32"/>
          <w:szCs w:val="32"/>
          <w:shd w:val="clear" w:color="auto" w:fill="FFFFFF"/>
        </w:rPr>
        <w:t>万元，与2023年度相比，增加5.57万元，增长1.56%，主要原因</w:t>
      </w:r>
      <w:bookmarkStart w:id="0" w:name="_GoBack"/>
      <w:bookmarkEnd w:id="0"/>
      <w:r>
        <w:rPr>
          <w:rFonts w:hint="eastAsia" w:ascii="方正仿宋_GBK" w:hAnsi="方正仿宋_GBK" w:eastAsia="方正仿宋_GBK" w:cs="方正仿宋_GBK"/>
          <w:sz w:val="32"/>
          <w:szCs w:val="32"/>
          <w:shd w:val="clear" w:color="auto" w:fill="FFFFFF"/>
          <w:lang w:eastAsia="zh-CN"/>
        </w:rPr>
        <w:t>是本单位新增事业人员，因此各项经费日常开支较上年有所增加</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363.13</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12"/>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2023年和2024年均无结转结余情况。</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snapToGrid w:val="0"/>
        <w:spacing w:line="520" w:lineRule="exact"/>
        <w:ind w:firstLine="640" w:firstLineChars="200"/>
        <w:outlineLvl w:val="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度财政拨款收、支总计363.13万元。与202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年相比，财政拨款收、支总计各增加5.57万元，增长1.56%。主要原因</w:t>
      </w:r>
      <w:r>
        <w:rPr>
          <w:rFonts w:hint="eastAsia" w:ascii="方正仿宋_GBK" w:hAnsi="方正仿宋_GBK" w:eastAsia="方正仿宋_GBK" w:cs="方正仿宋_GBK"/>
          <w:sz w:val="32"/>
          <w:szCs w:val="32"/>
          <w:shd w:val="clear" w:color="auto" w:fill="FFFFFF"/>
          <w:lang w:val="en-US" w:eastAsia="zh-CN" w:bidi="ar-SA"/>
        </w:rPr>
        <w:t>是事业人员补缴2022-2023年养老保险和职业年金。</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snapToGrid w:val="0"/>
        <w:spacing w:line="520" w:lineRule="exact"/>
        <w:ind w:firstLine="643" w:firstLineChars="200"/>
        <w:outlineLvl w:val="0"/>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363.13</w:t>
      </w:r>
      <w:r>
        <w:rPr>
          <w:rFonts w:ascii="方正仿宋_GBK" w:hAnsi="方正仿宋_GBK" w:eastAsia="方正仿宋_GBK" w:cs="方正仿宋_GBK"/>
          <w:sz w:val="32"/>
          <w:szCs w:val="32"/>
          <w:shd w:val="clear" w:color="auto" w:fill="FFFFFF"/>
        </w:rPr>
        <w:t>万元，与2023年度相比，增加5.57万元，增长1.56%。主要原因是</w:t>
      </w:r>
      <w:r>
        <w:rPr>
          <w:rFonts w:hint="eastAsia" w:ascii="方正仿宋_GBK" w:hAnsi="方正仿宋_GBK" w:eastAsia="方正仿宋_GBK" w:cs="方正仿宋_GBK"/>
          <w:sz w:val="32"/>
          <w:szCs w:val="32"/>
          <w:shd w:val="clear" w:color="auto" w:fill="FFFFFF"/>
          <w:lang w:val="en-US" w:eastAsia="zh-CN" w:bidi="ar-SA"/>
        </w:rPr>
        <w:t>事业人员补缴2022-2023年养老保险和职业年金。较年初预算数增加23.05万元，增长6.78%。主要原因是事业人员补缴2022-2023年养老保险和职业年金。此外，</w:t>
      </w:r>
      <w:r>
        <w:rPr>
          <w:rFonts w:ascii="方正仿宋_GBK" w:hAnsi="方正仿宋_GBK" w:eastAsia="方正仿宋_GBK" w:cs="方正仿宋_GBK"/>
          <w:sz w:val="32"/>
          <w:szCs w:val="32"/>
          <w:shd w:val="clear" w:color="auto" w:fill="FFFFFF"/>
        </w:rPr>
        <w:t>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snapToGrid w:val="0"/>
        <w:spacing w:line="520" w:lineRule="exact"/>
        <w:ind w:firstLine="643" w:firstLineChars="200"/>
        <w:outlineLvl w:val="0"/>
        <w:rPr>
          <w:rFonts w:hint="eastAsia" w:ascii="方正仿宋_GBK" w:hAnsi="方正仿宋_GBK" w:eastAsia="方正仿宋_GBK" w:cs="方正仿宋_GBK"/>
          <w:sz w:val="32"/>
          <w:szCs w:val="32"/>
          <w:shd w:val="clear" w:color="auto" w:fill="FFFFFF"/>
          <w:lang w:val="en-US" w:eastAsia="zh-CN" w:bidi="ar-SA"/>
        </w:rPr>
      </w:pPr>
      <w:r>
        <w:rPr>
          <w:rStyle w:val="12"/>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363.13</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bidi="ar-SA"/>
        </w:rPr>
        <w:t>，与2023年度相比，增加5.57万元，增长1.56%。主要原因是事业人员补缴2022-2023年养老保险和职业年金。</w:t>
      </w:r>
    </w:p>
    <w:p>
      <w:pPr>
        <w:snapToGrid w:val="0"/>
        <w:spacing w:line="520" w:lineRule="exact"/>
        <w:outlineLvl w:val="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bidi="ar-SA"/>
        </w:rPr>
        <w:t>较年初预算数增加23.05万元，增长6.78%。主要原因是事业人员补缴2022-2023年养老保险和职业年金。</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w:t>
      </w:r>
      <w:r>
        <w:rPr>
          <w:rStyle w:val="12"/>
          <w:rFonts w:ascii="方正仿宋_GBK" w:hAnsi="方正仿宋_GBK" w:eastAsia="方正仿宋_GBK" w:cs="方正仿宋_GBK"/>
          <w:sz w:val="32"/>
          <w:szCs w:val="32"/>
          <w:shd w:val="clear" w:color="auto" w:fill="FFFFFF"/>
        </w:rPr>
        <w:t>.结转结余情况。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2023年和2024年均无结转结余情况。</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2"/>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8"/>
        <w:numPr>
          <w:ilvl w:val="0"/>
          <w:numId w:val="0"/>
        </w:numPr>
        <w:snapToGrid w:val="0"/>
        <w:spacing w:before="0" w:beforeAutospacing="0" w:after="0" w:afterAutospacing="0" w:line="600" w:lineRule="exact"/>
        <w:jc w:val="both"/>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val="en-US" w:eastAsia="zh-CN"/>
        </w:rPr>
        <w:t xml:space="preserve">    （1）</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104.13</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28.68</w:t>
      </w:r>
      <w:r>
        <w:rPr>
          <w:rFonts w:ascii="方正仿宋_GBK" w:hAnsi="方正仿宋_GBK" w:eastAsia="方正仿宋_GBK" w:cs="方正仿宋_GBK"/>
          <w:color w:val="auto"/>
          <w:sz w:val="32"/>
          <w:szCs w:val="32"/>
          <w:shd w:val="clear" w:color="auto" w:fill="FFFFFF"/>
        </w:rPr>
        <w:t>%，较年初预算数增加26.49万元，增长34.12%，主要原因是</w:t>
      </w:r>
      <w:r>
        <w:rPr>
          <w:rFonts w:hint="eastAsia" w:ascii="方正仿宋_GBK" w:hAnsi="方正仿宋_GBK" w:eastAsia="方正仿宋_GBK" w:cs="方正仿宋_GBK"/>
          <w:color w:val="auto"/>
          <w:sz w:val="32"/>
          <w:szCs w:val="32"/>
          <w:shd w:val="clear" w:color="auto" w:fill="FFFFFF"/>
          <w:lang w:eastAsia="zh-CN"/>
        </w:rPr>
        <w:t>在职人员工资调增，社保等人员经费增加。</w:t>
      </w:r>
    </w:p>
    <w:p>
      <w:pPr>
        <w:pStyle w:val="8"/>
        <w:numPr>
          <w:ilvl w:val="0"/>
          <w:numId w:val="0"/>
        </w:numPr>
        <w:snapToGrid w:val="0"/>
        <w:spacing w:before="0" w:beforeAutospacing="0" w:after="0" w:afterAutospacing="0" w:line="600" w:lineRule="exact"/>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10.98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3.02</w:t>
      </w:r>
      <w:r>
        <w:rPr>
          <w:rFonts w:ascii="方正仿宋_GBK" w:hAnsi="方正仿宋_GBK" w:eastAsia="方正仿宋_GBK" w:cs="方正仿宋_GBK"/>
          <w:sz w:val="32"/>
          <w:szCs w:val="32"/>
          <w:shd w:val="clear" w:color="auto" w:fill="FFFFFF"/>
        </w:rPr>
        <w:t>%，较年初预算数减少1.03万元，下降8.58%，</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shd w:val="clear" w:color="auto" w:fill="FFFFFF"/>
          <w:lang w:val="en-US" w:eastAsia="zh-CN"/>
        </w:rPr>
        <w:t>2024年7月</w:t>
      </w:r>
      <w:r>
        <w:rPr>
          <w:rFonts w:hint="eastAsia" w:ascii="方正仿宋_GBK" w:hAnsi="方正仿宋_GBK" w:eastAsia="方正仿宋_GBK" w:cs="方正仿宋_GBK"/>
          <w:sz w:val="32"/>
          <w:szCs w:val="32"/>
          <w:shd w:val="clear" w:color="auto" w:fill="FFFFFF"/>
          <w:lang w:eastAsia="zh-CN"/>
        </w:rPr>
        <w:t>机构改革后各站所室内人员发生变动，工资基数变化。</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225.33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62.05</w:t>
      </w:r>
      <w:r>
        <w:rPr>
          <w:rFonts w:ascii="方正仿宋_GBK" w:hAnsi="方正仿宋_GBK" w:eastAsia="方正仿宋_GBK" w:cs="方正仿宋_GBK"/>
          <w:sz w:val="32"/>
          <w:szCs w:val="32"/>
          <w:shd w:val="clear" w:color="auto" w:fill="FFFFFF"/>
        </w:rPr>
        <w:t>%，较年初预算数减少10.70万元，下降4.53%，</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shd w:val="clear" w:color="auto" w:fill="FFFFFF"/>
          <w:lang w:val="en-US" w:eastAsia="zh-CN"/>
        </w:rPr>
        <w:t>2024年7月</w:t>
      </w:r>
      <w:r>
        <w:rPr>
          <w:rFonts w:hint="eastAsia" w:ascii="方正仿宋_GBK" w:hAnsi="方正仿宋_GBK" w:eastAsia="方正仿宋_GBK" w:cs="方正仿宋_GBK"/>
          <w:sz w:val="32"/>
          <w:szCs w:val="32"/>
          <w:shd w:val="clear" w:color="auto" w:fill="FFFFFF"/>
          <w:lang w:eastAsia="zh-CN"/>
        </w:rPr>
        <w:t>机构改革后各站所室内人员发生变动，工资基数变化。</w:t>
      </w:r>
    </w:p>
    <w:p>
      <w:pPr>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住房保障支出22.68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6.25</w:t>
      </w:r>
      <w:r>
        <w:rPr>
          <w:rFonts w:ascii="方正仿宋_GBK" w:hAnsi="方正仿宋_GBK" w:eastAsia="方正仿宋_GBK" w:cs="方正仿宋_GBK"/>
          <w:sz w:val="32"/>
          <w:szCs w:val="32"/>
          <w:shd w:val="clear" w:color="auto" w:fill="FFFFFF"/>
        </w:rPr>
        <w:t>%，较年初预算数增加8.27万元，增长57.39%，主要原因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在职人员增加，住房公积等人员经费相应增加。</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363.13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348.04</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auto"/>
          <w:sz w:val="32"/>
          <w:szCs w:val="32"/>
          <w:shd w:val="clear" w:color="auto" w:fill="FFFFFF"/>
        </w:rPr>
        <w:t>，与2023年度相比，增加9.93万元，增长2.94%，主要原因是</w:t>
      </w:r>
      <w:r>
        <w:rPr>
          <w:rFonts w:hint="eastAsia" w:ascii="方正仿宋_GBK" w:hAnsi="方正仿宋_GBK" w:eastAsia="方正仿宋_GBK" w:cs="方正仿宋_GBK"/>
          <w:color w:val="auto"/>
          <w:sz w:val="32"/>
          <w:szCs w:val="32"/>
          <w:shd w:val="clear" w:color="auto" w:fill="FFFFFF"/>
          <w:lang w:eastAsia="zh-CN"/>
        </w:rPr>
        <w:t>在职人员增加，相应的人经费开支增加。</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工资支出、社保支出、公积金支出等。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15.09</w:t>
      </w:r>
      <w:r>
        <w:rPr>
          <w:rFonts w:ascii="方正仿宋_GBK" w:hAnsi="方正仿宋_GBK" w:eastAsia="方正仿宋_GBK" w:cs="方正仿宋_GBK"/>
          <w:color w:val="auto"/>
          <w:sz w:val="32"/>
          <w:szCs w:val="32"/>
          <w:shd w:val="clear" w:color="auto" w:fill="FFFFFF"/>
        </w:rPr>
        <w:t>万元，与2023年度相比，减少4.35万元，下降22.38%，主要原因是</w:t>
      </w:r>
      <w:r>
        <w:rPr>
          <w:rFonts w:hint="eastAsia" w:ascii="方正仿宋_GBK" w:hAnsi="方正仿宋_GBK" w:eastAsia="方正仿宋_GBK" w:cs="方正仿宋_GBK"/>
          <w:color w:val="auto"/>
          <w:sz w:val="32"/>
          <w:szCs w:val="32"/>
          <w:shd w:val="clear" w:color="auto" w:fill="FFFFFF"/>
          <w:lang w:eastAsia="zh-CN"/>
        </w:rPr>
        <w:t>本年度因公出差减少，相应的公用经费支出减少。</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eastAsia="zh-CN"/>
        </w:rPr>
        <w:t>差旅费支出、培训费支出、会议费支出等。</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本年度</w:t>
      </w:r>
      <w:r>
        <w:rPr>
          <w:rFonts w:ascii="Times New Roman" w:hAnsi="Times New Roman" w:eastAsia="方正仿宋_GBK"/>
          <w:color w:val="000000" w:themeColor="text1"/>
          <w:sz w:val="32"/>
          <w:szCs w:val="32"/>
          <w:shd w:val="clear" w:color="auto" w:fill="FFFFFF"/>
          <w14:textFill>
            <w14:solidFill>
              <w14:schemeClr w14:val="tx1"/>
            </w14:solidFill>
          </w14:textFill>
        </w:rPr>
        <w:t>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w:t>
      </w:r>
      <w:r>
        <w:rPr>
          <w:rFonts w:ascii="Times New Roman" w:hAnsi="Times New Roman" w:eastAsia="方正仿宋_GBK"/>
          <w:color w:val="000000" w:themeColor="text1"/>
          <w:sz w:val="32"/>
          <w:szCs w:val="32"/>
          <w:shd w:val="clear" w:color="auto" w:fill="FFFFFF"/>
          <w14:textFill>
            <w14:solidFill>
              <w14:schemeClr w14:val="tx1"/>
            </w14:solidFill>
          </w14:textFill>
        </w:rPr>
        <w:t>是</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本年度</w:t>
      </w:r>
      <w:r>
        <w:rPr>
          <w:rFonts w:ascii="Times New Roman" w:hAnsi="Times New Roman" w:eastAsia="方正仿宋_GBK"/>
          <w:color w:val="000000" w:themeColor="text1"/>
          <w:sz w:val="32"/>
          <w:szCs w:val="32"/>
          <w:shd w:val="clear" w:color="auto" w:fill="FFFFFF"/>
          <w14:textFill>
            <w14:solidFill>
              <w14:schemeClr w14:val="tx1"/>
            </w14:solidFill>
          </w14:textFill>
        </w:rPr>
        <w:t>无政府性基金预算财政拨款</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支出</w:t>
      </w:r>
      <w:r>
        <w:rPr>
          <w:rFonts w:ascii="Times New Roman" w:hAnsi="Times New Roman" w:eastAsia="方正仿宋_GBK"/>
          <w:color w:val="000000" w:themeColor="text1"/>
          <w:sz w:val="32"/>
          <w:szCs w:val="32"/>
          <w:shd w:val="clear" w:color="auto" w:fill="FFFFFF"/>
          <w14:textFill>
            <w14:solidFill>
              <w14:schemeClr w14:val="tx1"/>
            </w14:solidFill>
          </w14:textFill>
        </w:rPr>
        <w:t>。本</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部门</w:t>
      </w:r>
      <w:r>
        <w:rPr>
          <w:rFonts w:ascii="Times New Roman" w:hAnsi="Times New Roman" w:eastAsia="方正仿宋_GBK"/>
          <w:color w:val="000000" w:themeColor="text1"/>
          <w:sz w:val="32"/>
          <w:szCs w:val="32"/>
          <w:shd w:val="clear" w:color="auto" w:fill="FFFFFF"/>
          <w14:textFill>
            <w14:solidFill>
              <w14:schemeClr w14:val="tx1"/>
            </w14:solidFill>
          </w14:textFill>
        </w:rPr>
        <w:t>2024年度无政府性基金预算财政拨款收支。</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w:t>
      </w:r>
      <w:r>
        <w:rPr>
          <w:rStyle w:val="12"/>
          <w:rFonts w:hint="eastAsia" w:ascii="黑体" w:hAnsi="黑体" w:eastAsia="黑体" w:cs="黑体"/>
          <w:sz w:val="32"/>
          <w:szCs w:val="32"/>
          <w:shd w:val="clear" w:color="auto" w:fill="FFFFFF"/>
          <w:lang w:eastAsia="zh-CN"/>
        </w:rPr>
        <w:t>财政拨款</w:t>
      </w:r>
      <w:r>
        <w:rPr>
          <w:rStyle w:val="12"/>
          <w:rFonts w:ascii="黑体" w:hAnsi="黑体" w:eastAsia="黑体" w:cs="黑体"/>
          <w:sz w:val="32"/>
          <w:szCs w:val="32"/>
          <w:shd w:val="clear" w:color="auto" w:fill="FFFFFF"/>
        </w:rPr>
        <w:t>“三公”经费情况说明</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本单位本年度无三公经费支出。</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本年度与上年度均无三公经费支出。</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color w:val="auto"/>
          <w:sz w:val="32"/>
          <w:szCs w:val="32"/>
          <w:shd w:val="clear" w:color="auto" w:fill="FFFFFF"/>
        </w:rPr>
        <w:t> </w:t>
      </w:r>
      <w:r>
        <w:rPr>
          <w:rFonts w:ascii="方正仿宋_GBK" w:hAnsi="方正仿宋_GBK" w:eastAsia="方正仿宋_GBK" w:cs="方正仿宋_GBK"/>
          <w:kern w:val="0"/>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本单位无单独会议费支出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0.37</w:t>
      </w:r>
      <w:r>
        <w:rPr>
          <w:rFonts w:ascii="方正仿宋_GBK" w:hAnsi="方正仿宋_GBK" w:eastAsia="方正仿宋_GBK" w:cs="方正仿宋_GBK"/>
          <w:sz w:val="32"/>
          <w:szCs w:val="32"/>
          <w:shd w:val="clear" w:color="auto" w:fill="FFFFFF"/>
        </w:rPr>
        <w:t>万元，与2023年度相比，增加0.21万元，增长131.25%，主要原因是</w:t>
      </w:r>
      <w:r>
        <w:rPr>
          <w:rFonts w:hint="eastAsia" w:ascii="方正仿宋_GBK" w:hAnsi="方正仿宋_GBK" w:eastAsia="方正仿宋_GBK" w:cs="方正仿宋_GBK"/>
          <w:sz w:val="32"/>
          <w:szCs w:val="32"/>
          <w:shd w:val="clear" w:color="auto" w:fill="FFFFFF"/>
          <w:lang w:eastAsia="zh-CN"/>
        </w:rPr>
        <w:t>在职人员外出培训增多，相应开支增多</w:t>
      </w:r>
      <w:r>
        <w:rPr>
          <w:rFonts w:ascii="方正仿宋_GBK" w:hAnsi="方正仿宋_GBK" w:eastAsia="方正仿宋_GBK" w:cs="方正仿宋_GBK"/>
          <w:sz w:val="32"/>
          <w:szCs w:val="32"/>
          <w:shd w:val="clear" w:color="auto" w:fill="FFFFFF"/>
        </w:rPr>
        <w:t>。</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8"/>
        <w:snapToGrid w:val="0"/>
        <w:spacing w:before="0" w:beforeAutospacing="0" w:after="0" w:afterAutospacing="0" w:line="600" w:lineRule="exact"/>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黑体" w:hAnsi="黑体" w:eastAsia="黑体" w:cs="黑体"/>
          <w:sz w:val="32"/>
          <w:szCs w:val="32"/>
          <w:shd w:val="clear" w:color="auto" w:fill="FFFFFF"/>
        </w:rPr>
      </w:pPr>
      <w:r>
        <w:rPr>
          <w:rStyle w:val="12"/>
          <w:rFonts w:hint="eastAsia" w:ascii="黑体" w:hAnsi="黑体" w:eastAsia="黑体" w:cs="黑体"/>
          <w:sz w:val="32"/>
          <w:szCs w:val="32"/>
          <w:shd w:val="clear" w:color="auto" w:fill="FFFFFF"/>
          <w:lang w:val="en-US" w:eastAsia="zh-CN" w:bidi="ar-SA"/>
        </w:rPr>
        <w:t>五、2024年度预算绩效管理情况说明</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6"/>
        <w:numPr>
          <w:ilvl w:val="0"/>
          <w:numId w:val="0"/>
        </w:numPr>
        <w:autoSpaceDE w:val="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val="en-US" w:eastAsia="zh-CN" w:bidi="ar"/>
        </w:rPr>
        <w:t xml:space="preserve">       </w:t>
      </w:r>
      <w:r>
        <w:rPr>
          <w:rFonts w:hint="eastAsia" w:ascii="方正仿宋_GBK" w:hAnsi="方正仿宋_GBK" w:eastAsia="方正仿宋_GBK" w:cs="方正仿宋_GBK"/>
          <w:b w:val="0"/>
          <w:bCs w:val="0"/>
          <w:kern w:val="0"/>
          <w:sz w:val="32"/>
          <w:szCs w:val="32"/>
          <w:shd w:val="clear" w:color="auto" w:fill="FFFFFF"/>
          <w:lang w:val="en-US" w:eastAsia="zh-CN" w:bidi="ar"/>
        </w:rPr>
        <w:t>我单位无项目绩效自评。</w:t>
      </w:r>
    </w:p>
    <w:p>
      <w:pPr>
        <w:pStyle w:val="16"/>
        <w:numPr>
          <w:ilvl w:val="0"/>
          <w:numId w:val="0"/>
        </w:numPr>
        <w:autoSpaceDE w:val="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val="en-US" w:eastAsia="zh-CN"/>
        </w:rPr>
        <w:t xml:space="preserve">    </w:t>
      </w:r>
      <w:r>
        <w:rPr>
          <w:rFonts w:hint="eastAsia" w:ascii="楷体" w:hAnsi="楷体" w:eastAsia="楷体" w:cs="楷体"/>
          <w:b/>
          <w:bCs/>
          <w:sz w:val="32"/>
          <w:szCs w:val="32"/>
          <w:shd w:val="clear" w:color="auto" w:fill="FFFFFF"/>
        </w:rPr>
        <w:t>（</w:t>
      </w:r>
      <w:r>
        <w:rPr>
          <w:rFonts w:hint="eastAsia" w:ascii="楷体" w:hAnsi="楷体" w:eastAsia="楷体" w:cs="楷体"/>
          <w:b/>
          <w:bCs/>
          <w:sz w:val="32"/>
          <w:szCs w:val="32"/>
          <w:shd w:val="clear" w:color="auto" w:fill="FFFFFF"/>
          <w:lang w:eastAsia="zh-CN"/>
        </w:rPr>
        <w:t>二</w:t>
      </w:r>
      <w:r>
        <w:rPr>
          <w:rFonts w:hint="eastAsia" w:ascii="楷体" w:hAnsi="楷体" w:eastAsia="楷体" w:cs="楷体"/>
          <w:b/>
          <w:bCs/>
          <w:sz w:val="32"/>
          <w:szCs w:val="32"/>
          <w:shd w:val="clear" w:color="auto" w:fill="FFFFFF"/>
        </w:rPr>
        <w:t>）单位绩效评价情况</w:t>
      </w:r>
    </w:p>
    <w:p>
      <w:pPr>
        <w:pStyle w:val="16"/>
        <w:numPr>
          <w:ilvl w:val="0"/>
          <w:numId w:val="0"/>
        </w:numPr>
        <w:autoSpaceDE w:val="0"/>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 xml:space="preserve">      </w:t>
      </w:r>
      <w:r>
        <w:rPr>
          <w:rFonts w:hint="eastAsia" w:ascii="方正仿宋_GBK" w:hAnsi="方正仿宋_GBK" w:eastAsia="方正仿宋_GBK" w:cs="方正仿宋_GBK"/>
          <w:b w:val="0"/>
          <w:bCs w:val="0"/>
          <w:kern w:val="0"/>
          <w:sz w:val="32"/>
          <w:szCs w:val="32"/>
          <w:shd w:val="clear" w:color="auto" w:fill="FFFFFF"/>
          <w:lang w:val="en-US" w:eastAsia="zh-CN" w:bidi="ar"/>
        </w:rPr>
        <w:t>我单位未组织开展绩效评价。</w:t>
      </w:r>
    </w:p>
    <w:p>
      <w:pPr>
        <w:pStyle w:val="13"/>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6"/>
        <w:numPr>
          <w:ilvl w:val="0"/>
          <w:numId w:val="0"/>
        </w:numPr>
        <w:autoSpaceDE w:val="0"/>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val="en-US" w:eastAsia="zh-CN" w:bidi="ar-SA"/>
        </w:rPr>
        <w:t>县</w:t>
      </w:r>
      <w:r>
        <w:rPr>
          <w:rFonts w:hint="eastAsia" w:ascii="方正仿宋_GBK" w:hAnsi="方正仿宋_GBK" w:eastAsia="方正仿宋_GBK" w:cs="方正仿宋_GBK"/>
          <w:b w:val="0"/>
          <w:bCs w:val="0"/>
          <w:kern w:val="0"/>
          <w:sz w:val="32"/>
          <w:szCs w:val="32"/>
          <w:shd w:val="clear" w:color="auto" w:fill="FFFFFF"/>
          <w:lang w:val="en-US" w:eastAsia="zh-CN" w:bidi="ar"/>
        </w:rPr>
        <w:t>财政局未委托第三方对我单位开展绩效评价。</w:t>
      </w:r>
    </w:p>
    <w:p>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黑体" w:hAnsi="黑体" w:eastAsia="黑体" w:cs="黑体"/>
          <w:sz w:val="32"/>
          <w:szCs w:val="32"/>
          <w:shd w:val="clear" w:color="auto" w:fill="FFFFFF"/>
          <w:lang w:val="en-US" w:eastAsia="zh-CN"/>
        </w:rPr>
      </w:pPr>
      <w:r>
        <w:rPr>
          <w:rStyle w:val="12"/>
          <w:rFonts w:hint="eastAsia" w:ascii="黑体" w:hAnsi="黑体" w:eastAsia="黑体" w:cs="黑体"/>
          <w:sz w:val="32"/>
          <w:szCs w:val="32"/>
          <w:shd w:val="clear" w:color="auto" w:fill="FFFFFF"/>
          <w:lang w:val="en-US" w:eastAsia="zh-CN"/>
        </w:rPr>
        <w:t>  六、专业名词解释</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2"/>
          <w:rFonts w:hint="default" w:ascii="方正仿宋_GBK" w:hAnsi="方正仿宋_GBK" w:eastAsia="方正仿宋_GBK" w:cs="方正仿宋_GBK"/>
          <w:sz w:val="32"/>
          <w:szCs w:val="32"/>
          <w:shd w:val="clear" w:color="auto" w:fill="FFFFFF"/>
        </w:rPr>
      </w:pPr>
      <w:r>
        <w:rPr>
          <w:rStyle w:val="12"/>
          <w:rFonts w:ascii="黑体" w:hAnsi="黑体" w:eastAsia="黑体" w:cs="黑体"/>
          <w:sz w:val="32"/>
          <w:szCs w:val="32"/>
          <w:shd w:val="clear" w:color="auto" w:fill="FFFFFF"/>
        </w:rPr>
        <w:t>七、决算公开联系方式及信息反馈渠道</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023-74575118</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right="0" w:rightChars="0"/>
        <w:jc w:val="left"/>
        <w:rPr>
          <w:rStyle w:val="12"/>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垫江县沙坪镇农业服务中心</w:t>
            </w:r>
          </w:p>
        </w:tc>
        <w:tc>
          <w:tcPr>
            <w:tcW w:w="405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363.13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104.13</w:t>
            </w:r>
            <w:r>
              <w:rPr>
                <w:rFonts w:ascii="Times New Roman" w:hAnsi="Times New Roman"/>
                <w:color w:val="000000"/>
                <w:sz w:val="20"/>
                <w:u w:color="auto"/>
              </w:rPr>
              <w:t xml:space="preserve"> </w:t>
            </w:r>
          </w:p>
        </w:tc>
      </w:tr>
      <w:tr>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363.13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363.13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363.13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15559" w:type="dxa"/>
        <w:tblInd w:w="0" w:type="dxa"/>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垫江县沙坪镇农业服务中心</w:t>
            </w:r>
          </w:p>
        </w:tc>
        <w:tc>
          <w:tcPr>
            <w:tcW w:w="137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7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363.13</w:t>
            </w:r>
            <w:r>
              <w:rPr>
                <w:rFonts w:ascii="Times New Roman" w:hAnsi="Times New Roman"/>
                <w:b/>
                <w:color w:val="000000"/>
                <w:sz w:val="20"/>
                <w:u w:color="auto"/>
              </w:rPr>
              <w:t xml:space="preserve"> </w:t>
            </w:r>
          </w:p>
        </w:tc>
        <w:tc>
          <w:tcPr>
            <w:tcW w:w="13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363.13</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37.04</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9"/>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垫江县沙坪镇农业服务中心 </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363.13</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363.13</w:t>
            </w:r>
            <w:r>
              <w:rPr>
                <w:rFonts w:ascii="Times New Roman" w:hAnsi="Times New Roman"/>
                <w:b/>
                <w:color w:val="000000"/>
                <w:sz w:val="20"/>
                <w:u w:color="auto"/>
              </w:rPr>
              <w:t xml:space="preserve"> </w:t>
            </w:r>
          </w:p>
        </w:tc>
        <w:tc>
          <w:tcPr>
            <w:tcW w:w="16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37.04</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37.04</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10.98</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9"/>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垫江县沙坪镇农业服务中心</w:t>
            </w: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363.13</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104.13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104.13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225.33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225.33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363.13</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363.13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363.13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363.13</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363.13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363.13</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垫江县沙坪镇农业服务中心</w:t>
            </w:r>
          </w:p>
        </w:tc>
        <w:tc>
          <w:tcPr>
            <w:tcW w:w="331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363.13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363.13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37.04</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37.04</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18.58</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48.51</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10.98</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22.68</w:t>
            </w:r>
            <w:r>
              <w:rPr>
                <w:rFonts w:ascii="Times New Roman" w:hAnsi="Times New Roman"/>
                <w:b/>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22.68</w:t>
            </w:r>
            <w:r>
              <w:rPr>
                <w:rFonts w:ascii="Times New Roman" w:hAnsi="Times New Roman"/>
                <w:color w:val="000000"/>
                <w:sz w:val="20"/>
                <w:u w:color="auto"/>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垫江县沙坪镇农业服务中心</w:t>
            </w:r>
          </w:p>
        </w:tc>
        <w:tc>
          <w:tcPr>
            <w:tcW w:w="165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299.53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15.09</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64.43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0.71</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127.65</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11.78</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22.68</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3.94</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46.11</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348.04</w:t>
            </w:r>
            <w:r>
              <w:rPr>
                <w:rFonts w:ascii="Times New Roman" w:hAnsi="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15.09</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垫江县沙坪镇农业服务中心</w:t>
            </w: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垫江县沙坪镇农业服务中心</w:t>
            </w: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tblPrEx>
          <w:tblCellMar>
            <w:top w:w="0" w:type="dxa"/>
            <w:left w:w="170" w:type="dxa"/>
            <w:bottom w:w="0" w:type="dxa"/>
            <w:right w:w="170" w:type="dxa"/>
          </w:tblCellMar>
        </w:tblPrEx>
        <w:trPr>
          <w:trHeight w:val="343" w:hRule="atLeast"/>
        </w:trPr>
        <w:tc>
          <w:tcPr>
            <w:tcW w:w="14182"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90"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垫江县沙坪镇农业服务中心</w:t>
            </w:r>
          </w:p>
        </w:tc>
        <w:tc>
          <w:tcPr>
            <w:tcW w:w="238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0.37</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11.78</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7196B4D-1193-4D71-9FBD-E72433474A05}"/>
  </w:font>
  <w:font w:name="黑体">
    <w:panose1 w:val="02010609060101010101"/>
    <w:charset w:val="86"/>
    <w:family w:val="auto"/>
    <w:pitch w:val="default"/>
    <w:sig w:usb0="800002BF" w:usb1="38CF7CFA" w:usb2="00000016" w:usb3="00000000" w:csb0="00040001" w:csb1="00000000"/>
    <w:embedRegular r:id="rId2" w:fontKey="{E3F682E6-0B41-44F1-BEB1-3E3C15DAEE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10600010101010101"/>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C2974C7C-96BC-4E3F-8A6B-395D765F7AE2}"/>
  </w:font>
  <w:font w:name="方正仿宋_GBK">
    <w:panose1 w:val="02000000000000000000"/>
    <w:charset w:val="86"/>
    <w:family w:val="script"/>
    <w:pitch w:val="default"/>
    <w:sig w:usb0="A00002BF" w:usb1="38CF7CFA" w:usb2="00082016" w:usb3="00000000" w:csb0="00040001" w:csb1="00000000"/>
    <w:embedRegular r:id="rId4" w:fontKey="{A1C7A736-9245-4123-890C-9B6009CA99AE}"/>
  </w:font>
  <w:font w:name="楷体">
    <w:panose1 w:val="02010609060101010101"/>
    <w:charset w:val="86"/>
    <w:family w:val="modern"/>
    <w:pitch w:val="default"/>
    <w:sig w:usb0="800002BF" w:usb1="38CF7CFA" w:usb2="00000016" w:usb3="00000000" w:csb0="00040001" w:csb1="00000000"/>
    <w:embedRegular r:id="rId5" w:fontKey="{3FA39DBF-390D-4DCF-8831-2035F3EC3FB2}"/>
  </w:font>
  <w:font w:name="仿宋_GB2312">
    <w:altName w:val="仿宋"/>
    <w:panose1 w:val="02010609030101010101"/>
    <w:charset w:val="86"/>
    <w:family w:val="modern"/>
    <w:pitch w:val="default"/>
    <w:sig w:usb0="00000000" w:usb1="00000000" w:usb2="00000000" w:usb3="00000000" w:csb0="00040000" w:csb1="00000000"/>
    <w:embedRegular r:id="rId6" w:fontKey="{AAC79C80-5726-4989-BFB3-9A588FDA8261}"/>
  </w:font>
  <w:font w:name="仿宋">
    <w:panose1 w:val="02010609060101010101"/>
    <w:charset w:val="86"/>
    <w:family w:val="auto"/>
    <w:pitch w:val="default"/>
    <w:sig w:usb0="800002BF" w:usb1="38CF7CFA" w:usb2="00000016" w:usb3="00000000" w:csb0="00040001" w:csb1="00000000"/>
    <w:embedRegular r:id="rId7" w:fontKey="{3608A434-9BC3-4FEE-A2C4-7F840BAB73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097192"/>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006644"/>
    <w:rsid w:val="13871C70"/>
    <w:rsid w:val="13A71CB4"/>
    <w:rsid w:val="13AF1D43"/>
    <w:rsid w:val="13CE1647"/>
    <w:rsid w:val="13FD55AB"/>
    <w:rsid w:val="14200702"/>
    <w:rsid w:val="1579644D"/>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5B51FC"/>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290E5C"/>
    <w:rsid w:val="45CB699A"/>
    <w:rsid w:val="45E2495B"/>
    <w:rsid w:val="465B470D"/>
    <w:rsid w:val="469D6AD4"/>
    <w:rsid w:val="46C50388"/>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44773"/>
    <w:rsid w:val="5D290C69"/>
    <w:rsid w:val="5F2D4A41"/>
    <w:rsid w:val="5FC03FB1"/>
    <w:rsid w:val="60C74F6C"/>
    <w:rsid w:val="61025A59"/>
    <w:rsid w:val="613D5BBC"/>
    <w:rsid w:val="61536C39"/>
    <w:rsid w:val="62845176"/>
    <w:rsid w:val="62944DD7"/>
    <w:rsid w:val="6319381F"/>
    <w:rsid w:val="63C25DC5"/>
    <w:rsid w:val="63C62057"/>
    <w:rsid w:val="645403AA"/>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qFormat/>
    <w:uiPriority w:val="0"/>
    <w:pPr>
      <w:spacing w:line="600" w:lineRule="exact"/>
      <w:ind w:firstLine="200" w:firstLineChars="200"/>
      <w:jc w:val="left"/>
    </w:pPr>
    <w:rPr>
      <w:rFonts w:ascii="方正黑体_GBK" w:eastAsia="方正黑体_GBK" w:cs="Times New Roman"/>
      <w:sz w:val="32"/>
      <w:szCs w:val="32"/>
      <w:lang w:bidi="ar-SA"/>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8333</Words>
  <Characters>10588</Characters>
  <Lines>190</Lines>
  <Paragraphs>53</Paragraphs>
  <TotalTime>1</TotalTime>
  <ScaleCrop>false</ScaleCrop>
  <LinksUpToDate>false</LinksUpToDate>
  <CharactersWithSpaces>11633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无知</cp:lastModifiedBy>
  <dcterms:modified xsi:type="dcterms:W3CDTF">2025-12-17T09:42:00Z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