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pacing w:before="0" w:beforeAutospacing="0" w:after="0" w:afterAutospacing="0" w:line="594" w:lineRule="exact"/>
        <w:ind w:firstLine="720" w:firstLineChars="200"/>
        <w:jc w:val="center"/>
        <w:rPr>
          <w:rFonts w:hint="default" w:ascii="Times New Roman" w:hAnsi="Times New Roman" w:eastAsia="方正小标宋_GBK"/>
          <w:sz w:val="36"/>
          <w:szCs w:val="36"/>
          <w:shd w:val="clear" w:color="auto" w:fill="FFFFFF"/>
        </w:rPr>
      </w:pPr>
      <w:r>
        <w:rPr>
          <w:rFonts w:hint="default" w:ascii="Times New Roman" w:hAnsi="Times New Roman" w:eastAsia="方正小标宋_GBK"/>
          <w:sz w:val="36"/>
          <w:szCs w:val="36"/>
        </w:rPr>
        <w:t>垫江县三溪镇综合行政执法大队</w:t>
      </w:r>
      <w:r>
        <w:rPr>
          <w:rFonts w:hint="default" w:ascii="Times New Roman" w:hAnsi="Times New Roman" w:eastAsia="方正小标宋_GBK"/>
          <w:sz w:val="36"/>
          <w:szCs w:val="36"/>
          <w:shd w:val="clear" w:color="auto" w:fill="FFFFFF"/>
        </w:rPr>
        <w:t>2023年度决算公开说明</w:t>
      </w:r>
    </w:p>
    <w:p>
      <w:pPr>
        <w:pStyle w:val="6"/>
        <w:spacing w:before="0" w:beforeAutospacing="0" w:after="0" w:afterAutospacing="0" w:line="594" w:lineRule="exact"/>
        <w:ind w:firstLine="720" w:firstLineChars="200"/>
        <w:jc w:val="center"/>
        <w:rPr>
          <w:rFonts w:ascii="Times New Roman" w:hAnsi="Times New Roman" w:eastAsia="方正小标宋_GBK"/>
          <w:sz w:val="36"/>
          <w:szCs w:val="36"/>
          <w:shd w:val="clear" w:color="auto" w:fill="FFFFFF"/>
        </w:rPr>
      </w:pPr>
    </w:p>
    <w:p>
      <w:pPr>
        <w:pStyle w:val="6"/>
        <w:shd w:val="clear" w:color="auto" w:fill="FFFFFF"/>
        <w:spacing w:before="0" w:beforeAutospacing="0" w:after="0" w:afterAutospacing="0" w:line="594" w:lineRule="exact"/>
        <w:ind w:firstLine="640" w:firstLineChars="200"/>
        <w:rPr>
          <w:rStyle w:val="8"/>
          <w:rFonts w:hint="default" w:ascii="方正黑体_GBK" w:eastAsia="方正黑体_GBK"/>
          <w:shd w:val="clear" w:color="auto" w:fill="FFFFFF"/>
        </w:rPr>
      </w:pPr>
      <w:r>
        <w:rPr>
          <w:rStyle w:val="8"/>
          <w:rFonts w:hint="default" w:ascii="方正黑体_GBK" w:hAnsi="Times New Roman" w:eastAsia="方正黑体_GBK"/>
          <w:b w:val="0"/>
          <w:sz w:val="32"/>
          <w:szCs w:val="32"/>
          <w:shd w:val="clear" w:color="auto" w:fill="FFFFFF"/>
        </w:rPr>
        <w:t>一、部门基本情况</w:t>
      </w:r>
    </w:p>
    <w:p>
      <w:pPr>
        <w:pStyle w:val="6"/>
        <w:shd w:val="clear" w:color="auto" w:fill="FFFFFF"/>
        <w:spacing w:before="0" w:beforeAutospacing="0" w:after="0" w:afterAutospacing="0" w:line="594" w:lineRule="exact"/>
        <w:ind w:firstLine="640" w:firstLineChars="200"/>
        <w:rPr>
          <w:rFonts w:hint="default" w:ascii="方正楷体_GBK" w:hAnsi="Times New Roman" w:eastAsia="方正楷体_GBK"/>
          <w:bCs/>
          <w:sz w:val="32"/>
          <w:szCs w:val="32"/>
          <w:shd w:val="clear" w:color="auto" w:fill="FFFFFF"/>
        </w:rPr>
      </w:pPr>
      <w:r>
        <w:rPr>
          <w:rFonts w:ascii="方正楷体_GBK" w:eastAsia="方正楷体_GBK"/>
          <w:bCs/>
          <w:sz w:val="32"/>
          <w:szCs w:val="32"/>
        </w:rPr>
        <w:t>（一）职能职责</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color w:val="000000"/>
          <w:sz w:val="32"/>
          <w:szCs w:val="32"/>
          <w:shd w:val="clear" w:color="auto" w:fill="FFFFFF"/>
        </w:rPr>
        <w:t>弘扬法治精神，建设法治政府、法治社会。主要职责：负责配合综合行政执法办公室做好有关农林水利、规划建设、卫生健康、市容环卫、环境保护、文化旅游、民政管理、消防等方面的执法工作。</w:t>
      </w:r>
    </w:p>
    <w:p>
      <w:pPr>
        <w:pStyle w:val="6"/>
        <w:shd w:val="clear" w:color="auto" w:fill="FFFFFF"/>
        <w:spacing w:before="0" w:beforeAutospacing="0" w:after="0" w:afterAutospacing="0" w:line="594" w:lineRule="exact"/>
        <w:ind w:firstLine="640" w:firstLineChars="200"/>
        <w:rPr>
          <w:rFonts w:hint="default" w:ascii="方正楷体_GBK" w:hAnsi="Times New Roman" w:eastAsia="方正楷体_GBK"/>
          <w:bCs/>
          <w:sz w:val="32"/>
          <w:szCs w:val="32"/>
          <w:shd w:val="clear" w:color="auto" w:fill="FFFFFF"/>
        </w:rPr>
      </w:pPr>
      <w:r>
        <w:rPr>
          <w:rFonts w:ascii="方正楷体_GBK" w:eastAsia="方正楷体_GBK"/>
          <w:bCs/>
          <w:sz w:val="32"/>
          <w:szCs w:val="32"/>
        </w:rPr>
        <w:t>（二）机构设置</w:t>
      </w:r>
    </w:p>
    <w:p>
      <w:pPr>
        <w:pStyle w:val="6"/>
        <w:shd w:val="clear" w:color="auto" w:fill="FFFFFF"/>
        <w:spacing w:before="0" w:beforeAutospacing="0" w:after="0" w:afterAutospacing="0" w:line="594" w:lineRule="exact"/>
        <w:ind w:firstLine="640" w:firstLineChars="200"/>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共设置三溪镇综合行政执法大队一个单位。</w:t>
      </w:r>
    </w:p>
    <w:p>
      <w:pPr>
        <w:pStyle w:val="6"/>
        <w:shd w:val="clear" w:color="auto" w:fill="FFFFFF"/>
        <w:spacing w:before="0" w:beforeAutospacing="0" w:after="0" w:afterAutospacing="0" w:line="594" w:lineRule="exact"/>
        <w:ind w:firstLine="640" w:firstLineChars="200"/>
        <w:rPr>
          <w:rStyle w:val="8"/>
          <w:rFonts w:ascii="方正黑体_GBK" w:hAnsi="Times New Roman" w:eastAsia="方正黑体_GBK"/>
          <w:b w:val="0"/>
          <w:sz w:val="32"/>
          <w:szCs w:val="32"/>
          <w:shd w:val="clear" w:color="auto" w:fill="FFFFFF"/>
        </w:rPr>
      </w:pPr>
      <w:r>
        <w:rPr>
          <w:rStyle w:val="8"/>
          <w:rFonts w:ascii="方正黑体_GBK" w:hAnsi="Times New Roman" w:eastAsia="方正黑体_GBK"/>
          <w:b w:val="0"/>
          <w:sz w:val="32"/>
          <w:szCs w:val="32"/>
          <w:shd w:val="clear" w:color="auto" w:fill="FFFFFF"/>
        </w:rPr>
        <w:t>二、部门决算情况说明</w:t>
      </w:r>
    </w:p>
    <w:p>
      <w:pPr>
        <w:pStyle w:val="11"/>
        <w:autoSpaceDE w:val="0"/>
        <w:spacing w:line="594" w:lineRule="exact"/>
        <w:ind w:firstLine="640"/>
        <w:rPr>
          <w:rFonts w:ascii="方正楷体_GBK" w:hAnsi="Times New Roman" w:eastAsia="方正楷体_GBK"/>
          <w:bCs/>
          <w:sz w:val="32"/>
          <w:szCs w:val="32"/>
          <w:shd w:val="clear" w:color="auto" w:fill="FFFFFF"/>
        </w:rPr>
      </w:pPr>
      <w:r>
        <w:rPr>
          <w:rFonts w:ascii="方正楷体_GBK" w:hAnsi="Times New Roman" w:eastAsia="方正楷体_GBK"/>
          <w:bCs/>
          <w:sz w:val="32"/>
          <w:szCs w:val="32"/>
          <w:shd w:val="clear" w:color="auto" w:fill="FFFFFF"/>
        </w:rPr>
        <w:t>（一）收入支出决算总体情况说明。</w:t>
      </w:r>
    </w:p>
    <w:p>
      <w:pPr>
        <w:pStyle w:val="6"/>
        <w:shd w:val="clear" w:color="auto" w:fill="FFFFFF"/>
        <w:spacing w:before="0" w:beforeAutospacing="0" w:after="0" w:afterAutospacing="0" w:line="594" w:lineRule="exact"/>
        <w:ind w:firstLine="643" w:firstLineChars="200"/>
        <w:rPr>
          <w:rFonts w:hint="default" w:ascii="Times New Roman" w:hAnsi="Times New Roman" w:eastAsia="方正仿宋_GBK"/>
          <w:sz w:val="32"/>
          <w:szCs w:val="32"/>
        </w:rPr>
      </w:pPr>
      <w:r>
        <w:rPr>
          <w:rStyle w:val="8"/>
          <w:rFonts w:hint="default" w:ascii="Times New Roman" w:hAnsi="Times New Roman" w:eastAsia="方正仿宋_GBK"/>
          <w:sz w:val="32"/>
          <w:szCs w:val="32"/>
          <w:shd w:val="clear" w:color="auto" w:fill="FFFFFF"/>
        </w:rPr>
        <w:t>1.总体情况。</w:t>
      </w:r>
      <w:r>
        <w:rPr>
          <w:rFonts w:hint="default" w:ascii="Times New Roman" w:hAnsi="Times New Roman" w:eastAsia="方正仿宋_GBK"/>
          <w:sz w:val="32"/>
          <w:szCs w:val="32"/>
          <w:shd w:val="clear" w:color="auto" w:fill="FFFFFF"/>
        </w:rPr>
        <w:t>2023年度收入总计78.52万元，支出总计</w:t>
      </w:r>
      <w:r>
        <w:rPr>
          <w:rFonts w:hint="default" w:ascii="Times New Roman" w:hAnsi="Times New Roman" w:eastAsia="方正仿宋_GBK"/>
          <w:sz w:val="32"/>
          <w:szCs w:val="32"/>
        </w:rPr>
        <w:t>78.52</w:t>
      </w:r>
      <w:r>
        <w:rPr>
          <w:rFonts w:hint="default" w:ascii="Times New Roman" w:hAnsi="Times New Roman" w:eastAsia="方正仿宋_GBK"/>
          <w:sz w:val="32"/>
          <w:szCs w:val="32"/>
          <w:shd w:val="clear" w:color="auto" w:fill="FFFFFF"/>
        </w:rPr>
        <w:t>万元。收支较上年决算数增加78.52万元，增长100.0%，主要原因是</w:t>
      </w:r>
      <w:r>
        <w:rPr>
          <w:rFonts w:hint="default" w:ascii="Times New Roman" w:hAnsi="Times New Roman" w:eastAsia="方正仿宋_GBK"/>
          <w:color w:val="000000"/>
          <w:sz w:val="32"/>
          <w:szCs w:val="32"/>
        </w:rPr>
        <w:t>本单位为</w:t>
      </w:r>
      <w:r>
        <w:rPr>
          <w:rFonts w:hint="default" w:ascii="Times New Roman" w:hAnsi="Times New Roman" w:eastAsia="方正仿宋_GBK"/>
          <w:bCs/>
          <w:sz w:val="32"/>
          <w:szCs w:val="32"/>
        </w:rPr>
        <w:t>新增加纳入本套决算编制范围</w:t>
      </w:r>
      <w:r>
        <w:rPr>
          <w:rFonts w:hint="eastAsia" w:ascii="Times New Roman" w:hAnsi="Times New Roman" w:eastAsia="方正仿宋_GBK"/>
          <w:bCs/>
          <w:sz w:val="32"/>
          <w:szCs w:val="32"/>
          <w:lang w:eastAsia="zh-CN"/>
        </w:rPr>
        <w:t>，</w:t>
      </w:r>
      <w:r>
        <w:rPr>
          <w:rFonts w:hint="default" w:ascii="Times New Roman" w:hAnsi="Times New Roman" w:eastAsia="方正仿宋_GBK"/>
          <w:bCs/>
          <w:sz w:val="32"/>
          <w:szCs w:val="32"/>
        </w:rPr>
        <w:t>新增加1个</w:t>
      </w:r>
      <w:r>
        <w:rPr>
          <w:rFonts w:hint="default" w:ascii="Times New Roman" w:hAnsi="Times New Roman" w:eastAsia="方正仿宋_GBK"/>
          <w:sz w:val="32"/>
          <w:szCs w:val="32"/>
        </w:rPr>
        <w:t>机构。</w:t>
      </w:r>
    </w:p>
    <w:p>
      <w:pPr>
        <w:pStyle w:val="6"/>
        <w:snapToGrid w:val="0"/>
        <w:spacing w:before="0" w:beforeAutospacing="0" w:after="0" w:afterAutospacing="0" w:line="594" w:lineRule="exact"/>
        <w:ind w:firstLine="643" w:firstLineChars="200"/>
        <w:jc w:val="both"/>
        <w:rPr>
          <w:rFonts w:hint="default" w:ascii="Times New Roman" w:hAnsi="Times New Roman" w:eastAsia="方正仿宋_GBK"/>
          <w:sz w:val="32"/>
          <w:szCs w:val="32"/>
          <w:shd w:val="clear" w:color="auto" w:fill="FFFFFF"/>
        </w:rPr>
      </w:pPr>
      <w:r>
        <w:rPr>
          <w:rStyle w:val="8"/>
          <w:rFonts w:hint="default" w:ascii="Times New Roman" w:hAnsi="Times New Roman" w:eastAsia="方正仿宋_GBK"/>
          <w:sz w:val="32"/>
          <w:szCs w:val="32"/>
          <w:shd w:val="clear" w:color="auto" w:fill="FFFFFF"/>
        </w:rPr>
        <w:t>2.收入情况。</w:t>
      </w:r>
      <w:r>
        <w:rPr>
          <w:rFonts w:hint="default" w:ascii="Times New Roman" w:hAnsi="Times New Roman" w:eastAsia="方正仿宋_GBK"/>
          <w:sz w:val="32"/>
          <w:szCs w:val="32"/>
          <w:shd w:val="clear" w:color="auto" w:fill="FFFFFF"/>
        </w:rPr>
        <w:t>2023年度收入合计78.52万元，较上年决算数增加78.52万元，增长100.0%，主要原因是</w:t>
      </w:r>
      <w:r>
        <w:rPr>
          <w:rFonts w:hint="default" w:ascii="Times New Roman" w:hAnsi="Times New Roman" w:eastAsia="方正仿宋_GBK"/>
          <w:color w:val="000000"/>
          <w:sz w:val="32"/>
          <w:szCs w:val="32"/>
        </w:rPr>
        <w:t>本单位为</w:t>
      </w:r>
      <w:r>
        <w:rPr>
          <w:rFonts w:hint="default" w:ascii="Times New Roman" w:hAnsi="Times New Roman" w:eastAsia="方正仿宋_GBK"/>
          <w:bCs/>
          <w:sz w:val="32"/>
          <w:szCs w:val="32"/>
        </w:rPr>
        <w:t>新增加纳入本套决算</w:t>
      </w:r>
      <w:r>
        <w:rPr>
          <w:rFonts w:hint="eastAsia" w:ascii="Times New Roman" w:hAnsi="Times New Roman" w:eastAsia="方正仿宋_GBK"/>
          <w:bCs/>
          <w:sz w:val="32"/>
          <w:szCs w:val="32"/>
          <w:lang w:eastAsia="zh-CN"/>
        </w:rPr>
        <w:t>编制范围，新增加1个机构</w:t>
      </w:r>
      <w:r>
        <w:rPr>
          <w:rFonts w:hint="default" w:ascii="Times New Roman" w:hAnsi="Times New Roman" w:eastAsia="方正仿宋_GBK"/>
          <w:sz w:val="32"/>
          <w:szCs w:val="32"/>
        </w:rPr>
        <w:t>。</w:t>
      </w:r>
      <w:r>
        <w:rPr>
          <w:rFonts w:hint="default" w:ascii="Times New Roman" w:hAnsi="Times New Roman" w:eastAsia="方正仿宋_GBK"/>
          <w:sz w:val="32"/>
          <w:szCs w:val="32"/>
          <w:shd w:val="clear" w:color="auto" w:fill="FFFFFF"/>
        </w:rPr>
        <w:t>其中：财政拨款收入</w:t>
      </w:r>
      <w:r>
        <w:rPr>
          <w:rFonts w:hint="default" w:ascii="Times New Roman" w:hAnsi="Times New Roman" w:eastAsia="方正仿宋_GBK"/>
          <w:sz w:val="32"/>
          <w:szCs w:val="32"/>
        </w:rPr>
        <w:t>78.52</w:t>
      </w:r>
      <w:r>
        <w:rPr>
          <w:rFonts w:hint="default" w:ascii="Times New Roman" w:hAnsi="Times New Roman" w:eastAsia="方正仿宋_GBK"/>
          <w:sz w:val="32"/>
          <w:szCs w:val="32"/>
          <w:shd w:val="clear" w:color="auto" w:fill="FFFFFF"/>
        </w:rPr>
        <w:t>万元，占</w:t>
      </w:r>
      <w:r>
        <w:rPr>
          <w:rFonts w:hint="default" w:ascii="Times New Roman" w:hAnsi="Times New Roman" w:eastAsia="方正仿宋_GBK"/>
          <w:sz w:val="32"/>
          <w:szCs w:val="32"/>
        </w:rPr>
        <w:t>100.0</w:t>
      </w:r>
      <w:r>
        <w:rPr>
          <w:rFonts w:hint="default" w:ascii="Times New Roman" w:hAnsi="Times New Roman" w:eastAsia="方正仿宋_GBK"/>
          <w:sz w:val="32"/>
          <w:szCs w:val="32"/>
          <w:shd w:val="clear" w:color="auto" w:fill="FFFFFF"/>
        </w:rPr>
        <w:t>%；事业收入</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万元，占0%；经营收入</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万元，占0%；其他收入</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万元，占0%。此外，使用非财政拨款结余和专用结余</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万元，年初结转和结余</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w:t>
      </w:r>
    </w:p>
    <w:p>
      <w:pPr>
        <w:pStyle w:val="6"/>
        <w:snapToGrid w:val="0"/>
        <w:spacing w:before="0" w:beforeAutospacing="0" w:after="0" w:afterAutospacing="0" w:line="594" w:lineRule="exact"/>
        <w:ind w:firstLine="643" w:firstLineChars="200"/>
        <w:jc w:val="both"/>
        <w:rPr>
          <w:rFonts w:hint="default" w:ascii="Times New Roman" w:hAnsi="Times New Roman" w:eastAsia="方正仿宋_GBK"/>
          <w:sz w:val="32"/>
          <w:szCs w:val="32"/>
          <w:shd w:val="clear" w:color="auto" w:fill="FFFFFF"/>
        </w:rPr>
      </w:pPr>
      <w:r>
        <w:rPr>
          <w:rStyle w:val="8"/>
          <w:rFonts w:hint="default" w:ascii="Times New Roman" w:hAnsi="Times New Roman" w:eastAsia="方正仿宋_GBK"/>
          <w:sz w:val="32"/>
          <w:szCs w:val="32"/>
          <w:shd w:val="clear" w:color="auto" w:fill="FFFFFF"/>
        </w:rPr>
        <w:t>3.支出情况。</w:t>
      </w:r>
      <w:r>
        <w:rPr>
          <w:rFonts w:hint="default" w:ascii="Times New Roman" w:hAnsi="Times New Roman" w:eastAsia="方正仿宋_GBK"/>
          <w:sz w:val="32"/>
          <w:szCs w:val="32"/>
          <w:shd w:val="clear" w:color="auto" w:fill="FFFFFF"/>
        </w:rPr>
        <w:t>2023年度支出合计</w:t>
      </w:r>
      <w:r>
        <w:rPr>
          <w:rFonts w:hint="default" w:ascii="Times New Roman" w:hAnsi="Times New Roman" w:eastAsia="方正仿宋_GBK"/>
          <w:sz w:val="32"/>
          <w:szCs w:val="32"/>
        </w:rPr>
        <w:t>78.52</w:t>
      </w:r>
      <w:r>
        <w:rPr>
          <w:rFonts w:hint="default" w:ascii="Times New Roman" w:hAnsi="Times New Roman" w:eastAsia="方正仿宋_GBK"/>
          <w:sz w:val="32"/>
          <w:szCs w:val="32"/>
          <w:shd w:val="clear" w:color="auto" w:fill="FFFFFF"/>
        </w:rPr>
        <w:t>万元，较上年决算数增加78.52万元，增长100.0%，主要原因是</w:t>
      </w:r>
      <w:r>
        <w:rPr>
          <w:rFonts w:hint="default" w:ascii="Times New Roman" w:hAnsi="Times New Roman" w:eastAsia="方正仿宋_GBK"/>
          <w:color w:val="000000"/>
          <w:sz w:val="32"/>
          <w:szCs w:val="32"/>
        </w:rPr>
        <w:t>本单位为</w:t>
      </w:r>
      <w:r>
        <w:rPr>
          <w:rFonts w:hint="default" w:ascii="Times New Roman" w:hAnsi="Times New Roman" w:eastAsia="方正仿宋_GBK"/>
          <w:bCs/>
          <w:sz w:val="32"/>
          <w:szCs w:val="32"/>
        </w:rPr>
        <w:t>新增加纳入本套决算</w:t>
      </w:r>
      <w:r>
        <w:rPr>
          <w:rFonts w:hint="eastAsia" w:ascii="Times New Roman" w:hAnsi="Times New Roman" w:eastAsia="方正仿宋_GBK"/>
          <w:bCs/>
          <w:sz w:val="32"/>
          <w:szCs w:val="32"/>
          <w:lang w:eastAsia="zh-CN"/>
        </w:rPr>
        <w:t>编制范围，新增加1个机构</w:t>
      </w:r>
      <w:r>
        <w:rPr>
          <w:rFonts w:hint="default" w:ascii="Times New Roman" w:hAnsi="Times New Roman" w:eastAsia="方正仿宋_GBK"/>
          <w:sz w:val="32"/>
          <w:szCs w:val="32"/>
        </w:rPr>
        <w:t>。</w:t>
      </w:r>
      <w:r>
        <w:rPr>
          <w:rFonts w:hint="default" w:ascii="Times New Roman" w:hAnsi="Times New Roman" w:eastAsia="方正仿宋_GBK"/>
          <w:sz w:val="32"/>
          <w:szCs w:val="32"/>
          <w:shd w:val="clear" w:color="auto" w:fill="FFFFFF"/>
        </w:rPr>
        <w:t>其中：基本支出</w:t>
      </w:r>
      <w:r>
        <w:rPr>
          <w:rFonts w:hint="default" w:ascii="Times New Roman" w:hAnsi="Times New Roman" w:eastAsia="方正仿宋_GBK"/>
          <w:sz w:val="32"/>
          <w:szCs w:val="32"/>
        </w:rPr>
        <w:t>78.52</w:t>
      </w:r>
      <w:r>
        <w:rPr>
          <w:rFonts w:hint="default" w:ascii="Times New Roman" w:hAnsi="Times New Roman" w:eastAsia="方正仿宋_GBK"/>
          <w:sz w:val="32"/>
          <w:szCs w:val="32"/>
          <w:shd w:val="clear" w:color="auto" w:fill="FFFFFF"/>
        </w:rPr>
        <w:t>万元，占100.0%；项目支出</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万元，占0%；经营支出</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万元，占0%。此外，结余分配</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w:t>
      </w:r>
    </w:p>
    <w:p>
      <w:pPr>
        <w:pStyle w:val="6"/>
        <w:snapToGrid w:val="0"/>
        <w:spacing w:before="0" w:beforeAutospacing="0" w:after="0" w:afterAutospacing="0" w:line="594" w:lineRule="exact"/>
        <w:ind w:firstLine="643" w:firstLineChars="200"/>
        <w:jc w:val="both"/>
        <w:rPr>
          <w:rFonts w:hint="default" w:ascii="Times New Roman" w:hAnsi="Times New Roman" w:eastAsia="方正仿宋_GBK"/>
          <w:sz w:val="32"/>
          <w:szCs w:val="32"/>
        </w:rPr>
      </w:pPr>
      <w:r>
        <w:rPr>
          <w:rStyle w:val="8"/>
          <w:rFonts w:hint="default" w:ascii="Times New Roman" w:hAnsi="Times New Roman" w:eastAsia="方正仿宋_GBK"/>
          <w:sz w:val="32"/>
          <w:szCs w:val="32"/>
          <w:shd w:val="clear" w:color="auto" w:fill="FFFFFF"/>
        </w:rPr>
        <w:t>4.结转结余情况。</w:t>
      </w:r>
      <w:r>
        <w:rPr>
          <w:rFonts w:hint="default" w:ascii="Times New Roman" w:hAnsi="Times New Roman" w:eastAsia="方正仿宋_GBK"/>
          <w:sz w:val="32"/>
          <w:szCs w:val="32"/>
          <w:shd w:val="clear" w:color="auto" w:fill="FFFFFF"/>
        </w:rPr>
        <w:t>2023年度年末结转和结余</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万元，较上年决算数无增减，主要原因是2023年为新增加单位</w:t>
      </w:r>
      <w:r>
        <w:rPr>
          <w:rFonts w:hint="default" w:ascii="Times New Roman" w:hAnsi="Times New Roman" w:eastAsia="方正仿宋_GBK"/>
          <w:sz w:val="32"/>
          <w:szCs w:val="32"/>
        </w:rPr>
        <w:t>。</w:t>
      </w:r>
    </w:p>
    <w:p>
      <w:pPr>
        <w:pStyle w:val="11"/>
        <w:autoSpaceDE w:val="0"/>
        <w:spacing w:line="594" w:lineRule="exact"/>
        <w:ind w:firstLine="640"/>
        <w:rPr>
          <w:rFonts w:ascii="方正楷体_GBK" w:hAnsi="Times New Roman" w:eastAsia="方正楷体_GBK"/>
          <w:bCs/>
          <w:sz w:val="32"/>
          <w:szCs w:val="32"/>
          <w:shd w:val="clear" w:color="auto" w:fill="FFFFFF"/>
        </w:rPr>
      </w:pPr>
      <w:r>
        <w:rPr>
          <w:rFonts w:ascii="方正楷体_GBK" w:hAnsi="Times New Roman" w:eastAsia="方正楷体_GBK"/>
          <w:bCs/>
          <w:sz w:val="32"/>
          <w:szCs w:val="32"/>
          <w:shd w:val="clear" w:color="auto" w:fill="FFFFFF"/>
        </w:rPr>
        <w:t>（二）财政拨款收入支出决算总体情况说明</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2023年度财政拨款收、支总计78.52万元。与2022年相比，财政拨款收、支总计各增加78.52万元，增长100.0%。主要原因是</w:t>
      </w:r>
      <w:r>
        <w:rPr>
          <w:rFonts w:hint="default" w:ascii="Times New Roman" w:hAnsi="Times New Roman" w:eastAsia="方正仿宋_GBK"/>
          <w:color w:val="000000"/>
          <w:sz w:val="32"/>
          <w:szCs w:val="32"/>
        </w:rPr>
        <w:t>本单位为</w:t>
      </w:r>
      <w:r>
        <w:rPr>
          <w:rFonts w:hint="default" w:ascii="Times New Roman" w:hAnsi="Times New Roman" w:eastAsia="方正仿宋_GBK"/>
          <w:bCs/>
          <w:sz w:val="32"/>
          <w:szCs w:val="32"/>
        </w:rPr>
        <w:t>新增加纳入本套决算</w:t>
      </w:r>
      <w:r>
        <w:rPr>
          <w:rFonts w:hint="eastAsia" w:ascii="Times New Roman" w:hAnsi="Times New Roman" w:eastAsia="方正仿宋_GBK"/>
          <w:bCs/>
          <w:sz w:val="32"/>
          <w:szCs w:val="32"/>
          <w:lang w:eastAsia="zh-CN"/>
        </w:rPr>
        <w:t>编制范围，新增加1个机构</w:t>
      </w:r>
      <w:r>
        <w:rPr>
          <w:rFonts w:hint="default" w:ascii="Times New Roman" w:hAnsi="Times New Roman" w:eastAsia="方正仿宋_GBK"/>
          <w:sz w:val="32"/>
          <w:szCs w:val="32"/>
        </w:rPr>
        <w:t>。</w:t>
      </w:r>
    </w:p>
    <w:p>
      <w:pPr>
        <w:pStyle w:val="11"/>
        <w:autoSpaceDE w:val="0"/>
        <w:spacing w:line="594" w:lineRule="exact"/>
        <w:ind w:firstLine="640"/>
        <w:rPr>
          <w:rFonts w:ascii="方正楷体_GBK" w:hAnsi="Times New Roman" w:eastAsia="方正楷体_GBK"/>
          <w:bCs/>
          <w:sz w:val="32"/>
          <w:szCs w:val="32"/>
          <w:shd w:val="clear" w:color="auto" w:fill="FFFFFF"/>
        </w:rPr>
      </w:pPr>
      <w:r>
        <w:rPr>
          <w:rFonts w:ascii="方正楷体_GBK" w:hAnsi="Times New Roman" w:eastAsia="方正楷体_GBK"/>
          <w:bCs/>
          <w:sz w:val="32"/>
          <w:szCs w:val="32"/>
          <w:shd w:val="clear" w:color="auto" w:fill="FFFFFF"/>
        </w:rPr>
        <w:t>（三）一般公共预算财政拨款收入支出决算情况说明</w:t>
      </w:r>
    </w:p>
    <w:p>
      <w:pPr>
        <w:pStyle w:val="6"/>
        <w:snapToGrid w:val="0"/>
        <w:spacing w:before="0" w:beforeAutospacing="0" w:after="0" w:afterAutospacing="0" w:line="594" w:lineRule="exact"/>
        <w:ind w:firstLine="643" w:firstLineChars="200"/>
        <w:jc w:val="both"/>
        <w:rPr>
          <w:rFonts w:hint="default" w:ascii="Times New Roman" w:hAnsi="Times New Roman" w:eastAsia="方正仿宋_GBK"/>
          <w:sz w:val="32"/>
          <w:szCs w:val="32"/>
        </w:rPr>
      </w:pPr>
      <w:r>
        <w:rPr>
          <w:rStyle w:val="8"/>
          <w:rFonts w:hint="default" w:ascii="Times New Roman" w:hAnsi="Times New Roman" w:eastAsia="方正仿宋_GBK"/>
          <w:sz w:val="32"/>
          <w:szCs w:val="32"/>
          <w:shd w:val="clear" w:color="auto" w:fill="FFFFFF"/>
        </w:rPr>
        <w:t>1.收入情况。</w:t>
      </w:r>
      <w:r>
        <w:rPr>
          <w:rFonts w:hint="default" w:ascii="Times New Roman" w:hAnsi="Times New Roman" w:eastAsia="方正仿宋_GBK"/>
          <w:sz w:val="32"/>
          <w:szCs w:val="32"/>
          <w:shd w:val="clear" w:color="auto" w:fill="FFFFFF"/>
        </w:rPr>
        <w:t>2023年度一般公共预算财政拨款收入</w:t>
      </w:r>
      <w:r>
        <w:rPr>
          <w:rFonts w:hint="default" w:ascii="Times New Roman" w:hAnsi="Times New Roman" w:eastAsia="方正仿宋_GBK"/>
          <w:sz w:val="32"/>
          <w:szCs w:val="32"/>
        </w:rPr>
        <w:t>78.52</w:t>
      </w:r>
      <w:r>
        <w:rPr>
          <w:rFonts w:hint="default" w:ascii="Times New Roman" w:hAnsi="Times New Roman" w:eastAsia="方正仿宋_GBK"/>
          <w:sz w:val="32"/>
          <w:szCs w:val="32"/>
          <w:shd w:val="clear" w:color="auto" w:fill="FFFFFF"/>
        </w:rPr>
        <w:t>万元，较上年决算数增加78.52万元，增长100.0%。主要原因是</w:t>
      </w:r>
      <w:r>
        <w:rPr>
          <w:rFonts w:hint="default" w:ascii="Times New Roman" w:hAnsi="Times New Roman" w:eastAsia="方正仿宋_GBK"/>
          <w:color w:val="000000"/>
          <w:sz w:val="32"/>
          <w:szCs w:val="32"/>
        </w:rPr>
        <w:t>本单位为</w:t>
      </w:r>
      <w:r>
        <w:rPr>
          <w:rFonts w:hint="default" w:ascii="Times New Roman" w:hAnsi="Times New Roman" w:eastAsia="方正仿宋_GBK"/>
          <w:bCs/>
          <w:sz w:val="32"/>
          <w:szCs w:val="32"/>
        </w:rPr>
        <w:t>新增加纳入本套决算</w:t>
      </w:r>
      <w:r>
        <w:rPr>
          <w:rFonts w:hint="eastAsia" w:ascii="Times New Roman" w:hAnsi="Times New Roman" w:eastAsia="方正仿宋_GBK"/>
          <w:bCs/>
          <w:sz w:val="32"/>
          <w:szCs w:val="32"/>
          <w:lang w:eastAsia="zh-CN"/>
        </w:rPr>
        <w:t>编制范围，新增加1个机构</w:t>
      </w:r>
      <w:r>
        <w:rPr>
          <w:rFonts w:hint="default" w:ascii="Times New Roman" w:hAnsi="Times New Roman" w:eastAsia="方正仿宋_GBK"/>
          <w:sz w:val="32"/>
          <w:szCs w:val="32"/>
        </w:rPr>
        <w:t>。</w:t>
      </w:r>
      <w:r>
        <w:rPr>
          <w:rFonts w:hint="default" w:ascii="Times New Roman" w:hAnsi="Times New Roman" w:eastAsia="方正仿宋_GBK"/>
          <w:sz w:val="32"/>
          <w:szCs w:val="32"/>
          <w:shd w:val="clear" w:color="auto" w:fill="FFFFFF"/>
        </w:rPr>
        <w:t>较年初预算数增加9.25万元，增长13.35%。主要原因是城管执法经费增加9.25万元。此外，年初财政拨款结转和结余</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w:t>
      </w:r>
    </w:p>
    <w:p>
      <w:pPr>
        <w:pStyle w:val="6"/>
        <w:snapToGrid w:val="0"/>
        <w:spacing w:before="0" w:beforeAutospacing="0" w:after="0" w:afterAutospacing="0" w:line="594" w:lineRule="exact"/>
        <w:ind w:firstLine="643" w:firstLineChars="200"/>
        <w:jc w:val="both"/>
        <w:rPr>
          <w:rFonts w:hint="default" w:ascii="Times New Roman" w:hAnsi="Times New Roman" w:eastAsia="方正仿宋_GBK"/>
          <w:sz w:val="32"/>
          <w:szCs w:val="32"/>
        </w:rPr>
      </w:pPr>
      <w:r>
        <w:rPr>
          <w:rStyle w:val="8"/>
          <w:rFonts w:hint="default" w:ascii="Times New Roman" w:hAnsi="Times New Roman" w:eastAsia="方正仿宋_GBK"/>
          <w:sz w:val="32"/>
          <w:szCs w:val="32"/>
          <w:shd w:val="clear" w:color="auto" w:fill="FFFFFF"/>
        </w:rPr>
        <w:t>2.支出情况。</w:t>
      </w:r>
      <w:r>
        <w:rPr>
          <w:rFonts w:hint="default" w:ascii="Times New Roman" w:hAnsi="Times New Roman" w:eastAsia="方正仿宋_GBK"/>
          <w:sz w:val="32"/>
          <w:szCs w:val="32"/>
          <w:shd w:val="clear" w:color="auto" w:fill="FFFFFF"/>
        </w:rPr>
        <w:t>2023年度一般公共预算财政拨款支出</w:t>
      </w:r>
      <w:r>
        <w:rPr>
          <w:rFonts w:hint="default" w:ascii="Times New Roman" w:hAnsi="Times New Roman" w:eastAsia="方正仿宋_GBK"/>
          <w:sz w:val="32"/>
          <w:szCs w:val="32"/>
        </w:rPr>
        <w:t>78.52</w:t>
      </w:r>
      <w:r>
        <w:rPr>
          <w:rFonts w:hint="default" w:ascii="Times New Roman" w:hAnsi="Times New Roman" w:eastAsia="方正仿宋_GBK"/>
          <w:sz w:val="32"/>
          <w:szCs w:val="32"/>
          <w:shd w:val="clear" w:color="auto" w:fill="FFFFFF"/>
        </w:rPr>
        <w:t>万元，较上年决算数增加78.52万元，增长100.0%。主要原因是</w:t>
      </w:r>
      <w:r>
        <w:rPr>
          <w:rFonts w:hint="default" w:ascii="Times New Roman" w:hAnsi="Times New Roman" w:eastAsia="方正仿宋_GBK"/>
          <w:color w:val="000000"/>
          <w:sz w:val="32"/>
          <w:szCs w:val="32"/>
        </w:rPr>
        <w:t>本单位为</w:t>
      </w:r>
      <w:r>
        <w:rPr>
          <w:rFonts w:hint="default" w:ascii="Times New Roman" w:hAnsi="Times New Roman" w:eastAsia="方正仿宋_GBK"/>
          <w:bCs/>
          <w:sz w:val="32"/>
          <w:szCs w:val="32"/>
        </w:rPr>
        <w:t>新增加纳入本套决算</w:t>
      </w:r>
      <w:r>
        <w:rPr>
          <w:rFonts w:hint="eastAsia" w:ascii="Times New Roman" w:hAnsi="Times New Roman" w:eastAsia="方正仿宋_GBK"/>
          <w:bCs/>
          <w:sz w:val="32"/>
          <w:szCs w:val="32"/>
          <w:lang w:eastAsia="zh-CN"/>
        </w:rPr>
        <w:t>编制范围，新增加1个机构</w:t>
      </w:r>
      <w:r>
        <w:rPr>
          <w:rFonts w:hint="default" w:ascii="Times New Roman" w:hAnsi="Times New Roman" w:eastAsia="方正仿宋_GBK"/>
          <w:sz w:val="32"/>
          <w:szCs w:val="32"/>
        </w:rPr>
        <w:t>。</w:t>
      </w:r>
      <w:r>
        <w:rPr>
          <w:rFonts w:hint="default" w:ascii="Times New Roman" w:hAnsi="Times New Roman" w:eastAsia="方正仿宋_GBK"/>
          <w:sz w:val="32"/>
          <w:szCs w:val="32"/>
          <w:shd w:val="clear" w:color="auto" w:fill="FFFFFF"/>
        </w:rPr>
        <w:t>较年初预算数增加9.25万元，增长13.35%。主要原因是城管执法经费增加9.25万元。</w:t>
      </w:r>
    </w:p>
    <w:p>
      <w:pPr>
        <w:pStyle w:val="6"/>
        <w:snapToGrid w:val="0"/>
        <w:spacing w:before="0" w:beforeAutospacing="0" w:after="0" w:afterAutospacing="0" w:line="594" w:lineRule="exact"/>
        <w:ind w:firstLine="643" w:firstLineChars="200"/>
        <w:jc w:val="both"/>
        <w:rPr>
          <w:rFonts w:hint="default" w:ascii="Times New Roman" w:hAnsi="Times New Roman" w:eastAsia="方正仿宋_GBK"/>
          <w:sz w:val="32"/>
          <w:szCs w:val="32"/>
        </w:rPr>
      </w:pPr>
      <w:r>
        <w:rPr>
          <w:rStyle w:val="8"/>
          <w:rFonts w:hint="default" w:ascii="Times New Roman" w:hAnsi="Times New Roman" w:eastAsia="方正仿宋_GBK"/>
          <w:sz w:val="32"/>
          <w:szCs w:val="32"/>
          <w:shd w:val="clear" w:color="auto" w:fill="FFFFFF"/>
        </w:rPr>
        <w:t>3.结转结余情况。</w:t>
      </w:r>
      <w:r>
        <w:rPr>
          <w:rFonts w:hint="default" w:ascii="Times New Roman" w:hAnsi="Times New Roman" w:eastAsia="方正仿宋_GBK"/>
          <w:sz w:val="32"/>
          <w:szCs w:val="32"/>
          <w:shd w:val="clear" w:color="auto" w:fill="FFFFFF"/>
        </w:rPr>
        <w:t>2023年度年末结转和结余</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万元，较上年决算数无增减，主要原因是2023年为新增加单位</w:t>
      </w:r>
      <w:r>
        <w:rPr>
          <w:rFonts w:hint="default" w:ascii="Times New Roman" w:hAnsi="Times New Roman" w:eastAsia="方正仿宋_GBK"/>
          <w:sz w:val="32"/>
          <w:szCs w:val="32"/>
        </w:rPr>
        <w:t>。</w:t>
      </w:r>
    </w:p>
    <w:p>
      <w:pPr>
        <w:pStyle w:val="6"/>
        <w:snapToGrid w:val="0"/>
        <w:spacing w:before="0" w:beforeAutospacing="0" w:after="0" w:afterAutospacing="0" w:line="594" w:lineRule="exact"/>
        <w:ind w:firstLine="643" w:firstLineChars="200"/>
        <w:jc w:val="both"/>
        <w:rPr>
          <w:rFonts w:hint="default" w:ascii="Times New Roman" w:hAnsi="Times New Roman" w:eastAsia="方正仿宋_GBK"/>
          <w:color w:val="FF0000"/>
          <w:sz w:val="32"/>
          <w:szCs w:val="32"/>
          <w:highlight w:val="cyan"/>
          <w:shd w:val="clear" w:color="auto" w:fill="FFFFFF"/>
        </w:rPr>
      </w:pPr>
      <w:r>
        <w:rPr>
          <w:rStyle w:val="8"/>
          <w:rFonts w:hint="default" w:ascii="Times New Roman" w:hAnsi="Times New Roman" w:eastAsia="方正仿宋_GBK"/>
          <w:sz w:val="32"/>
          <w:szCs w:val="32"/>
          <w:shd w:val="clear" w:color="auto" w:fill="FFFFFF"/>
        </w:rPr>
        <w:t xml:space="preserve"> 4.比较情况。</w:t>
      </w:r>
      <w:r>
        <w:rPr>
          <w:rFonts w:hint="default" w:ascii="Times New Roman" w:hAnsi="Times New Roman" w:eastAsia="方正仿宋_GBK"/>
          <w:sz w:val="32"/>
          <w:szCs w:val="32"/>
          <w:shd w:val="clear" w:color="auto" w:fill="FFFFFF"/>
        </w:rPr>
        <w:t>本单位2023年度一般公共预算财政拨款支出主要用于以下几个方面：</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（1）社会保障与就业支出</w:t>
      </w:r>
      <w:r>
        <w:rPr>
          <w:rFonts w:hint="default" w:ascii="Times New Roman" w:hAnsi="Times New Roman" w:eastAsia="方正仿宋_GBK"/>
          <w:sz w:val="32"/>
          <w:szCs w:val="32"/>
        </w:rPr>
        <w:t>6.62</w:t>
      </w:r>
      <w:r>
        <w:rPr>
          <w:rFonts w:hint="default" w:ascii="Times New Roman" w:hAnsi="Times New Roman" w:eastAsia="方正仿宋_GBK"/>
          <w:sz w:val="32"/>
          <w:szCs w:val="32"/>
          <w:shd w:val="clear" w:color="auto" w:fill="FFFFFF"/>
        </w:rPr>
        <w:t>万元，占</w:t>
      </w:r>
      <w:r>
        <w:rPr>
          <w:rFonts w:hint="default" w:ascii="Times New Roman" w:hAnsi="Times New Roman" w:eastAsia="方正仿宋_GBK"/>
          <w:sz w:val="32"/>
          <w:szCs w:val="32"/>
        </w:rPr>
        <w:t>8.43</w:t>
      </w:r>
      <w:r>
        <w:rPr>
          <w:rFonts w:hint="default" w:ascii="Times New Roman" w:hAnsi="Times New Roman" w:eastAsia="方正仿宋_GBK"/>
          <w:sz w:val="32"/>
          <w:szCs w:val="32"/>
          <w:shd w:val="clear" w:color="auto" w:fill="FFFFFF"/>
        </w:rPr>
        <w:t>%，较年初预算数增加0.52万元，增长8.52%，主要原因是</w:t>
      </w:r>
      <w:r>
        <w:rPr>
          <w:rFonts w:hint="default" w:ascii="Times New Roman" w:hAnsi="Times New Roman" w:eastAsia="方正仿宋_GBK"/>
          <w:color w:val="000000"/>
          <w:sz w:val="32"/>
          <w:szCs w:val="32"/>
        </w:rPr>
        <w:t>机关事业单位基本养老保险、职业年金缴费增加0.52万元。</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（2）卫生健康支出</w:t>
      </w:r>
      <w:r>
        <w:rPr>
          <w:rFonts w:hint="default" w:ascii="Times New Roman" w:hAnsi="Times New Roman" w:eastAsia="方正仿宋_GBK"/>
          <w:sz w:val="32"/>
          <w:szCs w:val="32"/>
        </w:rPr>
        <w:t>2.71</w:t>
      </w:r>
      <w:r>
        <w:rPr>
          <w:rFonts w:hint="default" w:ascii="Times New Roman" w:hAnsi="Times New Roman" w:eastAsia="方正仿宋_GBK"/>
          <w:sz w:val="32"/>
          <w:szCs w:val="32"/>
          <w:shd w:val="clear" w:color="auto" w:fill="FFFFFF"/>
        </w:rPr>
        <w:t>万元，占</w:t>
      </w:r>
      <w:r>
        <w:rPr>
          <w:rFonts w:hint="default" w:ascii="Times New Roman" w:hAnsi="Times New Roman" w:eastAsia="方正仿宋_GBK"/>
          <w:sz w:val="32"/>
          <w:szCs w:val="32"/>
        </w:rPr>
        <w:t>3.45</w:t>
      </w:r>
      <w:r>
        <w:rPr>
          <w:rFonts w:hint="default" w:ascii="Times New Roman" w:hAnsi="Times New Roman" w:eastAsia="方正仿宋_GBK"/>
          <w:sz w:val="32"/>
          <w:szCs w:val="32"/>
          <w:shd w:val="clear" w:color="auto" w:fill="FFFFFF"/>
        </w:rPr>
        <w:t>%，较年初预算数增加0.17万元，增长6.69%，主要原因是</w:t>
      </w:r>
      <w:r>
        <w:rPr>
          <w:rFonts w:hint="default" w:ascii="Times New Roman" w:hAnsi="Times New Roman" w:eastAsia="方正仿宋_GBK"/>
          <w:color w:val="000000"/>
          <w:sz w:val="32"/>
          <w:szCs w:val="32"/>
        </w:rPr>
        <w:t>事业单位医疗</w:t>
      </w:r>
      <w:r>
        <w:rPr>
          <w:rFonts w:hint="default" w:ascii="Times New Roman" w:hAnsi="Times New Roman" w:eastAsia="方正仿宋_GBK"/>
          <w:sz w:val="32"/>
          <w:szCs w:val="32"/>
          <w:shd w:val="clear" w:color="auto" w:fill="FFFFFF"/>
        </w:rPr>
        <w:t>增加0.17万元。</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（3）城乡社区支出</w:t>
      </w:r>
      <w:r>
        <w:rPr>
          <w:rFonts w:hint="default" w:ascii="Times New Roman" w:hAnsi="Times New Roman" w:eastAsia="方正仿宋_GBK"/>
          <w:sz w:val="32"/>
          <w:szCs w:val="32"/>
        </w:rPr>
        <w:t>65.85</w:t>
      </w:r>
      <w:r>
        <w:rPr>
          <w:rFonts w:hint="default" w:ascii="Times New Roman" w:hAnsi="Times New Roman" w:eastAsia="方正仿宋_GBK"/>
          <w:sz w:val="32"/>
          <w:szCs w:val="32"/>
          <w:shd w:val="clear" w:color="auto" w:fill="FFFFFF"/>
        </w:rPr>
        <w:t>万元，占</w:t>
      </w:r>
      <w:r>
        <w:rPr>
          <w:rFonts w:hint="default" w:ascii="Times New Roman" w:hAnsi="Times New Roman" w:eastAsia="方正仿宋_GBK"/>
          <w:sz w:val="32"/>
          <w:szCs w:val="32"/>
        </w:rPr>
        <w:t>83.86</w:t>
      </w:r>
      <w:r>
        <w:rPr>
          <w:rFonts w:hint="default" w:ascii="Times New Roman" w:hAnsi="Times New Roman" w:eastAsia="方正仿宋_GBK"/>
          <w:sz w:val="32"/>
          <w:szCs w:val="32"/>
          <w:shd w:val="clear" w:color="auto" w:fill="FFFFFF"/>
        </w:rPr>
        <w:t>%，较年初预算数增加8.27万元，增长14.36%，主要原因是城管执法经费增加8.27万元。</w:t>
      </w:r>
    </w:p>
    <w:p>
      <w:pPr>
        <w:spacing w:line="594" w:lineRule="exact"/>
        <w:ind w:firstLine="640" w:firstLineChars="200"/>
        <w:rPr>
          <w:rFonts w:hint="default" w:ascii="Times New Roman" w:hAnsi="Times New Roman" w:eastAsia="方正仿宋_GBK"/>
          <w:color w:val="FF0000"/>
          <w:sz w:val="32"/>
          <w:szCs w:val="32"/>
          <w:shd w:val="clear" w:color="auto" w:fill="FFFFFF"/>
        </w:rPr>
      </w:pPr>
      <w:r>
        <w:rPr>
          <w:rFonts w:hint="default" w:ascii="Times New Roman" w:hAnsi="Times New Roman" w:eastAsia="方正仿宋_GBK"/>
          <w:sz w:val="32"/>
          <w:szCs w:val="32"/>
          <w:shd w:val="clear" w:color="auto" w:fill="FFFFFF"/>
        </w:rPr>
        <w:t>（4）</w:t>
      </w:r>
      <w:r>
        <w:rPr>
          <w:rFonts w:hint="default" w:ascii="Times New Roman" w:hAnsi="Times New Roman" w:eastAsia="方正仿宋_GBK"/>
          <w:sz w:val="32"/>
          <w:szCs w:val="32"/>
        </w:rPr>
        <w:t>住房保障支出3.35</w:t>
      </w:r>
      <w:r>
        <w:rPr>
          <w:rFonts w:hint="default" w:ascii="Times New Roman" w:hAnsi="Times New Roman" w:eastAsia="方正仿宋_GBK"/>
          <w:sz w:val="32"/>
          <w:szCs w:val="32"/>
          <w:shd w:val="clear" w:color="auto" w:fill="FFFFFF"/>
        </w:rPr>
        <w:t>万元，占</w:t>
      </w:r>
      <w:r>
        <w:rPr>
          <w:rFonts w:hint="default" w:ascii="Times New Roman" w:hAnsi="Times New Roman" w:eastAsia="方正仿宋_GBK"/>
          <w:sz w:val="32"/>
          <w:szCs w:val="32"/>
        </w:rPr>
        <w:t>4.26</w:t>
      </w:r>
      <w:r>
        <w:rPr>
          <w:rFonts w:hint="default" w:ascii="Times New Roman" w:hAnsi="Times New Roman" w:eastAsia="方正仿宋_GBK"/>
          <w:sz w:val="32"/>
          <w:szCs w:val="32"/>
          <w:shd w:val="clear" w:color="auto" w:fill="FFFFFF"/>
        </w:rPr>
        <w:t>%，较年初预算数增加0.30万元，增长9.84%，主要原因是</w:t>
      </w:r>
      <w:r>
        <w:rPr>
          <w:rFonts w:hint="default" w:ascii="Times New Roman" w:hAnsi="Times New Roman" w:eastAsia="方正仿宋_GBK"/>
          <w:color w:val="000000"/>
          <w:sz w:val="32"/>
          <w:szCs w:val="32"/>
        </w:rPr>
        <w:t>住房公积金增加0.30万元。</w:t>
      </w:r>
    </w:p>
    <w:p>
      <w:pPr>
        <w:pStyle w:val="11"/>
        <w:autoSpaceDE w:val="0"/>
        <w:spacing w:line="594" w:lineRule="exact"/>
        <w:ind w:firstLine="640"/>
        <w:rPr>
          <w:rFonts w:ascii="方正楷体_GBK" w:hAnsi="Times New Roman" w:eastAsia="方正楷体_GBK"/>
          <w:bCs/>
          <w:sz w:val="32"/>
          <w:szCs w:val="32"/>
          <w:shd w:val="clear" w:color="auto" w:fill="FFFFFF"/>
        </w:rPr>
      </w:pPr>
      <w:r>
        <w:rPr>
          <w:rFonts w:ascii="方正楷体_GBK" w:hAnsi="Times New Roman" w:eastAsia="方正楷体_GBK"/>
          <w:bCs/>
          <w:sz w:val="32"/>
          <w:szCs w:val="32"/>
          <w:shd w:val="clear" w:color="auto" w:fill="FFFFFF"/>
        </w:rPr>
        <w:t>（四）一般公共预算财政拨款基本支出决算情况说明</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 2023年度一般公共财政拨款基本支出</w:t>
      </w:r>
      <w:r>
        <w:rPr>
          <w:rFonts w:hint="default" w:ascii="Times New Roman" w:hAnsi="Times New Roman" w:eastAsia="方正仿宋_GBK"/>
          <w:sz w:val="32"/>
          <w:szCs w:val="32"/>
        </w:rPr>
        <w:t>78.52</w:t>
      </w:r>
      <w:r>
        <w:rPr>
          <w:rFonts w:hint="default" w:ascii="Times New Roman" w:hAnsi="Times New Roman" w:eastAsia="方正仿宋_GBK"/>
          <w:sz w:val="32"/>
          <w:szCs w:val="32"/>
          <w:shd w:val="clear" w:color="auto" w:fill="FFFFFF"/>
        </w:rPr>
        <w:t>万元。其中：人员经费</w:t>
      </w:r>
      <w:r>
        <w:rPr>
          <w:rFonts w:hint="default" w:ascii="Times New Roman" w:hAnsi="Times New Roman" w:eastAsia="方正仿宋_GBK"/>
          <w:sz w:val="32"/>
          <w:szCs w:val="32"/>
        </w:rPr>
        <w:t>71.99</w:t>
      </w:r>
      <w:r>
        <w:rPr>
          <w:rFonts w:hint="default" w:ascii="Times New Roman" w:hAnsi="Times New Roman" w:eastAsia="方正仿宋_GBK"/>
          <w:sz w:val="32"/>
          <w:szCs w:val="32"/>
          <w:shd w:val="clear" w:color="auto" w:fill="FFFFFF"/>
        </w:rPr>
        <w:t>万元，较上年决算数增加71.99万元，增长100.0%，主要原因是</w:t>
      </w:r>
      <w:r>
        <w:rPr>
          <w:rFonts w:hint="default" w:ascii="Times New Roman" w:hAnsi="Times New Roman" w:eastAsia="方正仿宋_GBK"/>
          <w:color w:val="000000"/>
          <w:sz w:val="32"/>
          <w:szCs w:val="32"/>
        </w:rPr>
        <w:t>本单位为</w:t>
      </w:r>
      <w:r>
        <w:rPr>
          <w:rFonts w:hint="default" w:ascii="Times New Roman" w:hAnsi="Times New Roman" w:eastAsia="方正仿宋_GBK"/>
          <w:bCs/>
          <w:sz w:val="32"/>
          <w:szCs w:val="32"/>
        </w:rPr>
        <w:t>新增加纳入本套决算</w:t>
      </w:r>
      <w:r>
        <w:rPr>
          <w:rFonts w:hint="eastAsia" w:ascii="Times New Roman" w:hAnsi="Times New Roman" w:eastAsia="方正仿宋_GBK"/>
          <w:bCs/>
          <w:sz w:val="32"/>
          <w:szCs w:val="32"/>
          <w:lang w:eastAsia="zh-CN"/>
        </w:rPr>
        <w:t>编制范围，新增加1个机构</w:t>
      </w:r>
      <w:r>
        <w:rPr>
          <w:rFonts w:hint="default" w:ascii="Times New Roman" w:hAnsi="Times New Roman" w:eastAsia="方正仿宋_GBK"/>
          <w:sz w:val="32"/>
          <w:szCs w:val="32"/>
        </w:rPr>
        <w:t>。</w:t>
      </w:r>
      <w:r>
        <w:rPr>
          <w:rFonts w:hint="default" w:ascii="Times New Roman" w:hAnsi="Times New Roman" w:eastAsia="方正仿宋_GBK"/>
          <w:sz w:val="32"/>
          <w:szCs w:val="32"/>
          <w:shd w:val="clear" w:color="auto" w:fill="FFFFFF"/>
        </w:rPr>
        <w:t>人员经费用途主要包括</w:t>
      </w:r>
      <w:r>
        <w:rPr>
          <w:rFonts w:hint="default" w:ascii="Times New Roman" w:hAnsi="Times New Roman" w:eastAsia="方正仿宋_GBK"/>
          <w:color w:val="FF0000"/>
          <w:sz w:val="32"/>
          <w:szCs w:val="32"/>
          <w:shd w:val="clear" w:color="auto" w:fill="FFFFFF"/>
        </w:rPr>
        <w:t>.</w:t>
      </w:r>
      <w:r>
        <w:rPr>
          <w:rFonts w:hint="default" w:ascii="Times New Roman" w:hAnsi="Times New Roman" w:eastAsia="方正仿宋_GBK"/>
          <w:sz w:val="32"/>
          <w:szCs w:val="32"/>
          <w:shd w:val="clear" w:color="auto" w:fill="FFFFFF"/>
        </w:rPr>
        <w:t xml:space="preserve"> 基本工资、津贴补贴、奖金、绩效工资、机关事业单位基本养老保险费、职业年金缴费、职工基本医疗保险缴费、其他社会保障缴费、住房公积金、医疗费、其他工资福利支出、生活补助。公用经费</w:t>
      </w:r>
      <w:r>
        <w:rPr>
          <w:rFonts w:hint="default" w:ascii="Times New Roman" w:hAnsi="Times New Roman" w:eastAsia="方正仿宋_GBK"/>
          <w:sz w:val="32"/>
          <w:szCs w:val="32"/>
        </w:rPr>
        <w:t>6.53</w:t>
      </w:r>
      <w:r>
        <w:rPr>
          <w:rFonts w:hint="default" w:ascii="Times New Roman" w:hAnsi="Times New Roman" w:eastAsia="方正仿宋_GBK"/>
          <w:sz w:val="32"/>
          <w:szCs w:val="32"/>
          <w:shd w:val="clear" w:color="auto" w:fill="FFFFFF"/>
        </w:rPr>
        <w:t>万元，较上年决算数增加6.53万元，增长100.0%，主要原因是</w:t>
      </w:r>
      <w:r>
        <w:rPr>
          <w:rFonts w:hint="default" w:ascii="Times New Roman" w:hAnsi="Times New Roman" w:eastAsia="方正仿宋_GBK"/>
          <w:color w:val="000000"/>
          <w:sz w:val="32"/>
          <w:szCs w:val="32"/>
        </w:rPr>
        <w:t>本单位为</w:t>
      </w:r>
      <w:r>
        <w:rPr>
          <w:rFonts w:hint="default" w:ascii="Times New Roman" w:hAnsi="Times New Roman" w:eastAsia="方正仿宋_GBK"/>
          <w:bCs/>
          <w:sz w:val="32"/>
          <w:szCs w:val="32"/>
        </w:rPr>
        <w:t>新增加纳入本套决算</w:t>
      </w:r>
      <w:r>
        <w:rPr>
          <w:rFonts w:hint="eastAsia" w:ascii="Times New Roman" w:hAnsi="Times New Roman" w:eastAsia="方正仿宋_GBK"/>
          <w:bCs/>
          <w:sz w:val="32"/>
          <w:szCs w:val="32"/>
          <w:lang w:eastAsia="zh-CN"/>
        </w:rPr>
        <w:t>编制范围，新增加1个机构</w:t>
      </w:r>
      <w:r>
        <w:rPr>
          <w:rFonts w:hint="default" w:ascii="Times New Roman" w:hAnsi="Times New Roman" w:eastAsia="方正仿宋_GBK"/>
          <w:sz w:val="32"/>
          <w:szCs w:val="32"/>
        </w:rPr>
        <w:t>。</w:t>
      </w:r>
      <w:r>
        <w:rPr>
          <w:rFonts w:hint="default" w:ascii="Times New Roman" w:hAnsi="Times New Roman" w:eastAsia="方正仿宋_GBK"/>
          <w:sz w:val="32"/>
          <w:szCs w:val="32"/>
          <w:shd w:val="clear" w:color="auto" w:fill="FFFFFF"/>
        </w:rPr>
        <w:t>公用经费用途主要包括办公费、水费、电费、邮电费、差旅费、维修（护）费、会议费、培训费、公务接待费、专用材料费、劳务费、委托业务费、工会经费、福利费、公务车运行维护费、其他交通费用、其他商品和服务支出、债务利息及费用支出、办公设备购置、公务用车购置。</w:t>
      </w:r>
    </w:p>
    <w:p>
      <w:pPr>
        <w:pStyle w:val="11"/>
        <w:autoSpaceDE w:val="0"/>
        <w:spacing w:line="594" w:lineRule="exact"/>
        <w:ind w:firstLine="640"/>
        <w:rPr>
          <w:rFonts w:ascii="方正楷体_GBK" w:hAnsi="Times New Roman" w:eastAsia="方正楷体_GBK"/>
          <w:bCs/>
          <w:sz w:val="32"/>
          <w:szCs w:val="32"/>
          <w:shd w:val="clear" w:color="auto" w:fill="FFFFFF"/>
        </w:rPr>
      </w:pPr>
      <w:r>
        <w:rPr>
          <w:rFonts w:ascii="方正楷体_GBK" w:hAnsi="Times New Roman" w:eastAsia="方正楷体_GBK"/>
          <w:bCs/>
          <w:sz w:val="32"/>
          <w:szCs w:val="32"/>
          <w:shd w:val="clear" w:color="auto" w:fill="FFFFFF"/>
        </w:rPr>
        <w:t>（五）政府性基金预算收支决算情况说明</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hint="default" w:ascii="Times New Roman" w:hAnsi="Times New Roman" w:eastAsia="方正仿宋_GBK"/>
          <w:b w:val="0"/>
          <w:sz w:val="32"/>
          <w:szCs w:val="32"/>
        </w:rPr>
        <w:t>本单位2023年度无政府性基金预算财政拨款收支。</w:t>
      </w:r>
    </w:p>
    <w:p>
      <w:pPr>
        <w:pStyle w:val="11"/>
        <w:autoSpaceDE w:val="0"/>
        <w:spacing w:line="594" w:lineRule="exact"/>
        <w:ind w:firstLine="640"/>
        <w:rPr>
          <w:rFonts w:ascii="方正楷体_GBK" w:hAnsi="Times New Roman" w:eastAsia="方正楷体_GBK"/>
          <w:bCs/>
          <w:sz w:val="32"/>
          <w:szCs w:val="32"/>
          <w:shd w:val="clear" w:color="auto" w:fill="FFFFFF"/>
        </w:rPr>
      </w:pPr>
      <w:r>
        <w:rPr>
          <w:rFonts w:ascii="方正楷体_GBK" w:hAnsi="Times New Roman" w:eastAsia="方正楷体_GBK"/>
          <w:bCs/>
          <w:sz w:val="32"/>
          <w:szCs w:val="32"/>
          <w:shd w:val="clear" w:color="auto" w:fill="FFFFFF"/>
        </w:rPr>
        <w:t>（六）国有资本经营预算财政拨款支出决算情况说明</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 </w:t>
      </w:r>
      <w:r>
        <w:rPr>
          <w:rStyle w:val="8"/>
          <w:rFonts w:hint="default" w:ascii="Times New Roman" w:hAnsi="Times New Roman" w:eastAsia="方正仿宋_GBK"/>
          <w:b w:val="0"/>
          <w:sz w:val="32"/>
          <w:szCs w:val="32"/>
        </w:rPr>
        <w:t>本单位2023年度无国有资本经营预算财政拨款支出。</w:t>
      </w:r>
    </w:p>
    <w:p>
      <w:pPr>
        <w:pStyle w:val="6"/>
        <w:shd w:val="clear" w:color="auto" w:fill="FFFFFF"/>
        <w:spacing w:before="0" w:beforeAutospacing="0" w:after="0" w:afterAutospacing="0" w:line="594" w:lineRule="exact"/>
        <w:ind w:firstLine="640" w:firstLineChars="200"/>
        <w:rPr>
          <w:rStyle w:val="8"/>
          <w:rFonts w:ascii="方正黑体_GBK" w:hAnsi="Times New Roman" w:eastAsia="方正黑体_GBK"/>
          <w:b w:val="0"/>
          <w:sz w:val="32"/>
          <w:szCs w:val="32"/>
          <w:shd w:val="clear" w:color="auto" w:fill="FFFFFF"/>
        </w:rPr>
      </w:pPr>
      <w:r>
        <w:rPr>
          <w:rStyle w:val="8"/>
          <w:rFonts w:ascii="方正黑体_GBK" w:hAnsi="Times New Roman" w:eastAsia="方正黑体_GBK"/>
          <w:b w:val="0"/>
          <w:sz w:val="32"/>
          <w:szCs w:val="32"/>
          <w:shd w:val="clear" w:color="auto" w:fill="FFFFFF"/>
        </w:rPr>
        <w:t>三、“三公”经费情况说明</w:t>
      </w:r>
    </w:p>
    <w:p>
      <w:pPr>
        <w:pStyle w:val="11"/>
        <w:autoSpaceDE w:val="0"/>
        <w:spacing w:line="594" w:lineRule="exact"/>
        <w:ind w:firstLine="640"/>
        <w:rPr>
          <w:rFonts w:ascii="方正楷体_GBK" w:hAnsi="Times New Roman" w:eastAsia="方正楷体_GBK"/>
          <w:bCs/>
          <w:sz w:val="32"/>
          <w:szCs w:val="32"/>
          <w:shd w:val="clear" w:color="auto" w:fill="FFFFFF"/>
        </w:rPr>
      </w:pPr>
      <w:r>
        <w:rPr>
          <w:rFonts w:ascii="方正楷体_GBK" w:hAnsi="Times New Roman" w:eastAsia="方正楷体_GBK"/>
          <w:bCs/>
          <w:sz w:val="32"/>
          <w:szCs w:val="32"/>
          <w:shd w:val="clear" w:color="auto" w:fill="FFFFFF"/>
        </w:rPr>
        <w:t>（一）“三公”经费支出总体情况说明</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2023年度“三公”经费支出共计</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万元，较年初预算数无增减，主要原因是2023年无“三公”经费预算支出。较上年支出数无增减，主要原因是2023年为新增加单位</w:t>
      </w:r>
      <w:r>
        <w:rPr>
          <w:rFonts w:hint="default" w:ascii="Times New Roman" w:hAnsi="Times New Roman" w:eastAsia="方正仿宋_GBK"/>
          <w:sz w:val="32"/>
          <w:szCs w:val="32"/>
        </w:rPr>
        <w:t>。</w:t>
      </w:r>
    </w:p>
    <w:p>
      <w:pPr>
        <w:pStyle w:val="11"/>
        <w:autoSpaceDE w:val="0"/>
        <w:spacing w:line="594" w:lineRule="exact"/>
        <w:ind w:firstLine="640"/>
        <w:rPr>
          <w:rFonts w:ascii="方正楷体_GBK" w:hAnsi="Times New Roman" w:eastAsia="方正楷体_GBK"/>
          <w:bCs/>
          <w:sz w:val="32"/>
          <w:szCs w:val="32"/>
          <w:shd w:val="clear" w:color="auto" w:fill="FFFFFF"/>
        </w:rPr>
      </w:pPr>
      <w:r>
        <w:rPr>
          <w:rFonts w:ascii="方正楷体_GBK" w:hAnsi="Times New Roman" w:eastAsia="方正楷体_GBK"/>
          <w:bCs/>
          <w:sz w:val="32"/>
          <w:szCs w:val="32"/>
          <w:shd w:val="clear" w:color="auto" w:fill="FFFFFF"/>
        </w:rPr>
        <w:t>（二）“三公”经费分项支出情况</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shd w:val="clear" w:color="auto" w:fill="FFFFFF"/>
        </w:rPr>
        <w:t>2023年度</w:t>
      </w:r>
      <w:r>
        <w:rPr>
          <w:rFonts w:hint="default" w:ascii="Times New Roman" w:hAnsi="Times New Roman" w:eastAsia="方正仿宋_GBK" w:cs="Times New Roman"/>
          <w:sz w:val="32"/>
          <w:szCs w:val="32"/>
          <w:shd w:val="clear" w:color="auto" w:fill="FFFFFF"/>
          <w:lang w:eastAsia="zh-CN"/>
        </w:rPr>
        <w:t>本单位</w:t>
      </w:r>
      <w:r>
        <w:rPr>
          <w:rFonts w:hint="default" w:ascii="Times New Roman" w:hAnsi="Times New Roman" w:eastAsia="方正仿宋_GBK" w:cs="Times New Roman"/>
          <w:sz w:val="32"/>
          <w:szCs w:val="32"/>
          <w:shd w:val="clear" w:color="auto" w:fill="FFFFFF"/>
        </w:rPr>
        <w:t>因公出国（境）费用</w:t>
      </w:r>
      <w:r>
        <w:rPr>
          <w:rFonts w:hint="default" w:ascii="Times New Roman" w:hAnsi="Times New Roman" w:eastAsia="方正仿宋_GBK" w:cs="Times New Roman"/>
          <w:sz w:val="32"/>
          <w:szCs w:val="32"/>
        </w:rPr>
        <w:t>0</w:t>
      </w:r>
      <w:r>
        <w:rPr>
          <w:rFonts w:hint="default" w:ascii="Times New Roman" w:hAnsi="Times New Roman" w:eastAsia="方正仿宋_GBK" w:cs="Times New Roman"/>
          <w:sz w:val="32"/>
          <w:szCs w:val="32"/>
          <w:shd w:val="clear" w:color="auto" w:fill="FFFFFF"/>
        </w:rPr>
        <w:t>万元</w:t>
      </w:r>
      <w:r>
        <w:rPr>
          <w:rFonts w:hint="default" w:ascii="Times New Roman" w:hAnsi="Times New Roman" w:eastAsia="方正仿宋_GBK" w:cs="Times New Roman"/>
          <w:sz w:val="32"/>
          <w:szCs w:val="32"/>
          <w:shd w:val="clear" w:color="auto" w:fill="FFFFFF"/>
          <w:lang w:eastAsia="zh-CN"/>
        </w:rPr>
        <w:t>，</w:t>
      </w:r>
      <w:r>
        <w:rPr>
          <w:rFonts w:hint="default" w:ascii="Times New Roman" w:hAnsi="Times New Roman" w:eastAsia="方正仿宋_GBK" w:cs="Times New Roman"/>
          <w:sz w:val="32"/>
          <w:szCs w:val="32"/>
          <w:shd w:val="clear" w:color="auto" w:fill="FFFFFF"/>
          <w:lang w:val="en-US" w:eastAsia="zh-CN"/>
        </w:rPr>
        <w:t>主要用于公务出</w:t>
      </w:r>
      <w:r>
        <w:rPr>
          <w:rFonts w:hint="default" w:ascii="Times New Roman" w:hAnsi="Times New Roman" w:eastAsia="方正仿宋_GBK" w:cs="Times New Roman"/>
          <w:sz w:val="32"/>
          <w:szCs w:val="32"/>
          <w:shd w:val="clear" w:color="auto" w:fill="FFFFFF"/>
        </w:rPr>
        <w:t>国（境）</w:t>
      </w:r>
      <w:r>
        <w:rPr>
          <w:rFonts w:hint="default" w:ascii="Times New Roman" w:hAnsi="Times New Roman" w:eastAsia="方正仿宋_GBK" w:cs="Times New Roman"/>
          <w:sz w:val="32"/>
          <w:szCs w:val="32"/>
          <w:shd w:val="clear" w:color="auto" w:fill="FFFFFF"/>
          <w:lang w:val="en-US" w:eastAsia="zh-CN"/>
        </w:rPr>
        <w:t>的国际差旅、国外城市间交通费、住宿费、伙食费、培训费、公杂费等支出</w:t>
      </w:r>
      <w:r>
        <w:rPr>
          <w:rFonts w:hint="default" w:ascii="Times New Roman" w:hAnsi="Times New Roman" w:eastAsia="方正仿宋_GBK" w:cs="Times New Roman"/>
          <w:sz w:val="32"/>
          <w:szCs w:val="32"/>
          <w:shd w:val="clear" w:color="auto" w:fill="FFFFFF"/>
        </w:rPr>
        <w:t>。费用支出较年初预算数无增减，主要原因是2023年无因公出国（境）费用预算支出。较上年支出数无增减，主要原因是2023年为新增加单位</w:t>
      </w:r>
      <w:r>
        <w:rPr>
          <w:rFonts w:hint="default" w:ascii="Times New Roman" w:hAnsi="Times New Roman" w:eastAsia="方正仿宋_GBK" w:cs="Times New Roman"/>
          <w:sz w:val="32"/>
          <w:szCs w:val="32"/>
        </w:rPr>
        <w:t>。</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shd w:val="clear" w:color="auto" w:fill="FFFFFF"/>
        </w:rPr>
        <w:t> 公务车购置费</w:t>
      </w:r>
      <w:r>
        <w:rPr>
          <w:rFonts w:hint="default" w:ascii="Times New Roman" w:hAnsi="Times New Roman" w:eastAsia="方正仿宋_GBK" w:cs="Times New Roman"/>
          <w:sz w:val="32"/>
          <w:szCs w:val="32"/>
        </w:rPr>
        <w:t>0</w:t>
      </w:r>
      <w:r>
        <w:rPr>
          <w:rFonts w:hint="default" w:ascii="Times New Roman" w:hAnsi="Times New Roman" w:eastAsia="方正仿宋_GBK" w:cs="Times New Roman"/>
          <w:sz w:val="32"/>
          <w:szCs w:val="32"/>
          <w:shd w:val="clear" w:color="auto" w:fill="FFFFFF"/>
        </w:rPr>
        <w:t>万元</w:t>
      </w:r>
      <w:r>
        <w:rPr>
          <w:rFonts w:hint="default" w:ascii="Times New Roman" w:hAnsi="Times New Roman" w:eastAsia="方正仿宋_GBK" w:cs="Times New Roman"/>
          <w:sz w:val="32"/>
          <w:szCs w:val="32"/>
          <w:shd w:val="clear" w:color="auto" w:fill="FFFFFF"/>
          <w:lang w:eastAsia="zh-CN"/>
        </w:rPr>
        <w:t>，</w:t>
      </w:r>
      <w:r>
        <w:rPr>
          <w:rFonts w:hint="default" w:ascii="Times New Roman" w:hAnsi="Times New Roman" w:eastAsia="方正仿宋_GBK" w:cs="Times New Roman"/>
          <w:sz w:val="32"/>
          <w:szCs w:val="32"/>
          <w:shd w:val="clear" w:color="auto" w:fill="FFFFFF"/>
          <w:lang w:val="en-US" w:eastAsia="zh-CN"/>
        </w:rPr>
        <w:t>主要用于公务用车购置支出（含车辆购置税、牌照费）</w:t>
      </w:r>
      <w:r>
        <w:rPr>
          <w:rFonts w:hint="default" w:ascii="Times New Roman" w:hAnsi="Times New Roman" w:eastAsia="方正仿宋_GBK" w:cs="Times New Roman"/>
          <w:sz w:val="32"/>
          <w:szCs w:val="32"/>
          <w:shd w:val="clear" w:color="auto" w:fill="FFFFFF"/>
        </w:rPr>
        <w:t>。费用支出较年初预算数无增减，主要原因是2023年无公务车购置费预算支出。较上年支出数无增减，主要原因是2023年为新增加单位</w:t>
      </w:r>
      <w:r>
        <w:rPr>
          <w:rFonts w:hint="default" w:ascii="Times New Roman" w:hAnsi="Times New Roman" w:eastAsia="方正仿宋_GBK" w:cs="Times New Roman"/>
          <w:sz w:val="32"/>
          <w:szCs w:val="32"/>
        </w:rPr>
        <w:t>。</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cs="Times New Roman"/>
          <w:sz w:val="32"/>
          <w:szCs w:val="32"/>
          <w:shd w:val="clear" w:color="auto" w:fill="FFFFFF"/>
        </w:rPr>
        <w:t> 公务车运行维护费</w:t>
      </w:r>
      <w:r>
        <w:rPr>
          <w:rFonts w:hint="default" w:ascii="Times New Roman" w:hAnsi="Times New Roman" w:eastAsia="方正仿宋_GBK" w:cs="Times New Roman"/>
          <w:sz w:val="32"/>
          <w:szCs w:val="32"/>
        </w:rPr>
        <w:t>0</w:t>
      </w:r>
      <w:r>
        <w:rPr>
          <w:rFonts w:hint="default" w:ascii="Times New Roman" w:hAnsi="Times New Roman" w:eastAsia="方正仿宋_GBK" w:cs="Times New Roman"/>
          <w:sz w:val="32"/>
          <w:szCs w:val="32"/>
          <w:shd w:val="clear" w:color="auto" w:fill="FFFFFF"/>
        </w:rPr>
        <w:t>万元</w:t>
      </w:r>
      <w:r>
        <w:rPr>
          <w:rFonts w:hint="default" w:ascii="Times New Roman" w:hAnsi="Times New Roman" w:eastAsia="方正仿宋_GBK" w:cs="Times New Roman"/>
          <w:sz w:val="32"/>
          <w:szCs w:val="32"/>
          <w:shd w:val="clear" w:color="auto" w:fill="FFFFFF"/>
          <w:lang w:eastAsia="zh-CN"/>
        </w:rPr>
        <w:t>，</w:t>
      </w:r>
      <w:r>
        <w:rPr>
          <w:rFonts w:hint="default" w:ascii="Times New Roman" w:hAnsi="Times New Roman" w:eastAsia="方正仿宋_GBK" w:cs="Times New Roman"/>
          <w:sz w:val="32"/>
          <w:szCs w:val="32"/>
          <w:shd w:val="clear" w:color="auto" w:fill="FFFFFF"/>
          <w:lang w:val="en-US" w:eastAsia="zh-CN"/>
        </w:rPr>
        <w:t>主要用于公务用车燃油费、维修费、过桥过路费、保险费、安全奖励费用等支</w:t>
      </w:r>
      <w:r>
        <w:rPr>
          <w:rFonts w:hint="default" w:ascii="Times New Roman" w:hAnsi="Times New Roman" w:eastAsia="方正仿宋_GBK" w:cs="Times New Roman"/>
          <w:sz w:val="32"/>
          <w:szCs w:val="32"/>
          <w:shd w:val="clear" w:color="auto" w:fill="FFFFFF"/>
        </w:rPr>
        <w:t>。费用支出较年初预算数无增减，主要原因是2023年无公务车运行维护费预算支出。较上年支出数无增减，主要原因是2023年为新增加单位</w:t>
      </w:r>
      <w:r>
        <w:rPr>
          <w:rFonts w:hint="default" w:ascii="Times New Roman" w:hAnsi="Times New Roman" w:eastAsia="方正仿宋_GBK"/>
          <w:sz w:val="32"/>
          <w:szCs w:val="32"/>
        </w:rPr>
        <w:t>。</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 </w:t>
      </w:r>
      <w:bookmarkStart w:id="0" w:name="_GoBack"/>
      <w:r>
        <w:rPr>
          <w:rFonts w:hint="default" w:ascii="Times New Roman" w:hAnsi="Times New Roman" w:eastAsia="方正仿宋_GBK" w:cs="Times New Roman"/>
          <w:sz w:val="32"/>
          <w:szCs w:val="32"/>
          <w:shd w:val="clear" w:color="auto" w:fill="FFFFFF"/>
        </w:rPr>
        <w:t>公务接待费</w:t>
      </w:r>
      <w:r>
        <w:rPr>
          <w:rFonts w:hint="default" w:ascii="Times New Roman" w:hAnsi="Times New Roman" w:eastAsia="方正仿宋_GBK" w:cs="Times New Roman"/>
          <w:sz w:val="32"/>
          <w:szCs w:val="32"/>
        </w:rPr>
        <w:t>0</w:t>
      </w:r>
      <w:r>
        <w:rPr>
          <w:rFonts w:hint="default" w:ascii="Times New Roman" w:hAnsi="Times New Roman" w:eastAsia="方正仿宋_GBK" w:cs="Times New Roman"/>
          <w:sz w:val="32"/>
          <w:szCs w:val="32"/>
          <w:shd w:val="clear" w:color="auto" w:fill="FFFFFF"/>
        </w:rPr>
        <w:t>万元</w:t>
      </w:r>
      <w:r>
        <w:rPr>
          <w:rFonts w:hint="default" w:ascii="Times New Roman" w:hAnsi="Times New Roman" w:eastAsia="方正仿宋_GBK" w:cs="Times New Roman"/>
          <w:sz w:val="32"/>
          <w:szCs w:val="32"/>
          <w:shd w:val="clear" w:color="auto" w:fill="FFFFFF"/>
          <w:lang w:eastAsia="zh-CN"/>
        </w:rPr>
        <w:t>，</w:t>
      </w:r>
      <w:r>
        <w:rPr>
          <w:rFonts w:hint="default" w:ascii="Times New Roman" w:hAnsi="Times New Roman" w:eastAsia="方正仿宋_GBK" w:cs="Times New Roman"/>
          <w:sz w:val="32"/>
          <w:szCs w:val="32"/>
          <w:shd w:val="clear" w:color="auto" w:fill="FFFFFF"/>
          <w:lang w:val="en-US" w:eastAsia="zh-CN"/>
        </w:rPr>
        <w:t>主要用于按规定开支的各类公务接待（含外宾接待）费用</w:t>
      </w:r>
      <w:r>
        <w:rPr>
          <w:rFonts w:hint="default" w:ascii="Times New Roman" w:hAnsi="Times New Roman" w:eastAsia="方正仿宋_GBK" w:cs="Times New Roman"/>
          <w:sz w:val="32"/>
          <w:szCs w:val="32"/>
          <w:shd w:val="clear" w:color="auto" w:fill="FFFFFF"/>
        </w:rPr>
        <w:t>。费用支出较年初预算数无增减，主要原因是2023年无公务接待费预算支出。较上年支出数无增减，主要原因是2023年为新增加单位</w:t>
      </w:r>
      <w:bookmarkEnd w:id="0"/>
      <w:r>
        <w:rPr>
          <w:rFonts w:hint="default" w:ascii="Times New Roman" w:hAnsi="Times New Roman" w:eastAsia="方正仿宋_GBK"/>
          <w:sz w:val="32"/>
          <w:szCs w:val="32"/>
          <w:shd w:val="clear" w:color="auto" w:fill="FFFFFF"/>
        </w:rPr>
        <w:t>。</w:t>
      </w:r>
    </w:p>
    <w:p>
      <w:pPr>
        <w:pStyle w:val="11"/>
        <w:autoSpaceDE w:val="0"/>
        <w:spacing w:line="594" w:lineRule="exact"/>
        <w:ind w:firstLine="640"/>
        <w:rPr>
          <w:rFonts w:hint="eastAsia" w:ascii="方正楷体_GBK" w:hAnsi="Times New Roman" w:eastAsia="方正楷体_GBK"/>
          <w:bCs/>
          <w:sz w:val="32"/>
          <w:szCs w:val="32"/>
          <w:shd w:val="clear" w:color="auto" w:fill="FFFFFF"/>
        </w:rPr>
      </w:pPr>
      <w:r>
        <w:rPr>
          <w:rFonts w:hint="eastAsia" w:ascii="方正楷体_GBK" w:hAnsi="Times New Roman" w:eastAsia="方正楷体_GBK"/>
          <w:bCs/>
          <w:sz w:val="32"/>
          <w:szCs w:val="32"/>
          <w:shd w:val="clear" w:color="auto" w:fill="FFFFFF"/>
        </w:rPr>
        <w:t>（三）“三公”经费实物量情况</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2023年度本单位因公出国（境）共计</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个团组，</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人；公务用车购置</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辆，公务车保有量为</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辆；国内公务接待</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批次</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人，其中：国内外事接待</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批次，</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人；国（境）外公务接待</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批次，</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人。2023年本单位人均接待费</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元，车均购置费</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万元，车均维护费</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w:t>
      </w:r>
    </w:p>
    <w:p>
      <w:pPr>
        <w:pStyle w:val="6"/>
        <w:shd w:val="clear" w:color="auto" w:fill="FFFFFF"/>
        <w:spacing w:before="0" w:beforeAutospacing="0" w:after="0" w:afterAutospacing="0" w:line="594" w:lineRule="exact"/>
        <w:ind w:firstLine="640" w:firstLineChars="200"/>
        <w:rPr>
          <w:rStyle w:val="8"/>
          <w:rFonts w:ascii="方正黑体_GBK" w:hAnsi="Times New Roman" w:eastAsia="方正黑体_GBK"/>
          <w:b w:val="0"/>
          <w:sz w:val="32"/>
          <w:szCs w:val="32"/>
          <w:shd w:val="clear" w:color="auto" w:fill="FFFFFF"/>
        </w:rPr>
      </w:pPr>
      <w:r>
        <w:rPr>
          <w:rStyle w:val="8"/>
          <w:rFonts w:ascii="方正黑体_GBK" w:hAnsi="Times New Roman" w:eastAsia="方正黑体_GBK"/>
          <w:b w:val="0"/>
          <w:sz w:val="32"/>
          <w:szCs w:val="32"/>
          <w:shd w:val="clear" w:color="auto" w:fill="FFFFFF"/>
        </w:rPr>
        <w:t>四、其他需要说明的事项</w:t>
      </w:r>
    </w:p>
    <w:p>
      <w:pPr>
        <w:pStyle w:val="11"/>
        <w:autoSpaceDE w:val="0"/>
        <w:spacing w:line="594" w:lineRule="exact"/>
        <w:ind w:firstLine="640"/>
        <w:rPr>
          <w:rStyle w:val="8"/>
          <w:rFonts w:ascii="方正楷体_GBK" w:eastAsia="方正楷体_GBK"/>
          <w:b w:val="0"/>
          <w:sz w:val="32"/>
          <w:szCs w:val="32"/>
        </w:rPr>
      </w:pPr>
      <w:r>
        <w:rPr>
          <w:rStyle w:val="8"/>
          <w:rFonts w:hint="eastAsia" w:ascii="方正楷体_GBK" w:eastAsia="方正楷体_GBK"/>
          <w:b w:val="0"/>
          <w:sz w:val="32"/>
          <w:szCs w:val="32"/>
        </w:rPr>
        <w:t>（一）财政拨款会议费和培训费情况说明</w:t>
      </w:r>
    </w:p>
    <w:p>
      <w:pPr>
        <w:pStyle w:val="11"/>
        <w:autoSpaceDE w:val="0"/>
        <w:spacing w:line="594" w:lineRule="exact"/>
        <w:ind w:firstLine="640"/>
        <w:rPr>
          <w:rFonts w:ascii="Times New Roman" w:hAnsi="Times New Roman" w:eastAsia="楷体"/>
          <w:bCs/>
          <w:sz w:val="32"/>
          <w:szCs w:val="32"/>
          <w:shd w:val="clear" w:color="auto" w:fill="FFFFFF"/>
        </w:rPr>
      </w:pPr>
      <w:r>
        <w:rPr>
          <w:rFonts w:ascii="Times New Roman" w:hAnsi="Times New Roman" w:eastAsia="方正仿宋_GBK"/>
          <w:sz w:val="32"/>
          <w:szCs w:val="32"/>
          <w:shd w:val="clear" w:color="auto" w:fill="FFFFFF"/>
        </w:rPr>
        <w:t>本年度会议费支出</w:t>
      </w:r>
      <w:r>
        <w:rPr>
          <w:rFonts w:ascii="Times New Roman" w:hAnsi="Times New Roman" w:eastAsia="方正仿宋_GBK"/>
          <w:sz w:val="32"/>
          <w:szCs w:val="32"/>
        </w:rPr>
        <w:t>0</w:t>
      </w:r>
      <w:r>
        <w:rPr>
          <w:rFonts w:ascii="Times New Roman" w:hAnsi="Times New Roman" w:eastAsia="方正仿宋_GBK"/>
          <w:sz w:val="32"/>
          <w:szCs w:val="32"/>
          <w:shd w:val="clear" w:color="auto" w:fill="FFFFFF"/>
        </w:rPr>
        <w:t>万元，较上年决算数无增减，主要原因是2023年为新增加单位</w:t>
      </w:r>
      <w:r>
        <w:rPr>
          <w:rFonts w:ascii="Times New Roman" w:hAnsi="Times New Roman" w:eastAsia="方正仿宋_GBK"/>
          <w:sz w:val="32"/>
          <w:szCs w:val="32"/>
        </w:rPr>
        <w:t>。</w:t>
      </w:r>
      <w:r>
        <w:rPr>
          <w:rFonts w:ascii="Times New Roman" w:hAnsi="Times New Roman" w:eastAsia="方正仿宋_GBK"/>
          <w:sz w:val="32"/>
          <w:szCs w:val="32"/>
          <w:shd w:val="clear" w:color="auto" w:fill="FFFFFF"/>
        </w:rPr>
        <w:t>本年度培训费支出</w:t>
      </w:r>
      <w:r>
        <w:rPr>
          <w:rFonts w:ascii="Times New Roman" w:hAnsi="Times New Roman" w:eastAsia="方正仿宋_GBK"/>
          <w:sz w:val="32"/>
          <w:szCs w:val="32"/>
        </w:rPr>
        <w:t>0</w:t>
      </w:r>
      <w:r>
        <w:rPr>
          <w:rFonts w:ascii="Times New Roman" w:hAnsi="Times New Roman" w:eastAsia="方正仿宋_GBK"/>
          <w:sz w:val="32"/>
          <w:szCs w:val="32"/>
          <w:shd w:val="clear" w:color="auto" w:fill="FFFFFF"/>
        </w:rPr>
        <w:t>万元，较上年决算数无变化，主要原因是2023年为新增加单位。</w:t>
      </w:r>
    </w:p>
    <w:p>
      <w:pPr>
        <w:pStyle w:val="11"/>
        <w:autoSpaceDE w:val="0"/>
        <w:spacing w:line="594" w:lineRule="exact"/>
        <w:ind w:firstLine="640"/>
        <w:rPr>
          <w:rStyle w:val="8"/>
          <w:rFonts w:ascii="方正楷体_GBK" w:eastAsia="方正楷体_GBK"/>
          <w:b w:val="0"/>
          <w:sz w:val="32"/>
          <w:szCs w:val="32"/>
        </w:rPr>
      </w:pPr>
      <w:r>
        <w:rPr>
          <w:rStyle w:val="8"/>
          <w:rFonts w:hint="eastAsia" w:ascii="方正楷体_GBK" w:eastAsia="方正楷体_GBK"/>
          <w:b w:val="0"/>
          <w:sz w:val="32"/>
          <w:szCs w:val="32"/>
        </w:rPr>
        <w:t>（二）机关运行经费情况说明</w:t>
      </w:r>
    </w:p>
    <w:p>
      <w:pPr>
        <w:pStyle w:val="11"/>
        <w:autoSpaceDE w:val="0"/>
        <w:spacing w:line="594" w:lineRule="exact"/>
        <w:ind w:firstLine="64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2023年度</w:t>
      </w:r>
      <w:r>
        <w:rPr>
          <w:rFonts w:hint="eastAsia" w:ascii="Times New Roman" w:hAnsi="Times New Roman" w:eastAsia="方正仿宋_GBK"/>
          <w:sz w:val="32"/>
          <w:szCs w:val="32"/>
          <w:shd w:val="clear" w:color="auto" w:fill="FFFFFF"/>
          <w:lang w:eastAsia="zh-CN"/>
        </w:rPr>
        <w:t>本单位</w:t>
      </w:r>
      <w:r>
        <w:rPr>
          <w:rFonts w:ascii="Times New Roman" w:hAnsi="Times New Roman" w:eastAsia="方正仿宋_GBK"/>
          <w:sz w:val="32"/>
          <w:szCs w:val="32"/>
          <w:shd w:val="clear" w:color="auto" w:fill="FFFFFF"/>
        </w:rPr>
        <w:t>机关运行经费支出</w:t>
      </w:r>
      <w:r>
        <w:rPr>
          <w:rFonts w:ascii="Times New Roman" w:hAnsi="Times New Roman" w:eastAsia="方正仿宋_GBK"/>
          <w:sz w:val="32"/>
          <w:szCs w:val="32"/>
        </w:rPr>
        <w:t>0</w:t>
      </w:r>
      <w:r>
        <w:rPr>
          <w:rFonts w:ascii="Times New Roman" w:hAnsi="Times New Roman" w:eastAsia="方正仿宋_GBK"/>
          <w:sz w:val="32"/>
          <w:szCs w:val="32"/>
          <w:shd w:val="clear" w:color="auto" w:fill="FFFFFF"/>
        </w:rPr>
        <w:t>万元。机关运行经费较上年支出数无增减，主要原因是2023年为新增加单位。</w:t>
      </w:r>
    </w:p>
    <w:p>
      <w:pPr>
        <w:pStyle w:val="11"/>
        <w:autoSpaceDE w:val="0"/>
        <w:spacing w:line="594" w:lineRule="exact"/>
        <w:ind w:firstLine="640"/>
        <w:rPr>
          <w:rFonts w:ascii="Times New Roman" w:hAnsi="Times New Roman" w:eastAsia="楷体"/>
          <w:bCs/>
          <w:sz w:val="32"/>
          <w:szCs w:val="32"/>
          <w:shd w:val="clear" w:color="auto" w:fill="FFFFFF"/>
        </w:rPr>
      </w:pPr>
      <w:r>
        <w:rPr>
          <w:rStyle w:val="8"/>
          <w:rFonts w:hint="eastAsia" w:ascii="方正楷体_GBK" w:eastAsia="方正楷体_GBK"/>
          <w:b w:val="0"/>
          <w:sz w:val="32"/>
          <w:szCs w:val="32"/>
        </w:rPr>
        <w:t>（三）国有资产占用情况说明</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截至2023年12月31日，本单位共有车辆</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辆，其中，副部（省）级及以上领导用车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辆、主要负责人用车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辆、机要通信用车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辆、应急保障用车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辆、执法执勤用车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辆，特种专业技术用车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辆，离退休干部用车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辆。单价100万元（含）以上专用设备</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台（套）。</w:t>
      </w:r>
    </w:p>
    <w:p>
      <w:pPr>
        <w:pStyle w:val="11"/>
        <w:autoSpaceDE w:val="0"/>
        <w:spacing w:line="594" w:lineRule="exact"/>
        <w:ind w:firstLine="640"/>
        <w:rPr>
          <w:rStyle w:val="8"/>
          <w:rFonts w:ascii="方正楷体_GBK" w:eastAsia="方正楷体_GBK"/>
          <w:b w:val="0"/>
          <w:sz w:val="32"/>
          <w:szCs w:val="32"/>
        </w:rPr>
      </w:pPr>
      <w:r>
        <w:rPr>
          <w:rStyle w:val="8"/>
          <w:rFonts w:hint="eastAsia" w:ascii="方正楷体_GBK" w:eastAsia="方正楷体_GBK"/>
          <w:b w:val="0"/>
          <w:sz w:val="32"/>
          <w:szCs w:val="32"/>
        </w:rPr>
        <w:t>（四）政府采购支出情况说明</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shd w:val="clear" w:color="auto" w:fill="FFFFFF"/>
        </w:rPr>
      </w:pPr>
      <w:r>
        <w:rPr>
          <w:rFonts w:hint="default" w:ascii="Times New Roman" w:hAnsi="Times New Roman" w:eastAsia="方正仿宋_GBK"/>
          <w:sz w:val="32"/>
          <w:szCs w:val="32"/>
          <w:shd w:val="clear" w:color="auto" w:fill="FFFFFF"/>
        </w:rPr>
        <w:t xml:space="preserve"> 2023年度我单位未发生政府采购事项，无相关经费支出。</w:t>
      </w:r>
    </w:p>
    <w:p>
      <w:pPr>
        <w:pStyle w:val="6"/>
        <w:snapToGrid w:val="0"/>
        <w:spacing w:before="0" w:beforeAutospacing="0" w:after="0" w:afterAutospacing="0" w:line="594" w:lineRule="exact"/>
        <w:ind w:firstLine="643" w:firstLineChars="200"/>
        <w:jc w:val="both"/>
        <w:rPr>
          <w:rStyle w:val="8"/>
          <w:rFonts w:ascii="方正黑体_GBK" w:hAnsi="Times New Roman" w:eastAsia="方正黑体_GBK"/>
          <w:b w:val="0"/>
          <w:sz w:val="32"/>
          <w:szCs w:val="32"/>
          <w:shd w:val="clear" w:color="auto" w:fill="FFFFFF"/>
        </w:rPr>
      </w:pPr>
      <w:r>
        <w:rPr>
          <w:rFonts w:ascii="方正黑体_GBK" w:hAnsi="Times New Roman" w:eastAsia="方正黑体_GBK"/>
          <w:b/>
          <w:sz w:val="32"/>
          <w:szCs w:val="32"/>
          <w:shd w:val="clear" w:color="auto" w:fill="FFFFFF"/>
        </w:rPr>
        <w:t>五、</w:t>
      </w:r>
      <w:r>
        <w:rPr>
          <w:rStyle w:val="8"/>
          <w:rFonts w:ascii="方正黑体_GBK" w:hAnsi="Times New Roman" w:eastAsia="方正黑体_GBK"/>
          <w:b w:val="0"/>
          <w:sz w:val="32"/>
          <w:szCs w:val="32"/>
          <w:shd w:val="clear" w:color="auto" w:fill="FFFFFF"/>
        </w:rPr>
        <w:t>预算绩效管理情况说明</w:t>
      </w:r>
    </w:p>
    <w:p>
      <w:pPr>
        <w:pStyle w:val="11"/>
        <w:autoSpaceDE w:val="0"/>
        <w:spacing w:line="594" w:lineRule="exact"/>
        <w:ind w:firstLine="640"/>
        <w:rPr>
          <w:rStyle w:val="8"/>
          <w:rFonts w:ascii="方正楷体_GBK" w:eastAsia="方正楷体_GBK"/>
          <w:b w:val="0"/>
          <w:sz w:val="32"/>
          <w:szCs w:val="32"/>
        </w:rPr>
      </w:pPr>
      <w:r>
        <w:rPr>
          <w:rStyle w:val="8"/>
          <w:rFonts w:hint="eastAsia" w:ascii="方正楷体_GBK" w:eastAsia="方正楷体_GBK"/>
          <w:b w:val="0"/>
          <w:sz w:val="32"/>
          <w:szCs w:val="32"/>
        </w:rPr>
        <w:t>（一）单位自评情况</w:t>
      </w:r>
    </w:p>
    <w:p>
      <w:pPr>
        <w:pStyle w:val="12"/>
        <w:autoSpaceDE w:val="0"/>
        <w:spacing w:before="0" w:beforeAutospacing="0" w:after="0" w:afterAutospacing="0" w:line="594" w:lineRule="exact"/>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lang w:bidi="ar"/>
        </w:rPr>
        <w:t>根据预算绩效管理要求，我单位无部门整体、一级项目、二级项目绩效自评，涉及财政拨款项目支出资金0万元</w:t>
      </w:r>
      <w:r>
        <w:rPr>
          <w:rFonts w:ascii="Times New Roman" w:hAnsi="Times New Roman" w:eastAsia="方正仿宋_GBK"/>
          <w:sz w:val="32"/>
          <w:szCs w:val="32"/>
          <w:shd w:val="clear" w:color="auto" w:fill="FFFFFF"/>
        </w:rPr>
        <w:t>。</w:t>
      </w:r>
    </w:p>
    <w:p>
      <w:pPr>
        <w:pStyle w:val="11"/>
        <w:autoSpaceDE w:val="0"/>
        <w:spacing w:line="594" w:lineRule="exact"/>
        <w:ind w:firstLine="640"/>
        <w:rPr>
          <w:rStyle w:val="8"/>
          <w:rFonts w:ascii="方正楷体_GBK" w:eastAsia="方正楷体_GBK"/>
          <w:b w:val="0"/>
          <w:sz w:val="32"/>
          <w:szCs w:val="32"/>
        </w:rPr>
      </w:pPr>
      <w:r>
        <w:rPr>
          <w:rStyle w:val="8"/>
          <w:rFonts w:hint="eastAsia" w:ascii="方正楷体_GBK" w:eastAsia="方正楷体_GBK"/>
          <w:b w:val="0"/>
          <w:sz w:val="32"/>
          <w:szCs w:val="32"/>
        </w:rPr>
        <w:t>（二）单位绩效评价情况</w:t>
      </w:r>
    </w:p>
    <w:p>
      <w:pPr>
        <w:pStyle w:val="14"/>
        <w:autoSpaceDE w:val="0"/>
        <w:spacing w:line="594" w:lineRule="exact"/>
        <w:ind w:firstLine="640"/>
        <w:rPr>
          <w:rFonts w:ascii="Times New Roman" w:hAnsi="Times New Roman" w:eastAsia="方正仿宋_GBK"/>
          <w:sz w:val="32"/>
          <w:szCs w:val="32"/>
          <w:shd w:val="clear" w:color="auto" w:fill="FFFFFF"/>
        </w:rPr>
      </w:pPr>
      <w:r>
        <w:rPr>
          <w:rFonts w:ascii="Times New Roman" w:hAnsi="Times New Roman" w:eastAsia="方正仿宋_GBK"/>
          <w:bCs/>
          <w:sz w:val="32"/>
          <w:szCs w:val="32"/>
        </w:rPr>
        <w:t>我单位未组织开展绩效评价。</w:t>
      </w:r>
    </w:p>
    <w:p>
      <w:pPr>
        <w:pStyle w:val="11"/>
        <w:autoSpaceDE w:val="0"/>
        <w:spacing w:line="594" w:lineRule="exact"/>
        <w:ind w:firstLine="640"/>
        <w:rPr>
          <w:rStyle w:val="8"/>
          <w:rFonts w:ascii="方正楷体_GBK" w:eastAsia="方正楷体_GBK"/>
          <w:b w:val="0"/>
          <w:sz w:val="32"/>
          <w:szCs w:val="32"/>
        </w:rPr>
      </w:pPr>
      <w:r>
        <w:rPr>
          <w:rStyle w:val="8"/>
          <w:rFonts w:hint="eastAsia" w:ascii="方正楷体_GBK" w:eastAsia="方正楷体_GBK"/>
          <w:b w:val="0"/>
          <w:sz w:val="32"/>
          <w:szCs w:val="32"/>
        </w:rPr>
        <w:t>（三）财政绩效评价情况</w:t>
      </w:r>
    </w:p>
    <w:p>
      <w:pPr>
        <w:pStyle w:val="11"/>
        <w:autoSpaceDE w:val="0"/>
        <w:spacing w:line="594" w:lineRule="exact"/>
        <w:ind w:firstLine="640"/>
        <w:rPr>
          <w:rFonts w:ascii="Times New Roman" w:hAnsi="Times New Roman" w:eastAsia="方正仿宋_GBK"/>
          <w:sz w:val="32"/>
          <w:szCs w:val="32"/>
          <w:shd w:val="clear" w:color="auto" w:fill="FFFFFF"/>
        </w:rPr>
      </w:pPr>
      <w:r>
        <w:rPr>
          <w:rFonts w:ascii="Times New Roman" w:hAnsi="Times New Roman" w:eastAsia="方正仿宋_GBK"/>
          <w:bCs/>
          <w:sz w:val="32"/>
          <w:szCs w:val="32"/>
          <w:shd w:val="clear" w:color="auto" w:fill="FFFFFF"/>
        </w:rPr>
        <w:t>县财政局未委托第三方对我单位开展绩效评价。</w:t>
      </w:r>
    </w:p>
    <w:p>
      <w:pPr>
        <w:pStyle w:val="6"/>
        <w:shd w:val="clear" w:color="auto" w:fill="FFFFFF"/>
        <w:spacing w:before="0" w:beforeAutospacing="0" w:after="0" w:afterAutospacing="0" w:line="594" w:lineRule="exact"/>
        <w:ind w:firstLine="640" w:firstLineChars="200"/>
        <w:rPr>
          <w:rStyle w:val="8"/>
          <w:rFonts w:ascii="方正黑体_GBK" w:hAnsi="Times New Roman" w:eastAsia="方正黑体_GBK"/>
          <w:b w:val="0"/>
          <w:sz w:val="32"/>
          <w:szCs w:val="32"/>
          <w:shd w:val="clear" w:color="auto" w:fill="FFFFFF"/>
        </w:rPr>
      </w:pPr>
      <w:r>
        <w:rPr>
          <w:rStyle w:val="8"/>
          <w:rFonts w:ascii="方正黑体_GBK" w:hAnsi="Times New Roman" w:eastAsia="方正黑体_GBK"/>
          <w:b w:val="0"/>
          <w:sz w:val="32"/>
          <w:szCs w:val="32"/>
          <w:shd w:val="clear" w:color="auto" w:fill="FFFFFF"/>
        </w:rPr>
        <w:t>  六、专业名词解释</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shd w:val="clear" w:color="auto" w:fill="FFFFFF"/>
        </w:rPr>
      </w:pPr>
      <w:r>
        <w:rPr>
          <w:rStyle w:val="8"/>
          <w:rFonts w:ascii="方正楷体_GBK" w:eastAsia="方正楷体_GBK"/>
          <w:b w:val="0"/>
          <w:sz w:val="32"/>
          <w:szCs w:val="32"/>
        </w:rPr>
        <w:t>（一）财政拨款收入：</w:t>
      </w:r>
      <w:r>
        <w:rPr>
          <w:rFonts w:hint="default" w:ascii="Times New Roman" w:hAnsi="Times New Roman" w:eastAsia="方正仿宋_GBK"/>
          <w:sz w:val="32"/>
          <w:szCs w:val="32"/>
          <w:shd w:val="clear" w:color="auto" w:fill="FFFFFF"/>
        </w:rPr>
        <w:t>指本年度从本级财政部门取得的财政拨款，包括一般公共预算财政拨款和政府性基金预算财政拨款。</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hint="default" w:ascii="方正楷体_GBK" w:hAnsi="Times New Roman" w:eastAsia="方正楷体_GBK"/>
          <w:b w:val="0"/>
          <w:sz w:val="32"/>
          <w:szCs w:val="32"/>
          <w:shd w:val="clear" w:color="auto" w:fill="FFFFFF"/>
        </w:rPr>
        <w:t>（二）事业收入</w:t>
      </w:r>
      <w:r>
        <w:rPr>
          <w:rStyle w:val="8"/>
          <w:rFonts w:ascii="方正楷体_GBK" w:eastAsia="方正楷体_GBK"/>
          <w:b w:val="0"/>
        </w:rPr>
        <w:t>：</w:t>
      </w:r>
      <w:r>
        <w:rPr>
          <w:rFonts w:hint="default" w:ascii="Times New Roman" w:hAnsi="Times New Roman" w:eastAsia="方正仿宋_GBK"/>
          <w:sz w:val="32"/>
          <w:szCs w:val="32"/>
          <w:shd w:val="clear" w:color="auto" w:fill="FFFFFF"/>
        </w:rPr>
        <w:t>指事业单位开展专业业务活动及其辅助活动取得的现金流入；事业单位收到的财政专户实际核拨的教育收费等资金在此反映。</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hint="default" w:ascii="方正楷体_GBK" w:hAnsi="Times New Roman" w:eastAsia="方正楷体_GBK"/>
          <w:b w:val="0"/>
          <w:sz w:val="32"/>
          <w:szCs w:val="32"/>
          <w:shd w:val="clear" w:color="auto" w:fill="FFFFFF"/>
        </w:rPr>
        <w:t>（三）经营收入</w:t>
      </w:r>
      <w:r>
        <w:rPr>
          <w:rStyle w:val="8"/>
          <w:rFonts w:ascii="方正楷体_GBK" w:eastAsia="方正楷体_GBK"/>
          <w:b w:val="0"/>
        </w:rPr>
        <w:t>：</w:t>
      </w:r>
      <w:r>
        <w:rPr>
          <w:rFonts w:hint="default" w:ascii="Times New Roman" w:hAnsi="Times New Roman" w:eastAsia="方正仿宋_GBK"/>
          <w:sz w:val="32"/>
          <w:szCs w:val="32"/>
          <w:shd w:val="clear" w:color="auto" w:fill="FFFFFF"/>
        </w:rPr>
        <w:t>指事业单位在专业业务活动及其辅助活动之外开展非独立核算经营活动取得的现金流入。</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hint="default" w:ascii="方正楷体_GBK" w:hAnsi="Times New Roman" w:eastAsia="方正楷体_GBK"/>
          <w:b w:val="0"/>
          <w:sz w:val="32"/>
          <w:szCs w:val="32"/>
          <w:shd w:val="clear" w:color="auto" w:fill="FFFFFF"/>
        </w:rPr>
        <w:t>（四）其他收入</w:t>
      </w:r>
      <w:r>
        <w:rPr>
          <w:rStyle w:val="8"/>
          <w:rFonts w:ascii="方正楷体_GBK" w:eastAsia="方正楷体_GBK"/>
          <w:b w:val="0"/>
        </w:rPr>
        <w:t>：</w:t>
      </w:r>
      <w:r>
        <w:rPr>
          <w:rFonts w:hint="default" w:ascii="Times New Roman" w:hAnsi="Times New Roman" w:eastAsia="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ascii="方正楷体_GBK" w:hAnsi="Times New Roman" w:eastAsia="方正楷体_GBK"/>
          <w:b w:val="0"/>
          <w:sz w:val="32"/>
          <w:szCs w:val="32"/>
          <w:shd w:val="clear" w:color="auto" w:fill="FFFFFF"/>
        </w:rPr>
        <w:t>（五）使用非财政拨款结余</w:t>
      </w:r>
      <w:r>
        <w:rPr>
          <w:rFonts w:ascii="方正楷体_GBK" w:hAnsi="Times New Roman" w:eastAsia="方正楷体_GBK"/>
          <w:b/>
          <w:sz w:val="32"/>
          <w:szCs w:val="32"/>
          <w:shd w:val="clear" w:color="auto" w:fill="FFFFFF"/>
        </w:rPr>
        <w:t>：</w:t>
      </w:r>
      <w:r>
        <w:rPr>
          <w:rFonts w:hint="default" w:ascii="Times New Roman" w:hAnsi="Times New Roman" w:eastAsia="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hint="default" w:ascii="方正楷体_GBK" w:hAnsi="Times New Roman" w:eastAsia="方正楷体_GBK"/>
          <w:b w:val="0"/>
          <w:sz w:val="32"/>
          <w:szCs w:val="32"/>
          <w:shd w:val="clear" w:color="auto" w:fill="FFFFFF"/>
        </w:rPr>
        <w:t>（六）年初结转和结余</w:t>
      </w:r>
      <w:r>
        <w:rPr>
          <w:rStyle w:val="8"/>
          <w:rFonts w:ascii="方正楷体_GBK" w:eastAsia="方正楷体_GBK"/>
          <w:b w:val="0"/>
        </w:rPr>
        <w:t>：</w:t>
      </w:r>
      <w:r>
        <w:rPr>
          <w:rFonts w:hint="default" w:ascii="Times New Roman" w:hAnsi="Times New Roman" w:eastAsia="方正仿宋_GBK"/>
          <w:sz w:val="32"/>
          <w:szCs w:val="32"/>
          <w:shd w:val="clear" w:color="auto" w:fill="FFFFFF"/>
        </w:rPr>
        <w:t>指单位上年结转本年使用的基本支出结转、项目支出结转和结余、经营结余。</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hint="default" w:ascii="方正楷体_GBK" w:hAnsi="Times New Roman" w:eastAsia="方正楷体_GBK"/>
          <w:b w:val="0"/>
          <w:sz w:val="32"/>
          <w:szCs w:val="32"/>
          <w:shd w:val="clear" w:color="auto" w:fill="FFFFFF"/>
        </w:rPr>
        <w:t>（七）结余分配</w:t>
      </w:r>
      <w:r>
        <w:rPr>
          <w:rStyle w:val="8"/>
          <w:rFonts w:ascii="方正楷体_GBK" w:eastAsia="方正楷体_GBK"/>
          <w:b w:val="0"/>
        </w:rPr>
        <w:t>：</w:t>
      </w:r>
      <w:r>
        <w:rPr>
          <w:rFonts w:hint="default" w:ascii="Times New Roman" w:hAnsi="Times New Roman" w:eastAsia="方正仿宋_GBK"/>
          <w:sz w:val="32"/>
          <w:szCs w:val="32"/>
          <w:shd w:val="clear" w:color="auto" w:fill="FFFFFF"/>
        </w:rPr>
        <w:t>指单位按照国家有关规定，缴纳所得税、提取专用基金、转入非财政拨款结余等当年结余的分配情况。</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hint="default" w:ascii="Times New Roman" w:hAnsi="Times New Roman" w:eastAsia="楷体"/>
          <w:b w:val="0"/>
          <w:sz w:val="32"/>
          <w:szCs w:val="32"/>
          <w:shd w:val="clear" w:color="auto" w:fill="FFFFFF"/>
        </w:rPr>
        <w:t>（八）年末结转和结余</w:t>
      </w:r>
      <w:r>
        <w:rPr>
          <w:rFonts w:hint="default" w:ascii="Times New Roman" w:hAnsi="Times New Roman" w:eastAsia="楷体"/>
          <w:b/>
          <w:sz w:val="32"/>
          <w:szCs w:val="32"/>
          <w:shd w:val="clear" w:color="auto" w:fill="FFFFFF"/>
        </w:rPr>
        <w:t>：</w:t>
      </w:r>
      <w:r>
        <w:rPr>
          <w:rFonts w:hint="default" w:ascii="Times New Roman" w:hAnsi="Times New Roman" w:eastAsia="方正仿宋_GBK"/>
          <w:sz w:val="32"/>
          <w:szCs w:val="32"/>
          <w:shd w:val="clear" w:color="auto" w:fill="FFFFFF"/>
        </w:rPr>
        <w:t>指单位结转下年的基本支出结转、项目支出结转和结余、经营结余。</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hint="default" w:ascii="Times New Roman" w:hAnsi="Times New Roman" w:eastAsia="楷体"/>
          <w:b w:val="0"/>
          <w:sz w:val="32"/>
          <w:szCs w:val="32"/>
          <w:shd w:val="clear" w:color="auto" w:fill="FFFFFF"/>
        </w:rPr>
        <w:t>（九）基本支出</w:t>
      </w:r>
      <w:r>
        <w:rPr>
          <w:rFonts w:hint="default" w:ascii="Times New Roman" w:hAnsi="Times New Roman" w:eastAsia="楷体"/>
          <w:b/>
          <w:sz w:val="32"/>
          <w:szCs w:val="32"/>
          <w:shd w:val="clear" w:color="auto" w:fill="FFFFFF"/>
        </w:rPr>
        <w:t>：</w:t>
      </w:r>
      <w:r>
        <w:rPr>
          <w:rFonts w:hint="default" w:ascii="Times New Roman" w:hAnsi="Times New Roman" w:eastAsia="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ascii="方正楷体_GBK" w:hAnsi="Times New Roman" w:eastAsia="方正楷体_GBK"/>
          <w:b w:val="0"/>
          <w:sz w:val="32"/>
          <w:szCs w:val="32"/>
          <w:shd w:val="clear" w:color="auto" w:fill="FFFFFF"/>
        </w:rPr>
        <w:t>（十</w:t>
      </w:r>
      <w:r>
        <w:rPr>
          <w:rStyle w:val="8"/>
          <w:rFonts w:hint="default" w:ascii="方正楷体_GBK" w:hAnsi="Times New Roman" w:eastAsia="方正楷体_GBK"/>
          <w:b w:val="0"/>
          <w:sz w:val="32"/>
          <w:szCs w:val="32"/>
          <w:shd w:val="clear" w:color="auto" w:fill="FFFFFF"/>
        </w:rPr>
        <w:t>）项目支出</w:t>
      </w:r>
      <w:r>
        <w:rPr>
          <w:rStyle w:val="8"/>
          <w:rFonts w:ascii="方正楷体_GBK" w:eastAsia="方正楷体_GBK"/>
        </w:rPr>
        <w:t>：</w:t>
      </w:r>
      <w:r>
        <w:rPr>
          <w:rFonts w:hint="default" w:ascii="Times New Roman" w:hAnsi="Times New Roman" w:eastAsia="方正仿宋_GBK"/>
          <w:sz w:val="32"/>
          <w:szCs w:val="32"/>
          <w:shd w:val="clear" w:color="auto" w:fill="FFFFFF"/>
        </w:rPr>
        <w:t>指在基本支出之外为完成特定行政任务和事业发展目标所发生的支出。</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ascii="方正楷体_GBK" w:hAnsi="Times New Roman" w:eastAsia="方正楷体_GBK"/>
          <w:b w:val="0"/>
          <w:sz w:val="32"/>
          <w:szCs w:val="32"/>
          <w:shd w:val="clear" w:color="auto" w:fill="FFFFFF"/>
        </w:rPr>
        <w:t>（十一）经营支出</w:t>
      </w:r>
      <w:r>
        <w:rPr>
          <w:rFonts w:ascii="方正楷体_GBK" w:hAnsi="Times New Roman" w:eastAsia="方正楷体_GBK"/>
          <w:b/>
          <w:sz w:val="32"/>
          <w:szCs w:val="32"/>
          <w:shd w:val="clear" w:color="auto" w:fill="FFFFFF"/>
        </w:rPr>
        <w:t>：</w:t>
      </w:r>
      <w:r>
        <w:rPr>
          <w:rFonts w:hint="default" w:ascii="Times New Roman" w:hAnsi="Times New Roman" w:eastAsia="方正仿宋_GBK"/>
          <w:sz w:val="32"/>
          <w:szCs w:val="32"/>
          <w:shd w:val="clear" w:color="auto" w:fill="FFFFFF"/>
        </w:rPr>
        <w:t>指事业单位在专业业务活动及其辅助活动之外开展非独立核算经营活动发生的支出。</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ascii="方正楷体_GBK" w:hAnsi="Times New Roman" w:eastAsia="方正楷体_GBK"/>
          <w:b w:val="0"/>
          <w:sz w:val="32"/>
          <w:szCs w:val="32"/>
          <w:shd w:val="clear" w:color="auto" w:fill="FFFFFF"/>
        </w:rPr>
        <w:t>（十二）“三公”经费</w:t>
      </w:r>
      <w:r>
        <w:rPr>
          <w:rFonts w:ascii="方正楷体_GBK" w:hAnsi="Times New Roman" w:eastAsia="方正楷体_GBK"/>
          <w:b/>
          <w:sz w:val="32"/>
          <w:szCs w:val="32"/>
          <w:shd w:val="clear" w:color="auto" w:fill="FFFFFF"/>
        </w:rPr>
        <w:t>：</w:t>
      </w:r>
      <w:r>
        <w:rPr>
          <w:rFonts w:hint="default" w:ascii="Times New Roman" w:hAnsi="Times New Roman" w:eastAsia="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ascii="方正楷体_GBK" w:hAnsi="Times New Roman" w:eastAsia="方正楷体_GBK"/>
          <w:b w:val="0"/>
          <w:sz w:val="32"/>
          <w:szCs w:val="32"/>
          <w:shd w:val="clear" w:color="auto" w:fill="FFFFFF"/>
        </w:rPr>
        <w:t>（十三）机关运行经费</w:t>
      </w:r>
      <w:r>
        <w:rPr>
          <w:rFonts w:ascii="方正楷体_GBK" w:hAnsi="Times New Roman" w:eastAsia="方正楷体_GBK"/>
          <w:b/>
          <w:sz w:val="32"/>
          <w:szCs w:val="32"/>
          <w:shd w:val="clear" w:color="auto" w:fill="FFFFFF"/>
        </w:rPr>
        <w:t>：</w:t>
      </w:r>
      <w:r>
        <w:rPr>
          <w:rFonts w:hint="default" w:ascii="Times New Roman" w:hAnsi="Times New Roman" w:eastAsia="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ascii="方正楷体_GBK" w:hAnsi="Times New Roman" w:eastAsia="方正楷体_GBK"/>
          <w:b w:val="0"/>
          <w:sz w:val="32"/>
          <w:szCs w:val="32"/>
          <w:shd w:val="clear" w:color="auto" w:fill="FFFFFF"/>
        </w:rPr>
        <w:t>（十四）工资福利支出（支出经济分类科目类级）</w:t>
      </w:r>
      <w:r>
        <w:rPr>
          <w:rFonts w:ascii="方正楷体_GBK" w:hAnsi="Times New Roman" w:eastAsia="方正楷体_GBK"/>
          <w:b/>
          <w:sz w:val="32"/>
          <w:szCs w:val="32"/>
          <w:shd w:val="clear" w:color="auto" w:fill="FFFFFF"/>
        </w:rPr>
        <w:t>：</w:t>
      </w:r>
      <w:r>
        <w:rPr>
          <w:rFonts w:hint="default" w:ascii="Times New Roman" w:hAnsi="Times New Roman" w:eastAsia="方正仿宋_GBK"/>
          <w:sz w:val="32"/>
          <w:szCs w:val="32"/>
          <w:shd w:val="clear" w:color="auto" w:fill="FFFFFF"/>
        </w:rPr>
        <w:t>反映单位开支的在职职工和编制外长期聘用人员的各类劳动报酬，以及为上述人员缴纳的各项社会保险费等。</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ascii="方正楷体_GBK" w:hAnsi="Times New Roman" w:eastAsia="方正楷体_GBK"/>
          <w:b w:val="0"/>
          <w:sz w:val="32"/>
          <w:szCs w:val="32"/>
          <w:shd w:val="clear" w:color="auto" w:fill="FFFFFF"/>
        </w:rPr>
        <w:t>（十五）商品和服务支出（支出经济分类科目类级）</w:t>
      </w:r>
      <w:r>
        <w:rPr>
          <w:rFonts w:ascii="方正楷体_GBK" w:hAnsi="Times New Roman" w:eastAsia="方正楷体_GBK"/>
          <w:b/>
          <w:sz w:val="32"/>
          <w:szCs w:val="32"/>
          <w:shd w:val="clear" w:color="auto" w:fill="FFFFFF"/>
        </w:rPr>
        <w:t>：</w:t>
      </w:r>
      <w:r>
        <w:rPr>
          <w:rFonts w:hint="default" w:ascii="Times New Roman" w:hAnsi="Times New Roman" w:eastAsia="方正仿宋_GBK"/>
          <w:sz w:val="32"/>
          <w:szCs w:val="32"/>
          <w:shd w:val="clear" w:color="auto" w:fill="FFFFFF"/>
        </w:rPr>
        <w:t>反映单位购买商品和服务的支出（不包括用于购置固定资产的支出、战略性和应急储备支出）。</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ascii="方正楷体_GBK" w:hAnsi="Times New Roman" w:eastAsia="方正楷体_GBK"/>
          <w:b w:val="0"/>
          <w:sz w:val="32"/>
          <w:szCs w:val="32"/>
          <w:shd w:val="clear" w:color="auto" w:fill="FFFFFF"/>
        </w:rPr>
        <w:t>（十六）对个人和家庭的补助（支出经济分类科目类级）</w:t>
      </w:r>
      <w:r>
        <w:rPr>
          <w:rFonts w:ascii="方正楷体_GBK" w:hAnsi="Times New Roman" w:eastAsia="方正楷体_GBK"/>
          <w:b/>
          <w:sz w:val="32"/>
          <w:szCs w:val="32"/>
          <w:shd w:val="clear" w:color="auto" w:fill="FFFFFF"/>
        </w:rPr>
        <w:t>：</w:t>
      </w:r>
      <w:r>
        <w:rPr>
          <w:rFonts w:hint="default" w:ascii="Times New Roman" w:hAnsi="Times New Roman" w:eastAsia="方正仿宋_GBK"/>
          <w:sz w:val="32"/>
          <w:szCs w:val="32"/>
          <w:shd w:val="clear" w:color="auto" w:fill="FFFFFF"/>
        </w:rPr>
        <w:t>反映用于对个人和家庭的补助支出。</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Style w:val="8"/>
          <w:rFonts w:ascii="方正楷体_GBK" w:hAnsi="Times New Roman" w:eastAsia="方正楷体_GBK"/>
          <w:b w:val="0"/>
          <w:sz w:val="32"/>
          <w:szCs w:val="32"/>
          <w:shd w:val="clear" w:color="auto" w:fill="FFFFFF"/>
        </w:rPr>
        <w:t>（十七）其他资本性支出（支出经济分类科目类级）</w:t>
      </w:r>
      <w:r>
        <w:rPr>
          <w:rFonts w:ascii="方正楷体_GBK" w:hAnsi="Times New Roman" w:eastAsia="方正楷体_GBK"/>
          <w:b/>
          <w:sz w:val="32"/>
          <w:szCs w:val="32"/>
          <w:shd w:val="clear" w:color="auto" w:fill="FFFFFF"/>
        </w:rPr>
        <w:t>：</w:t>
      </w:r>
      <w:r>
        <w:rPr>
          <w:rFonts w:hint="default" w:ascii="Times New Roman" w:hAnsi="Times New Roman" w:eastAsia="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pPr>
        <w:pStyle w:val="6"/>
        <w:snapToGrid w:val="0"/>
        <w:spacing w:before="0" w:beforeAutospacing="0" w:after="0" w:afterAutospacing="0" w:line="594" w:lineRule="exact"/>
        <w:ind w:firstLine="640" w:firstLineChars="200"/>
        <w:jc w:val="both"/>
        <w:rPr>
          <w:rStyle w:val="8"/>
          <w:rFonts w:ascii="方正黑体_GBK" w:hAnsi="Times New Roman" w:eastAsia="方正黑体_GBK"/>
          <w:b w:val="0"/>
          <w:sz w:val="32"/>
          <w:szCs w:val="32"/>
        </w:rPr>
      </w:pPr>
      <w:r>
        <w:rPr>
          <w:rStyle w:val="8"/>
          <w:rFonts w:ascii="方正黑体_GBK" w:hAnsi="Times New Roman" w:eastAsia="方正黑体_GBK"/>
          <w:b w:val="0"/>
          <w:sz w:val="32"/>
          <w:szCs w:val="32"/>
          <w:shd w:val="clear" w:color="auto" w:fill="FFFFFF"/>
        </w:rPr>
        <w:t>七、决算公开联系方式及信息反馈渠道</w:t>
      </w:r>
    </w:p>
    <w:p>
      <w:pPr>
        <w:pStyle w:val="6"/>
        <w:snapToGrid w:val="0"/>
        <w:spacing w:before="0" w:beforeAutospacing="0" w:after="0" w:afterAutospacing="0" w:line="594"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本单位决算公开信息反馈和联系方式： 023-74598116。</w:t>
      </w:r>
    </w:p>
    <w:p>
      <w:pPr>
        <w:pStyle w:val="6"/>
        <w:snapToGrid w:val="0"/>
        <w:spacing w:before="0" w:beforeAutospacing="0" w:after="0" w:afterAutospacing="0" w:line="600" w:lineRule="exact"/>
        <w:ind w:firstLine="643" w:firstLineChars="200"/>
        <w:jc w:val="both"/>
        <w:rPr>
          <w:rStyle w:val="8"/>
          <w:rFonts w:hint="default" w:ascii="方正仿宋_GBK" w:hAnsi="方正仿宋_GBK" w:eastAsia="方正仿宋_GBK" w:cs="方正仿宋_GBK"/>
          <w:sz w:val="32"/>
          <w:szCs w:val="32"/>
          <w:shd w:val="clear" w:color="auto" w:fill="FFFF00"/>
        </w:rPr>
      </w:pPr>
    </w:p>
    <w:p>
      <w:pPr>
        <w:pStyle w:val="11"/>
        <w:autoSpaceDE w:val="0"/>
        <w:ind w:firstLine="0" w:firstLineChars="0"/>
        <w:rPr>
          <w:rStyle w:val="8"/>
          <w:rFonts w:ascii="方正仿宋_GBK" w:hAnsi="方正仿宋_GBK" w:eastAsia="方正仿宋_GBK" w:cs="方正仿宋_GBK"/>
          <w:sz w:val="32"/>
          <w:szCs w:val="32"/>
          <w:shd w:val="clear" w:color="auto" w:fill="FFFF00"/>
        </w:rPr>
      </w:pPr>
    </w:p>
    <w:p>
      <w:pPr>
        <w:pStyle w:val="11"/>
        <w:autoSpaceDE w:val="0"/>
        <w:ind w:firstLine="0" w:firstLineChars="0"/>
        <w:rPr>
          <w:rStyle w:val="8"/>
          <w:rFonts w:ascii="方正仿宋_GBK" w:hAnsi="方正仿宋_GBK" w:eastAsia="方正仿宋_GBK" w:cs="方正仿宋_GBK"/>
          <w:sz w:val="32"/>
          <w:szCs w:val="32"/>
          <w:shd w:val="clear" w:color="auto" w:fill="FFFF00"/>
        </w:rPr>
        <w:sectPr>
          <w:footerReference r:id="rId3" w:type="default"/>
          <w:pgSz w:w="11915" w:h="16840"/>
          <w:pgMar w:top="1440" w:right="1800" w:bottom="1440" w:left="1800" w:header="851" w:footer="992" w:gutter="0"/>
          <w:pgNumType w:fmt="numberInDash"/>
          <w:cols w:space="720" w:num="1"/>
          <w:docGrid w:type="lines" w:linePitch="312" w:charSpace="0"/>
        </w:sectPr>
      </w:pPr>
    </w:p>
    <w:p>
      <w:pPr>
        <w:rPr>
          <w:rFonts w:hint="default" w:cs="宋体"/>
          <w:sz w:val="21"/>
          <w:szCs w:val="21"/>
        </w:rPr>
      </w:pPr>
    </w:p>
    <w:tbl>
      <w:tblPr>
        <w:tblStyle w:val="9"/>
        <w:tblW w:w="22292" w:type="dxa"/>
        <w:tblInd w:w="0" w:type="dxa"/>
        <w:tblLayout w:type="fixed"/>
        <w:tblCellMar>
          <w:top w:w="0" w:type="dxa"/>
          <w:left w:w="0" w:type="dxa"/>
          <w:bottom w:w="0" w:type="dxa"/>
          <w:right w:w="0" w:type="dxa"/>
        </w:tblCellMar>
      </w:tblPr>
      <w:tblGrid>
        <w:gridCol w:w="6581"/>
        <w:gridCol w:w="4358"/>
        <w:gridCol w:w="7536"/>
        <w:gridCol w:w="3817"/>
      </w:tblGrid>
      <w:tr>
        <w:tblPrEx>
          <w:tblLayout w:type="fixed"/>
          <w:tblCellMar>
            <w:top w:w="0" w:type="dxa"/>
            <w:left w:w="0" w:type="dxa"/>
            <w:bottom w:w="0" w:type="dxa"/>
            <w:right w:w="0" w:type="dxa"/>
          </w:tblCellMar>
        </w:tblPrEx>
        <w:trPr>
          <w:trHeight w:val="565" w:hRule="atLeast"/>
        </w:trPr>
        <w:tc>
          <w:tcPr>
            <w:tcW w:w="22292" w:type="dxa"/>
            <w:gridSpan w:val="4"/>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收入支出决算总表</w:t>
            </w:r>
          </w:p>
        </w:tc>
      </w:tr>
      <w:tr>
        <w:tblPrEx>
          <w:tblLayout w:type="fixed"/>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4358" w:type="dxa"/>
            <w:tcBorders>
              <w:top w:val="nil"/>
              <w:left w:val="nil"/>
              <w:bottom w:val="nil"/>
              <w:right w:val="nil"/>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817"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公开01表</w:t>
            </w:r>
          </w:p>
        </w:tc>
      </w:tr>
      <w:tr>
        <w:tblPrEx>
          <w:tblLayout w:type="fixed"/>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tcMar>
              <w:top w:w="15" w:type="dxa"/>
              <w:left w:w="15" w:type="dxa"/>
              <w:right w:w="15" w:type="dxa"/>
            </w:tcMar>
            <w:vAlign w:val="bottom"/>
          </w:tcPr>
          <w:p>
            <w:pPr>
              <w:textAlignment w:val="bottom"/>
              <w:rPr>
                <w:rFonts w:hint="default" w:cs="宋体"/>
                <w:color w:val="000000"/>
              </w:rPr>
            </w:pPr>
            <w:r>
              <w:rPr>
                <w:rFonts w:cs="宋体"/>
              </w:rPr>
              <w:t>公开单位：垫江县三溪镇综合行政执法大队</w:t>
            </w:r>
          </w:p>
        </w:tc>
        <w:tc>
          <w:tcPr>
            <w:tcW w:w="4358" w:type="dxa"/>
            <w:tcBorders>
              <w:top w:val="nil"/>
              <w:left w:val="nil"/>
              <w:bottom w:val="nil"/>
              <w:right w:val="nil"/>
            </w:tcBorders>
            <w:shd w:val="clear" w:color="auto" w:fill="auto"/>
            <w:tcMar>
              <w:top w:w="15" w:type="dxa"/>
              <w:left w:w="15" w:type="dxa"/>
              <w:right w:w="15" w:type="dxa"/>
            </w:tcMar>
            <w:vAlign w:val="bottom"/>
          </w:tcPr>
          <w:p>
            <w:pPr>
              <w:jc w:val="right"/>
              <w:rPr>
                <w:rFonts w:hint="default" w:ascii="Arial" w:hAnsi="Arial" w:cs="Arial"/>
                <w:color w:val="000000"/>
                <w:sz w:val="22"/>
                <w:szCs w:val="22"/>
              </w:rPr>
            </w:pPr>
          </w:p>
        </w:tc>
        <w:tc>
          <w:tcPr>
            <w:tcW w:w="7536"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3817"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298" w:hRule="atLeast"/>
        </w:trPr>
        <w:tc>
          <w:tcPr>
            <w:tcW w:w="1093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收入</w:t>
            </w:r>
          </w:p>
        </w:tc>
        <w:tc>
          <w:tcPr>
            <w:tcW w:w="11353" w:type="dxa"/>
            <w:gridSpan w:val="2"/>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支出</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4358"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w:t>
            </w:r>
          </w:p>
        </w:tc>
        <w:tc>
          <w:tcPr>
            <w:tcW w:w="3817"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78.52</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一、一般公共服务支出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二、政府性基金预算财政拨款收入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二、外交支出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三、国有资本经营预算财政拨款收入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三、国防支出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四、上级补助收入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四、公共安全支出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五、事业收入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五、教育支出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六、经营收入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六、科学技术支出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七、附属单位上缴收入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七、文化旅游体育与传媒支出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八、其他收入</w:t>
            </w:r>
          </w:p>
        </w:tc>
        <w:tc>
          <w:tcPr>
            <w:tcW w:w="4358" w:type="dxa"/>
            <w:tcBorders>
              <w:top w:val="nil"/>
              <w:left w:val="nil"/>
              <w:bottom w:val="nil"/>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八、社会保障和就业支出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6.62</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九、卫生健康支出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2.71</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十、节能环保支出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十一、城乡社区支出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65.85</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十二、农林水支出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十三、交通运输支出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十四、资源勘探工业信息等支出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十五、商业服务业等支出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十六、金融支出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十七、援助其他地区支出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十八、自然资源海洋气象等支出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十九、住房保障支出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3.35</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二十、粮油物资储备支出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二十一、国有资本经营预算支出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二十二、灾害防治及应急管理支出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二十三、其他支出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二十四、债务还本支出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二十五、债务付息支出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二十六、抗疫特别国债安排的支出</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本年收入合计</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78.52</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本年支出合计</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78.52</w:t>
            </w: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使用非财政拨款结余和专用结余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结余分配</w:t>
            </w:r>
          </w:p>
        </w:tc>
        <w:tc>
          <w:tcPr>
            <w:tcW w:w="3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年初结转和结余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年末结转和结余</w:t>
            </w:r>
          </w:p>
        </w:tc>
        <w:tc>
          <w:tcPr>
            <w:tcW w:w="3817" w:type="dxa"/>
            <w:tcBorders>
              <w:top w:val="nil"/>
              <w:left w:val="nil"/>
              <w:bottom w:val="single" w:color="auto"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07"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78.52</w:t>
            </w:r>
          </w:p>
        </w:tc>
        <w:tc>
          <w:tcPr>
            <w:tcW w:w="7536" w:type="dxa"/>
            <w:tcBorders>
              <w:top w:val="nil"/>
              <w:left w:val="nil"/>
              <w:bottom w:val="single" w:color="000000" w:sz="4" w:space="0"/>
              <w:right w:val="single" w:color="auto"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381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rPr>
              <w:t>78.52</w:t>
            </w:r>
          </w:p>
        </w:tc>
      </w:tr>
    </w:tbl>
    <w:p>
      <w:pPr>
        <w:rPr>
          <w:rFonts w:hint="default" w:cs="宋体"/>
          <w:sz w:val="21"/>
          <w:szCs w:val="21"/>
        </w:rPr>
      </w:pPr>
      <w:r>
        <w:rPr>
          <w:rFonts w:cs="宋体"/>
          <w:sz w:val="21"/>
          <w:szCs w:val="21"/>
        </w:rPr>
        <w:t>备注：1.本表反映单位本年度的总收支和年末结转结余情况。</w:t>
      </w:r>
      <w:r>
        <w:rPr>
          <w:rFonts w:cs="宋体"/>
          <w:sz w:val="21"/>
          <w:szCs w:val="21"/>
        </w:rPr>
        <w:br w:type="textWrapping"/>
      </w:r>
      <w:r>
        <w:rPr>
          <w:rFonts w:cs="宋体"/>
          <w:sz w:val="21"/>
          <w:szCs w:val="21"/>
        </w:rPr>
        <w:t xml:space="preserve">      2.本套报表金额单位转换时可能存在尾数误差。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p>
      <w:pPr>
        <w:rPr>
          <w:rFonts w:hint="default" w:cs="宋体"/>
          <w:sz w:val="21"/>
          <w:szCs w:val="21"/>
        </w:rPr>
      </w:pPr>
    </w:p>
    <w:tbl>
      <w:tblPr>
        <w:tblStyle w:val="9"/>
        <w:tblW w:w="22220" w:type="dxa"/>
        <w:tblInd w:w="0" w:type="dxa"/>
        <w:tblLayout w:type="fixed"/>
        <w:tblCellMar>
          <w:top w:w="0" w:type="dxa"/>
          <w:left w:w="0" w:type="dxa"/>
          <w:bottom w:w="0" w:type="dxa"/>
          <w:right w:w="0" w:type="dxa"/>
        </w:tblCellMar>
      </w:tblPr>
      <w:tblGrid>
        <w:gridCol w:w="1941"/>
        <w:gridCol w:w="3317"/>
        <w:gridCol w:w="2412"/>
        <w:gridCol w:w="2399"/>
        <w:gridCol w:w="1963"/>
        <w:gridCol w:w="1963"/>
        <w:gridCol w:w="1963"/>
        <w:gridCol w:w="1963"/>
        <w:gridCol w:w="1963"/>
        <w:gridCol w:w="2336"/>
      </w:tblGrid>
      <w:tr>
        <w:tblPrEx>
          <w:tblLayout w:type="fixed"/>
          <w:tblCellMar>
            <w:top w:w="0" w:type="dxa"/>
            <w:left w:w="0" w:type="dxa"/>
            <w:bottom w:w="0" w:type="dxa"/>
            <w:right w:w="0" w:type="dxa"/>
          </w:tblCellMar>
        </w:tblPrEx>
        <w:trPr>
          <w:trHeight w:val="641" w:hRule="atLeast"/>
        </w:trPr>
        <w:tc>
          <w:tcPr>
            <w:tcW w:w="22220" w:type="dxa"/>
            <w:gridSpan w:val="10"/>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收入决算表</w:t>
            </w:r>
          </w:p>
        </w:tc>
      </w:tr>
      <w:tr>
        <w:tblPrEx>
          <w:tblLayout w:type="fixed"/>
          <w:tblCellMar>
            <w:top w:w="0" w:type="dxa"/>
            <w:left w:w="0" w:type="dxa"/>
            <w:bottom w:w="0" w:type="dxa"/>
            <w:right w:w="0" w:type="dxa"/>
          </w:tblCellMar>
        </w:tblPrEx>
        <w:trPr>
          <w:trHeight w:val="328" w:hRule="atLeast"/>
        </w:trPr>
        <w:tc>
          <w:tcPr>
            <w:tcW w:w="5258"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r>
              <w:rPr>
                <w:rFonts w:cs="宋体"/>
              </w:rPr>
              <w:t>公开单位：垫江县三溪镇综合行政执法大队</w:t>
            </w:r>
          </w:p>
        </w:tc>
        <w:tc>
          <w:tcPr>
            <w:tcW w:w="241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39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336"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公开02表</w:t>
            </w:r>
          </w:p>
        </w:tc>
      </w:tr>
      <w:tr>
        <w:tblPrEx>
          <w:tblLayout w:type="fixed"/>
          <w:tblCellMar>
            <w:top w:w="0" w:type="dxa"/>
            <w:left w:w="0" w:type="dxa"/>
            <w:bottom w:w="0" w:type="dxa"/>
            <w:right w:w="0" w:type="dxa"/>
          </w:tblCellMar>
        </w:tblPrEx>
        <w:trPr>
          <w:trHeight w:val="328" w:hRule="atLeast"/>
        </w:trPr>
        <w:tc>
          <w:tcPr>
            <w:tcW w:w="5258"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1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39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336"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431" w:hRule="atLeast"/>
        </w:trPr>
        <w:tc>
          <w:tcPr>
            <w:tcW w:w="5258" w:type="dxa"/>
            <w:gridSpan w:val="2"/>
            <w:tcBorders>
              <w:top w:val="single" w:color="000000" w:sz="4" w:space="0"/>
              <w:left w:val="single" w:color="000000" w:sz="4" w:space="0"/>
              <w:bottom w:val="single" w:color="000000" w:sz="4" w:space="0"/>
              <w:right w:val="nil"/>
            </w:tcBorders>
            <w:shd w:val="clear" w:color="auto" w:fill="D0CECE"/>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项目</w:t>
            </w:r>
          </w:p>
        </w:tc>
        <w:tc>
          <w:tcPr>
            <w:tcW w:w="241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本年收入合计</w:t>
            </w:r>
          </w:p>
        </w:tc>
        <w:tc>
          <w:tcPr>
            <w:tcW w:w="239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财政拨款收入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上级补助收入</w:t>
            </w:r>
          </w:p>
        </w:tc>
        <w:tc>
          <w:tcPr>
            <w:tcW w:w="3926"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事业收入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经营收入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附属单位上缴收入</w:t>
            </w:r>
          </w:p>
        </w:tc>
        <w:tc>
          <w:tcPr>
            <w:tcW w:w="233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其他收入</w:t>
            </w:r>
          </w:p>
        </w:tc>
      </w:tr>
      <w:tr>
        <w:tblPrEx>
          <w:tblLayout w:type="fixed"/>
          <w:tblCellMar>
            <w:top w:w="0" w:type="dxa"/>
            <w:left w:w="0" w:type="dxa"/>
            <w:bottom w:w="0" w:type="dxa"/>
            <w:right w:w="0" w:type="dxa"/>
          </w:tblCellMar>
        </w:tblPrEx>
        <w:trPr>
          <w:trHeight w:val="334" w:hRule="atLeast"/>
        </w:trPr>
        <w:tc>
          <w:tcPr>
            <w:tcW w:w="1941"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3317"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小计</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其中：教育收费</w:t>
            </w: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8" w:hRule="atLeast"/>
        </w:trPr>
        <w:tc>
          <w:tcPr>
            <w:tcW w:w="5258"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41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78.52</w:t>
            </w:r>
          </w:p>
        </w:tc>
        <w:tc>
          <w:tcPr>
            <w:tcW w:w="23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78.52</w:t>
            </w: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196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233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社会保障和就业支出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6.62</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6.62</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20805</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行政事业单位养老支出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6.62</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6.62</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2080505</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机关事业单位基本养老保险缴费支出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4.41</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4.41</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2080506</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机关事业单位职业年金缴费支出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2.21</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2.21</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卫生健康支出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2.71</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2.71</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21011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2.71</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2.71</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事业单位医疗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2.71</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2.71</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65.85</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65.85</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城乡社区管理事务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65.85</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65.85</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2120104</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城管执法</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65.85</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65.85</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住房保障支出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3.35</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3.35</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22102</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住房改革支出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3.35</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3.35</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2210201</w:t>
            </w:r>
          </w:p>
        </w:tc>
        <w:tc>
          <w:tcPr>
            <w:tcW w:w="33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住房公积金</w:t>
            </w:r>
          </w:p>
        </w:tc>
        <w:tc>
          <w:tcPr>
            <w:tcW w:w="24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3.35</w:t>
            </w:r>
          </w:p>
        </w:tc>
        <w:tc>
          <w:tcPr>
            <w:tcW w:w="239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3.35</w:t>
            </w: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1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3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bl>
    <w:p>
      <w:pPr>
        <w:ind w:left="630" w:hanging="630" w:hangingChars="300"/>
        <w:rPr>
          <w:rFonts w:hint="default" w:cs="宋体"/>
          <w:sz w:val="21"/>
          <w:szCs w:val="21"/>
        </w:rPr>
      </w:pPr>
      <w:r>
        <w:rPr>
          <w:rFonts w:cs="宋体"/>
          <w:sz w:val="21"/>
          <w:szCs w:val="21"/>
        </w:rPr>
        <w:t>备注：1.本表反映单位本年度取得的各项收入情况。</w:t>
      </w:r>
      <w:r>
        <w:rPr>
          <w:rFonts w:cs="宋体"/>
          <w:sz w:val="21"/>
          <w:szCs w:val="21"/>
        </w:rPr>
        <w:br w:type="textWrapping"/>
      </w:r>
      <w:r>
        <w:rPr>
          <w:rFonts w:cs="宋体"/>
          <w:sz w:val="21"/>
          <w:szCs w:val="21"/>
        </w:rPr>
        <w:t>2.本套报表金额单位转换时可能存在尾数误差。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p>
      <w:pPr>
        <w:ind w:left="630" w:hanging="630" w:hangingChars="300"/>
        <w:rPr>
          <w:rFonts w:hint="default" w:cs="宋体"/>
          <w:sz w:val="21"/>
          <w:szCs w:val="21"/>
        </w:rPr>
      </w:pPr>
    </w:p>
    <w:tbl>
      <w:tblPr>
        <w:tblStyle w:val="9"/>
        <w:tblW w:w="22180" w:type="dxa"/>
        <w:tblInd w:w="0" w:type="dxa"/>
        <w:tblLayout w:type="fixed"/>
        <w:tblCellMar>
          <w:top w:w="0" w:type="dxa"/>
          <w:left w:w="0" w:type="dxa"/>
          <w:bottom w:w="0" w:type="dxa"/>
          <w:right w:w="0" w:type="dxa"/>
        </w:tblCellMar>
      </w:tblPr>
      <w:tblGrid>
        <w:gridCol w:w="2082"/>
        <w:gridCol w:w="3528"/>
        <w:gridCol w:w="2760"/>
        <w:gridCol w:w="2760"/>
        <w:gridCol w:w="2760"/>
        <w:gridCol w:w="2760"/>
        <w:gridCol w:w="2760"/>
        <w:gridCol w:w="2770"/>
      </w:tblGrid>
      <w:tr>
        <w:tblPrEx>
          <w:tblLayout w:type="fixed"/>
          <w:tblCellMar>
            <w:top w:w="0" w:type="dxa"/>
            <w:left w:w="0" w:type="dxa"/>
            <w:bottom w:w="0" w:type="dxa"/>
            <w:right w:w="0" w:type="dxa"/>
          </w:tblCellMar>
        </w:tblPrEx>
        <w:trPr>
          <w:trHeight w:val="654" w:hRule="atLeast"/>
        </w:trPr>
        <w:tc>
          <w:tcPr>
            <w:tcW w:w="22180" w:type="dxa"/>
            <w:gridSpan w:val="8"/>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支出决算表</w:t>
            </w:r>
          </w:p>
        </w:tc>
      </w:tr>
      <w:tr>
        <w:tblPrEx>
          <w:tblLayout w:type="fixed"/>
          <w:tblCellMar>
            <w:top w:w="0" w:type="dxa"/>
            <w:left w:w="0" w:type="dxa"/>
            <w:bottom w:w="0" w:type="dxa"/>
            <w:right w:w="0" w:type="dxa"/>
          </w:tblCellMar>
        </w:tblPrEx>
        <w:trPr>
          <w:trHeight w:val="342" w:hRule="atLeast"/>
        </w:trPr>
        <w:tc>
          <w:tcPr>
            <w:tcW w:w="5610"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垫江县三溪镇综合行政执法大队</w:t>
            </w: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70"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公开03表</w:t>
            </w:r>
          </w:p>
        </w:tc>
      </w:tr>
      <w:tr>
        <w:tblPrEx>
          <w:tblLayout w:type="fixed"/>
          <w:tblCellMar>
            <w:top w:w="0" w:type="dxa"/>
            <w:left w:w="0" w:type="dxa"/>
            <w:bottom w:w="0" w:type="dxa"/>
            <w:right w:w="0" w:type="dxa"/>
          </w:tblCellMar>
        </w:tblPrEx>
        <w:trPr>
          <w:trHeight w:val="342" w:hRule="atLeast"/>
        </w:trPr>
        <w:tc>
          <w:tcPr>
            <w:tcW w:w="5610"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70"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项目</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本年支出合计</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上缴上级支出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经营支出</w:t>
            </w:r>
          </w:p>
        </w:tc>
        <w:tc>
          <w:tcPr>
            <w:tcW w:w="277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对附属单位补助支出</w:t>
            </w:r>
          </w:p>
        </w:tc>
      </w:tr>
      <w:tr>
        <w:tblPrEx>
          <w:tblLayout w:type="fixed"/>
          <w:tblCellMar>
            <w:top w:w="0" w:type="dxa"/>
            <w:left w:w="0" w:type="dxa"/>
            <w:bottom w:w="0" w:type="dxa"/>
            <w:right w:w="0" w:type="dxa"/>
          </w:tblCellMar>
        </w:tblPrEx>
        <w:trPr>
          <w:trHeight w:val="338" w:hRule="atLeast"/>
        </w:trPr>
        <w:tc>
          <w:tcPr>
            <w:tcW w:w="208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3528"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78.52</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78.52</w:t>
            </w: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276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277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社会保障和就业支出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6.62</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6.62</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20805</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行政事业单位养老支出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6.62</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6.62</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2080505</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机关事业单位基本养老保险缴费支出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4.41</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4.41</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2080506</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机关事业单位职业年金缴费支出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2.21</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2.21</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卫生健康支出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2.71</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2.71</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21011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2.71</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2.71</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事业单位医疗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2.71</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2.71</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65.85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65.85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城乡社区管理事务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65.85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65.85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2120104</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城管执法</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65.85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65.85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住房保障支出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3.35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3.35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22102</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住房改革支出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3.35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3.35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r>
        <w:tblPrEx>
          <w:tblLayout w:type="fixed"/>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2210201</w:t>
            </w:r>
          </w:p>
        </w:tc>
        <w:tc>
          <w:tcPr>
            <w:tcW w:w="3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住房公积金</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3.35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3.35</w:t>
            </w: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c>
          <w:tcPr>
            <w:tcW w:w="27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18"/>
                <w:szCs w:val="18"/>
              </w:rPr>
            </w:pPr>
          </w:p>
        </w:tc>
      </w:tr>
    </w:tbl>
    <w:p>
      <w:pPr>
        <w:rPr>
          <w:rFonts w:hint="default" w:cs="宋体"/>
          <w:sz w:val="21"/>
          <w:szCs w:val="21"/>
        </w:rPr>
      </w:pPr>
      <w:r>
        <w:rPr>
          <w:rFonts w:cs="宋体"/>
          <w:sz w:val="21"/>
          <w:szCs w:val="21"/>
        </w:rPr>
        <w:t>备注：1.本表反映单位本年度各项支出情况。</w:t>
      </w:r>
      <w:r>
        <w:rPr>
          <w:rFonts w:cs="宋体"/>
          <w:sz w:val="21"/>
          <w:szCs w:val="21"/>
        </w:rPr>
        <w:br w:type="textWrapping"/>
      </w:r>
      <w:r>
        <w:rPr>
          <w:rFonts w:cs="宋体"/>
          <w:sz w:val="21"/>
          <w:szCs w:val="21"/>
        </w:rPr>
        <w:t xml:space="preserve">      2.本套报表金额单位转换时可能存在尾数误差。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p>
      <w:pPr>
        <w:rPr>
          <w:rFonts w:hint="default" w:cs="宋体"/>
          <w:sz w:val="21"/>
          <w:szCs w:val="21"/>
        </w:rPr>
      </w:pPr>
    </w:p>
    <w:tbl>
      <w:tblPr>
        <w:tblStyle w:val="9"/>
        <w:tblW w:w="22360" w:type="dxa"/>
        <w:tblInd w:w="0" w:type="dxa"/>
        <w:tblLayout w:type="fixed"/>
        <w:tblCellMar>
          <w:top w:w="0" w:type="dxa"/>
          <w:left w:w="0" w:type="dxa"/>
          <w:bottom w:w="0" w:type="dxa"/>
          <w:right w:w="0" w:type="dxa"/>
        </w:tblCellMar>
      </w:tblPr>
      <w:tblGrid>
        <w:gridCol w:w="4068"/>
        <w:gridCol w:w="2674"/>
        <w:gridCol w:w="3752"/>
        <w:gridCol w:w="2952"/>
        <w:gridCol w:w="2952"/>
        <w:gridCol w:w="2952"/>
        <w:gridCol w:w="3010"/>
      </w:tblGrid>
      <w:tr>
        <w:tblPrEx>
          <w:tblLayout w:type="fixed"/>
          <w:tblCellMar>
            <w:top w:w="0" w:type="dxa"/>
            <w:left w:w="0" w:type="dxa"/>
            <w:bottom w:w="0" w:type="dxa"/>
            <w:right w:w="0" w:type="dxa"/>
          </w:tblCellMar>
        </w:tblPrEx>
        <w:trPr>
          <w:trHeight w:val="90" w:hRule="atLeast"/>
        </w:trPr>
        <w:tc>
          <w:tcPr>
            <w:tcW w:w="22360" w:type="dxa"/>
            <w:gridSpan w:val="7"/>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财政拨款收入支出决算总表</w:t>
            </w:r>
          </w:p>
        </w:tc>
      </w:tr>
      <w:tr>
        <w:tblPrEx>
          <w:tblLayout w:type="fixed"/>
          <w:tblCellMar>
            <w:top w:w="0" w:type="dxa"/>
            <w:left w:w="0" w:type="dxa"/>
            <w:bottom w:w="0" w:type="dxa"/>
            <w:right w:w="0" w:type="dxa"/>
          </w:tblCellMar>
        </w:tblPrEx>
        <w:trPr>
          <w:trHeight w:val="90" w:hRule="atLeast"/>
        </w:trPr>
        <w:tc>
          <w:tcPr>
            <w:tcW w:w="6742"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垫江县三溪镇综合行政执法大队</w:t>
            </w:r>
          </w:p>
        </w:tc>
        <w:tc>
          <w:tcPr>
            <w:tcW w:w="37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010"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公开04表</w:t>
            </w:r>
          </w:p>
        </w:tc>
      </w:tr>
      <w:tr>
        <w:tblPrEx>
          <w:tblLayout w:type="fixed"/>
          <w:tblCellMar>
            <w:top w:w="0" w:type="dxa"/>
            <w:left w:w="0" w:type="dxa"/>
            <w:bottom w:w="0" w:type="dxa"/>
            <w:right w:w="0" w:type="dxa"/>
          </w:tblCellMar>
        </w:tblPrEx>
        <w:trPr>
          <w:trHeight w:val="90" w:hRule="atLeast"/>
        </w:trPr>
        <w:tc>
          <w:tcPr>
            <w:tcW w:w="6742"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37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3010"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90" w:hRule="atLeast"/>
        </w:trPr>
        <w:tc>
          <w:tcPr>
            <w:tcW w:w="6742"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收     入</w:t>
            </w:r>
          </w:p>
        </w:tc>
        <w:tc>
          <w:tcPr>
            <w:tcW w:w="15618" w:type="dxa"/>
            <w:gridSpan w:val="5"/>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支     出</w:t>
            </w:r>
          </w:p>
        </w:tc>
      </w:tr>
      <w:tr>
        <w:tblPrEx>
          <w:tblLayout w:type="fixed"/>
          <w:tblCellMar>
            <w:top w:w="0" w:type="dxa"/>
            <w:left w:w="0" w:type="dxa"/>
            <w:bottom w:w="0" w:type="dxa"/>
            <w:right w:w="0" w:type="dxa"/>
          </w:tblCellMar>
        </w:tblPrEx>
        <w:trPr>
          <w:trHeight w:val="90" w:hRule="atLeast"/>
        </w:trPr>
        <w:tc>
          <w:tcPr>
            <w:tcW w:w="406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2674"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c>
          <w:tcPr>
            <w:tcW w:w="375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w:t>
            </w:r>
          </w:p>
        </w:tc>
        <w:tc>
          <w:tcPr>
            <w:tcW w:w="11866" w:type="dxa"/>
            <w:gridSpan w:val="4"/>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r>
      <w:tr>
        <w:tblPrEx>
          <w:tblLayout w:type="fixed"/>
          <w:tblCellMar>
            <w:top w:w="0" w:type="dxa"/>
            <w:left w:w="0" w:type="dxa"/>
            <w:bottom w:w="0" w:type="dxa"/>
            <w:right w:w="0" w:type="dxa"/>
          </w:tblCellMar>
        </w:tblPrEx>
        <w:trPr>
          <w:trHeight w:val="90" w:hRule="atLeast"/>
        </w:trPr>
        <w:tc>
          <w:tcPr>
            <w:tcW w:w="406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7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75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小计</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一般公共预算财政拨款</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政府性基金预算财政拨款</w:t>
            </w:r>
          </w:p>
        </w:tc>
        <w:tc>
          <w:tcPr>
            <w:tcW w:w="301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国有资本经营预算财政拨款</w:t>
            </w: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78.52</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一、一般公共服务支出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二、外交支出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四、公共安全支出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五、教育支出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六、科学技术支出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七、文化旅游体育与传媒支出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八、社会保障和就业支出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6.62</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6.62</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九、卫生健康支出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2.71</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2.71</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十、节能环保支出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十一、城乡社区支出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65.85</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65.85</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十二、农林水支出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十三、交通运输支出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十四、资源勘探工业信息等支出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十五、商业服务业等支出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十六、金融支出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十七、援助其他地区支出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十八、自然资源海洋气象等支出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十九、住房保障支出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3.35</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3.35</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二十、粮油物资储备支出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二十一、国有资本经营预算支出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二十二、灾害防治及应急管理支出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二十三、其他支出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二十四、债务还本支出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二十五、债务付息支出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二十六、抗疫特别国债安排的支出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本年收入合计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78.52</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本年支出合计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78.52</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78.52</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年初财政拨款结转和结余</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年末财政拨款结转和结余</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78.52</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rPr>
              <w:t>78.52</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rPr>
              <w:t>78.52</w:t>
            </w:r>
          </w:p>
        </w:tc>
        <w:tc>
          <w:tcPr>
            <w:tcW w:w="295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bl>
    <w:p>
      <w:pPr>
        <w:rPr>
          <w:rFonts w:hint="default" w:cs="宋体"/>
          <w:sz w:val="21"/>
          <w:szCs w:val="21"/>
        </w:rPr>
      </w:pPr>
      <w:r>
        <w:rPr>
          <w:rFonts w:cs="宋体"/>
          <w:sz w:val="21"/>
          <w:szCs w:val="21"/>
        </w:rPr>
        <w:t>备注：1.本表反映单位本年度一般公共预算财政拨款、政府性基金预算财政拨款及国有资本经营预算财政拨款的总收支和年末结转结余情况。</w:t>
      </w:r>
      <w:r>
        <w:rPr>
          <w:rFonts w:cs="宋体"/>
          <w:sz w:val="21"/>
          <w:szCs w:val="21"/>
        </w:rPr>
        <w:br w:type="textWrapping"/>
      </w:r>
      <w:r>
        <w:rPr>
          <w:rFonts w:cs="宋体"/>
          <w:sz w:val="21"/>
          <w:szCs w:val="21"/>
        </w:rPr>
        <w:t xml:space="preserve">      2.本套报表金额单位转换时可能存在尾数误差。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tbl>
      <w:tblPr>
        <w:tblStyle w:val="9"/>
        <w:tblW w:w="22300" w:type="dxa"/>
        <w:tblInd w:w="0" w:type="dxa"/>
        <w:tblLayout w:type="fixed"/>
        <w:tblCellMar>
          <w:top w:w="0" w:type="dxa"/>
          <w:left w:w="0" w:type="dxa"/>
          <w:bottom w:w="0" w:type="dxa"/>
          <w:right w:w="0" w:type="dxa"/>
        </w:tblCellMar>
      </w:tblPr>
      <w:tblGrid>
        <w:gridCol w:w="2694"/>
        <w:gridCol w:w="5151"/>
        <w:gridCol w:w="4817"/>
        <w:gridCol w:w="4817"/>
        <w:gridCol w:w="4821"/>
      </w:tblGrid>
      <w:tr>
        <w:tblPrEx>
          <w:tblLayout w:type="fixed"/>
          <w:tblCellMar>
            <w:top w:w="0" w:type="dxa"/>
            <w:left w:w="0" w:type="dxa"/>
            <w:bottom w:w="0" w:type="dxa"/>
            <w:right w:w="0" w:type="dxa"/>
          </w:tblCellMar>
        </w:tblPrEx>
        <w:trPr>
          <w:trHeight w:val="510" w:hRule="atLeast"/>
        </w:trPr>
        <w:tc>
          <w:tcPr>
            <w:tcW w:w="22300" w:type="dxa"/>
            <w:gridSpan w:val="5"/>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一般公共预算财政拨款支出决算表</w:t>
            </w:r>
          </w:p>
        </w:tc>
      </w:tr>
      <w:tr>
        <w:tblPrEx>
          <w:tblLayout w:type="fixed"/>
          <w:tblCellMar>
            <w:top w:w="0" w:type="dxa"/>
            <w:left w:w="0" w:type="dxa"/>
            <w:bottom w:w="0" w:type="dxa"/>
            <w:right w:w="0" w:type="dxa"/>
          </w:tblCellMar>
        </w:tblPrEx>
        <w:trPr>
          <w:trHeight w:val="255" w:hRule="atLeast"/>
        </w:trPr>
        <w:tc>
          <w:tcPr>
            <w:tcW w:w="7845"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垫江县三溪镇综合行政执法大队</w:t>
            </w:r>
          </w:p>
        </w:tc>
        <w:tc>
          <w:tcPr>
            <w:tcW w:w="481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481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4821"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公开05表</w:t>
            </w:r>
          </w:p>
        </w:tc>
      </w:tr>
      <w:tr>
        <w:tblPrEx>
          <w:tblLayout w:type="fixed"/>
          <w:tblCellMar>
            <w:top w:w="0" w:type="dxa"/>
            <w:left w:w="0" w:type="dxa"/>
            <w:bottom w:w="0" w:type="dxa"/>
            <w:right w:w="0" w:type="dxa"/>
          </w:tblCellMar>
        </w:tblPrEx>
        <w:trPr>
          <w:trHeight w:val="285" w:hRule="atLeast"/>
        </w:trPr>
        <w:tc>
          <w:tcPr>
            <w:tcW w:w="7845"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81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821"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308" w:hRule="atLeast"/>
        </w:trPr>
        <w:tc>
          <w:tcPr>
            <w:tcW w:w="7845"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14455"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w:t>
            </w:r>
          </w:p>
        </w:tc>
      </w:tr>
      <w:tr>
        <w:tblPrEx>
          <w:tblLayout w:type="fixed"/>
          <w:tblCellMar>
            <w:top w:w="0" w:type="dxa"/>
            <w:left w:w="0" w:type="dxa"/>
            <w:bottom w:w="0" w:type="dxa"/>
            <w:right w:w="0" w:type="dxa"/>
          </w:tblCellMar>
        </w:tblPrEx>
        <w:trPr>
          <w:trHeight w:val="312" w:hRule="atLeast"/>
        </w:trPr>
        <w:tc>
          <w:tcPr>
            <w:tcW w:w="2694"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515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482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r>
      <w:tr>
        <w:tblPrEx>
          <w:tblLayout w:type="fixed"/>
          <w:tblCellMar>
            <w:top w:w="0" w:type="dxa"/>
            <w:left w:w="0" w:type="dxa"/>
            <w:bottom w:w="0" w:type="dxa"/>
            <w:right w:w="0" w:type="dxa"/>
          </w:tblCellMar>
        </w:tblPrEx>
        <w:trPr>
          <w:trHeight w:val="312"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615"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7845"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78.52</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78.52</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社会保障和就业支出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6.62</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6.62</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20805</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行政事业单位养老支出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6.62</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6.62</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2080505</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机关事业单位基本养老保险缴费支出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4.41</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4.41</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2080506</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机关事业单位职业年金缴费支出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2.21</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2.21</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卫生健康支出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2.71</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2.71</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21011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行政事业单位医疗</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2.71</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2.71</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事业单位医疗</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2.71</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2.71</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65.85</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65.85</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21201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城乡社区管理事务</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65.85</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65.85</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2120104</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城管执法</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65.85</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65.85</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住房保障支出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3.35</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3.35</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22102</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住房改革支出</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3.35</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3.35</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2210201</w:t>
            </w:r>
          </w:p>
        </w:tc>
        <w:tc>
          <w:tcPr>
            <w:tcW w:w="51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住房公积金</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3.35</w:t>
            </w:r>
          </w:p>
        </w:tc>
        <w:tc>
          <w:tcPr>
            <w:tcW w:w="481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3.35</w:t>
            </w:r>
          </w:p>
        </w:tc>
        <w:tc>
          <w:tcPr>
            <w:tcW w:w="482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bl>
    <w:p>
      <w:pPr>
        <w:rPr>
          <w:rFonts w:hint="default" w:cs="宋体"/>
          <w:sz w:val="21"/>
          <w:szCs w:val="21"/>
        </w:rPr>
      </w:pPr>
      <w:r>
        <w:rPr>
          <w:rFonts w:cs="宋体"/>
          <w:sz w:val="21"/>
          <w:szCs w:val="21"/>
        </w:rPr>
        <w:t>备注：1.本表反映单位本年度一般公共预算财政拨款支出情况。</w:t>
      </w:r>
      <w:r>
        <w:rPr>
          <w:rFonts w:cs="宋体"/>
          <w:sz w:val="21"/>
          <w:szCs w:val="21"/>
        </w:rPr>
        <w:br w:type="textWrapping"/>
      </w:r>
      <w:r>
        <w:rPr>
          <w:rFonts w:cs="宋体"/>
          <w:sz w:val="21"/>
          <w:szCs w:val="21"/>
        </w:rPr>
        <w:t xml:space="preserve">      2.本套报表金额单位转换时可能存在尾数误差。</w:t>
      </w:r>
      <w:r>
        <w:rPr>
          <w:rFonts w:cs="宋体"/>
          <w:sz w:val="21"/>
          <w:szCs w:val="21"/>
        </w:rPr>
        <w:br w:type="textWrapping"/>
      </w:r>
      <w:r>
        <w:rPr>
          <w:rFonts w:cs="宋体"/>
          <w:sz w:val="21"/>
          <w:szCs w:val="21"/>
        </w:rPr>
        <w:br w:type="textWrapping"/>
      </w:r>
    </w:p>
    <w:p>
      <w:pPr>
        <w:ind w:firstLine="630" w:firstLineChars="300"/>
        <w:rPr>
          <w:rFonts w:hint="default" w:cs="宋体"/>
          <w:sz w:val="21"/>
          <w:szCs w:val="21"/>
        </w:rPr>
      </w:pPr>
      <w:r>
        <w:rPr>
          <w:rFonts w:cs="宋体"/>
          <w:sz w:val="21"/>
          <w:szCs w:val="21"/>
        </w:rPr>
        <w:br w:type="page"/>
      </w:r>
    </w:p>
    <w:tbl>
      <w:tblPr>
        <w:tblStyle w:val="9"/>
        <w:tblW w:w="22280" w:type="dxa"/>
        <w:tblInd w:w="0" w:type="dxa"/>
        <w:tblLayout w:type="fixed"/>
        <w:tblCellMar>
          <w:top w:w="0" w:type="dxa"/>
          <w:left w:w="0" w:type="dxa"/>
          <w:bottom w:w="0" w:type="dxa"/>
          <w:right w:w="0" w:type="dxa"/>
        </w:tblCellMar>
      </w:tblPr>
      <w:tblGrid>
        <w:gridCol w:w="1289"/>
        <w:gridCol w:w="3495"/>
        <w:gridCol w:w="2829"/>
        <w:gridCol w:w="1122"/>
        <w:gridCol w:w="2330"/>
        <w:gridCol w:w="2747"/>
        <w:gridCol w:w="1509"/>
        <w:gridCol w:w="4465"/>
        <w:gridCol w:w="2494"/>
      </w:tblGrid>
      <w:tr>
        <w:tblPrEx>
          <w:tblLayout w:type="fixed"/>
          <w:tblCellMar>
            <w:top w:w="0" w:type="dxa"/>
            <w:left w:w="0" w:type="dxa"/>
            <w:bottom w:w="0" w:type="dxa"/>
            <w:right w:w="0" w:type="dxa"/>
          </w:tblCellMar>
        </w:tblPrEx>
        <w:trPr>
          <w:trHeight w:val="590" w:hRule="atLeast"/>
        </w:trPr>
        <w:tc>
          <w:tcPr>
            <w:tcW w:w="22280" w:type="dxa"/>
            <w:gridSpan w:val="9"/>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一般公共预算财政拨款基本支出决算表</w:t>
            </w:r>
          </w:p>
        </w:tc>
      </w:tr>
      <w:tr>
        <w:tblPrEx>
          <w:tblLayout w:type="fixed"/>
          <w:tblCellMar>
            <w:top w:w="0" w:type="dxa"/>
            <w:left w:w="0" w:type="dxa"/>
            <w:bottom w:w="0" w:type="dxa"/>
            <w:right w:w="0" w:type="dxa"/>
          </w:tblCellMar>
        </w:tblPrEx>
        <w:trPr>
          <w:trHeight w:val="302" w:hRule="atLeast"/>
        </w:trPr>
        <w:tc>
          <w:tcPr>
            <w:tcW w:w="4784"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垫江县三溪镇综合行政执法大队</w:t>
            </w:r>
          </w:p>
        </w:tc>
        <w:tc>
          <w:tcPr>
            <w:tcW w:w="282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33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74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50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4465"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494"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公开06表</w:t>
            </w:r>
          </w:p>
        </w:tc>
      </w:tr>
      <w:tr>
        <w:tblPrEx>
          <w:tblLayout w:type="fixed"/>
          <w:tblCellMar>
            <w:top w:w="0" w:type="dxa"/>
            <w:left w:w="0" w:type="dxa"/>
            <w:bottom w:w="0" w:type="dxa"/>
            <w:right w:w="0" w:type="dxa"/>
          </w:tblCellMar>
        </w:tblPrEx>
        <w:trPr>
          <w:trHeight w:val="302" w:hRule="atLeast"/>
        </w:trPr>
        <w:tc>
          <w:tcPr>
            <w:tcW w:w="4784"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82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12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330"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747"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150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465"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94"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311" w:hRule="atLeast"/>
        </w:trPr>
        <w:tc>
          <w:tcPr>
            <w:tcW w:w="7613" w:type="dxa"/>
            <w:gridSpan w:val="3"/>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人员经费</w:t>
            </w:r>
          </w:p>
        </w:tc>
        <w:tc>
          <w:tcPr>
            <w:tcW w:w="14667" w:type="dxa"/>
            <w:gridSpan w:val="6"/>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公用经费</w:t>
            </w:r>
          </w:p>
        </w:tc>
      </w:tr>
      <w:tr>
        <w:tblPrEx>
          <w:tblLayout w:type="fixed"/>
          <w:tblCellMar>
            <w:top w:w="0" w:type="dxa"/>
            <w:left w:w="0" w:type="dxa"/>
            <w:bottom w:w="0" w:type="dxa"/>
            <w:right w:w="0" w:type="dxa"/>
          </w:tblCellMar>
        </w:tblPrEx>
        <w:trPr>
          <w:trHeight w:val="312" w:hRule="atLeast"/>
        </w:trPr>
        <w:tc>
          <w:tcPr>
            <w:tcW w:w="128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经济分类科目编码</w:t>
            </w:r>
          </w:p>
        </w:tc>
        <w:tc>
          <w:tcPr>
            <w:tcW w:w="349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经济分类科目（按“款”级功能分类科目）</w:t>
            </w:r>
          </w:p>
        </w:tc>
        <w:tc>
          <w:tcPr>
            <w:tcW w:w="282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金额</w:t>
            </w:r>
          </w:p>
        </w:tc>
        <w:tc>
          <w:tcPr>
            <w:tcW w:w="112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经济分类科目编码</w:t>
            </w:r>
          </w:p>
        </w:tc>
        <w:tc>
          <w:tcPr>
            <w:tcW w:w="233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经济分类科目（按“款”级功能分类科目）</w:t>
            </w:r>
          </w:p>
        </w:tc>
        <w:tc>
          <w:tcPr>
            <w:tcW w:w="274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金额</w:t>
            </w:r>
          </w:p>
        </w:tc>
        <w:tc>
          <w:tcPr>
            <w:tcW w:w="150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经济分类科目编码</w:t>
            </w:r>
          </w:p>
        </w:tc>
        <w:tc>
          <w:tcPr>
            <w:tcW w:w="446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经济分类科目（按“款”级功能分类科目）</w:t>
            </w:r>
          </w:p>
        </w:tc>
        <w:tc>
          <w:tcPr>
            <w:tcW w:w="249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金额</w:t>
            </w:r>
          </w:p>
        </w:tc>
      </w:tr>
      <w:tr>
        <w:tblPrEx>
          <w:tblLayout w:type="fixed"/>
          <w:tblCellMar>
            <w:top w:w="0" w:type="dxa"/>
            <w:left w:w="0" w:type="dxa"/>
            <w:bottom w:w="0" w:type="dxa"/>
            <w:right w:w="0" w:type="dxa"/>
          </w:tblCellMar>
        </w:tblPrEx>
        <w:trPr>
          <w:trHeight w:val="799" w:hRule="atLeast"/>
        </w:trPr>
        <w:tc>
          <w:tcPr>
            <w:tcW w:w="128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49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82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12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4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50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9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71.99</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6.53</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基本工资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12.57</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办公费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房屋建筑物购建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津贴补贴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3.04</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印刷费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办公设备购置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奖金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咨询费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专用设备购置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伙食补助费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手续费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基础设施建设</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绩效工资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42.62</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水费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31006</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大型修缮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机关事业单位基本养老保险缴费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4.41</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信息网络及软件购置更新</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职业年金缴费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2.21</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邮电费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物资储备</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64"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职工基本医疗保险缴费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2.71</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取暖费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土地补偿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公务员医疗补助缴费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物业管理费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安置补助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其他社会保障缴费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0.08</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差旅费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6.23</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地上附着物和青苗补偿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住房公积金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3.35</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因公出国（境）费用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拆迁补偿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医疗费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0.64</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维修（护）费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公务用车购置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0.36</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租赁费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其他交通工具购置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会议费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31021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文物和陈列品购置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离休费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培训费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31022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无形资产购置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退休费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公务接待费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退职（役）费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专用材料费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抚恤金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被装购置费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资本金注入</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30305</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生活补助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专用燃料费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政府投资基金股权投资</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救济费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劳务费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31204</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费用补贴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医疗费补助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委托业务费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利息补贴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助学金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工会经费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0.30</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奖励金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福利费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个人农业生产补贴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30231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公务用车运行维护费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国家赔偿费用支出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代缴社会保险费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30239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其他交通费用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对民间非营利组织和群众性自治组织补贴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30240</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税金及附加费用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经常性赠与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30299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资本性赠与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债务利息及费用支出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国内债务付息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国外债务付息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国内债务发行费用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国外债务发行费用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r>
      <w:tr>
        <w:tblPrEx>
          <w:tblLayout w:type="fixed"/>
          <w:tblCellMar>
            <w:top w:w="0" w:type="dxa"/>
            <w:left w:w="0" w:type="dxa"/>
            <w:bottom w:w="0" w:type="dxa"/>
            <w:right w:w="0" w:type="dxa"/>
          </w:tblCellMar>
        </w:tblPrEx>
        <w:trPr>
          <w:trHeight w:val="321" w:hRule="atLeast"/>
        </w:trPr>
        <w:tc>
          <w:tcPr>
            <w:tcW w:w="4784"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人员经费合计</w:t>
            </w:r>
          </w:p>
        </w:tc>
        <w:tc>
          <w:tcPr>
            <w:tcW w:w="2829"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71.99</w:t>
            </w:r>
          </w:p>
        </w:tc>
        <w:tc>
          <w:tcPr>
            <w:tcW w:w="12173" w:type="dxa"/>
            <w:gridSpan w:val="5"/>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公用经费合计</w:t>
            </w:r>
          </w:p>
        </w:tc>
        <w:tc>
          <w:tcPr>
            <w:tcW w:w="2494"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6.53</w:t>
            </w:r>
          </w:p>
        </w:tc>
      </w:tr>
    </w:tbl>
    <w:p>
      <w:pPr>
        <w:rPr>
          <w:rFonts w:hint="default" w:cs="宋体"/>
          <w:sz w:val="21"/>
          <w:szCs w:val="21"/>
        </w:rPr>
      </w:pPr>
      <w:r>
        <w:rPr>
          <w:rFonts w:cs="宋体"/>
          <w:sz w:val="21"/>
          <w:szCs w:val="21"/>
        </w:rPr>
        <w:t>备注：1.本表反映单位本年度一般公共预算财政拨款基本支出明细情况。</w:t>
      </w:r>
      <w:r>
        <w:rPr>
          <w:rFonts w:cs="宋体"/>
          <w:sz w:val="21"/>
          <w:szCs w:val="21"/>
        </w:rPr>
        <w:br w:type="textWrapping"/>
      </w:r>
      <w:r>
        <w:rPr>
          <w:rFonts w:cs="宋体"/>
          <w:sz w:val="21"/>
          <w:szCs w:val="21"/>
        </w:rPr>
        <w:t xml:space="preserve">      2.本套报表金额单位转换时可能存在尾数误差。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tbl>
      <w:tblPr>
        <w:tblStyle w:val="9"/>
        <w:tblW w:w="22240" w:type="dxa"/>
        <w:tblInd w:w="0" w:type="dxa"/>
        <w:tblLayout w:type="fixed"/>
        <w:tblCellMar>
          <w:top w:w="0" w:type="dxa"/>
          <w:left w:w="0" w:type="dxa"/>
          <w:bottom w:w="0" w:type="dxa"/>
          <w:right w:w="0" w:type="dxa"/>
        </w:tblCellMar>
      </w:tblPr>
      <w:tblGrid>
        <w:gridCol w:w="2686"/>
        <w:gridCol w:w="4465"/>
        <w:gridCol w:w="2473"/>
        <w:gridCol w:w="2473"/>
        <w:gridCol w:w="2473"/>
        <w:gridCol w:w="2473"/>
        <w:gridCol w:w="2558"/>
        <w:gridCol w:w="2639"/>
      </w:tblGrid>
      <w:tr>
        <w:tblPrEx>
          <w:tblLayout w:type="fixed"/>
          <w:tblCellMar>
            <w:top w:w="0" w:type="dxa"/>
            <w:left w:w="0" w:type="dxa"/>
            <w:bottom w:w="0" w:type="dxa"/>
            <w:right w:w="0" w:type="dxa"/>
          </w:tblCellMar>
        </w:tblPrEx>
        <w:trPr>
          <w:trHeight w:val="644" w:hRule="atLeast"/>
        </w:trPr>
        <w:tc>
          <w:tcPr>
            <w:tcW w:w="22240" w:type="dxa"/>
            <w:gridSpan w:val="8"/>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政府性基金预算财政拨款收入支出决算表</w:t>
            </w:r>
          </w:p>
        </w:tc>
      </w:tr>
      <w:tr>
        <w:tblPrEx>
          <w:tblLayout w:type="fixed"/>
          <w:tblCellMar>
            <w:top w:w="0" w:type="dxa"/>
            <w:left w:w="0" w:type="dxa"/>
            <w:bottom w:w="0" w:type="dxa"/>
            <w:right w:w="0" w:type="dxa"/>
          </w:tblCellMar>
        </w:tblPrEx>
        <w:trPr>
          <w:trHeight w:val="329" w:hRule="atLeast"/>
        </w:trPr>
        <w:tc>
          <w:tcPr>
            <w:tcW w:w="7151"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垫江县三溪镇综合行政执法大队</w:t>
            </w: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558"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2639"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公开07表</w:t>
            </w:r>
          </w:p>
        </w:tc>
      </w:tr>
      <w:tr>
        <w:tblPrEx>
          <w:tblLayout w:type="fixed"/>
          <w:tblCellMar>
            <w:top w:w="0" w:type="dxa"/>
            <w:left w:w="0" w:type="dxa"/>
            <w:bottom w:w="0" w:type="dxa"/>
            <w:right w:w="0" w:type="dxa"/>
          </w:tblCellMar>
        </w:tblPrEx>
        <w:trPr>
          <w:trHeight w:val="329" w:hRule="atLeast"/>
        </w:trPr>
        <w:tc>
          <w:tcPr>
            <w:tcW w:w="7151"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558"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2639"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339" w:hRule="atLeast"/>
        </w:trPr>
        <w:tc>
          <w:tcPr>
            <w:tcW w:w="7151"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247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年初结转和结余</w:t>
            </w:r>
          </w:p>
        </w:tc>
        <w:tc>
          <w:tcPr>
            <w:tcW w:w="247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w:t>
            </w:r>
          </w:p>
        </w:tc>
        <w:tc>
          <w:tcPr>
            <w:tcW w:w="7504"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w:t>
            </w:r>
          </w:p>
        </w:tc>
        <w:tc>
          <w:tcPr>
            <w:tcW w:w="263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年末结转和结余</w:t>
            </w:r>
          </w:p>
        </w:tc>
      </w:tr>
      <w:tr>
        <w:tblPrEx>
          <w:tblLayout w:type="fixed"/>
          <w:tblCellMar>
            <w:top w:w="0" w:type="dxa"/>
            <w:left w:w="0" w:type="dxa"/>
            <w:bottom w:w="0" w:type="dxa"/>
            <w:right w:w="0" w:type="dxa"/>
          </w:tblCellMar>
        </w:tblPrEx>
        <w:trPr>
          <w:trHeight w:val="335" w:hRule="atLeast"/>
        </w:trPr>
        <w:tc>
          <w:tcPr>
            <w:tcW w:w="268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446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255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64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9" w:hRule="atLeast"/>
        </w:trPr>
        <w:tc>
          <w:tcPr>
            <w:tcW w:w="7151"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247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25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263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bl>
    <w:p>
      <w:pPr>
        <w:rPr>
          <w:rFonts w:hint="default" w:cs="宋体"/>
          <w:sz w:val="21"/>
          <w:szCs w:val="21"/>
        </w:rPr>
      </w:pPr>
      <w:r>
        <w:rPr>
          <w:rFonts w:cs="宋体"/>
          <w:sz w:val="21"/>
          <w:szCs w:val="21"/>
        </w:rPr>
        <w:t>备注：本单位无政府性基金收支，故本表无数据。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tbl>
      <w:tblPr>
        <w:tblStyle w:val="9"/>
        <w:tblW w:w="22220" w:type="dxa"/>
        <w:tblInd w:w="0" w:type="dxa"/>
        <w:tblLayout w:type="fixed"/>
        <w:tblCellMar>
          <w:top w:w="0" w:type="dxa"/>
          <w:left w:w="0" w:type="dxa"/>
          <w:bottom w:w="0" w:type="dxa"/>
          <w:right w:w="0" w:type="dxa"/>
        </w:tblCellMar>
      </w:tblPr>
      <w:tblGrid>
        <w:gridCol w:w="2729"/>
        <w:gridCol w:w="4420"/>
        <w:gridCol w:w="4736"/>
        <w:gridCol w:w="5423"/>
        <w:gridCol w:w="4912"/>
      </w:tblGrid>
      <w:tr>
        <w:tblPrEx>
          <w:tblLayout w:type="fixed"/>
          <w:tblCellMar>
            <w:top w:w="0" w:type="dxa"/>
            <w:left w:w="0" w:type="dxa"/>
            <w:bottom w:w="0" w:type="dxa"/>
            <w:right w:w="0" w:type="dxa"/>
          </w:tblCellMar>
        </w:tblPrEx>
        <w:trPr>
          <w:trHeight w:val="650" w:hRule="atLeast"/>
        </w:trPr>
        <w:tc>
          <w:tcPr>
            <w:tcW w:w="22220" w:type="dxa"/>
            <w:gridSpan w:val="5"/>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国有资本经营预算财政拨款支出决算表</w:t>
            </w:r>
          </w:p>
        </w:tc>
      </w:tr>
      <w:tr>
        <w:tblPrEx>
          <w:tblLayout w:type="fixed"/>
          <w:tblCellMar>
            <w:top w:w="0" w:type="dxa"/>
            <w:left w:w="0" w:type="dxa"/>
            <w:bottom w:w="0" w:type="dxa"/>
            <w:right w:w="0" w:type="dxa"/>
          </w:tblCellMar>
        </w:tblPrEx>
        <w:trPr>
          <w:trHeight w:val="332" w:hRule="atLeast"/>
        </w:trPr>
        <w:tc>
          <w:tcPr>
            <w:tcW w:w="7149" w:type="dxa"/>
            <w:gridSpan w:val="2"/>
            <w:vMerge w:val="restart"/>
            <w:tcBorders>
              <w:top w:val="nil"/>
              <w:left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垫江县三溪镇综合行政执法大队</w:t>
            </w:r>
          </w:p>
        </w:tc>
        <w:tc>
          <w:tcPr>
            <w:tcW w:w="4736"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542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4912"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公开08表</w:t>
            </w:r>
          </w:p>
        </w:tc>
      </w:tr>
      <w:tr>
        <w:tblPrEx>
          <w:tblLayout w:type="fixed"/>
          <w:tblCellMar>
            <w:top w:w="0" w:type="dxa"/>
            <w:left w:w="0" w:type="dxa"/>
            <w:bottom w:w="0" w:type="dxa"/>
            <w:right w:w="0" w:type="dxa"/>
          </w:tblCellMar>
        </w:tblPrEx>
        <w:trPr>
          <w:trHeight w:val="332" w:hRule="atLeast"/>
        </w:trPr>
        <w:tc>
          <w:tcPr>
            <w:tcW w:w="7149" w:type="dxa"/>
            <w:gridSpan w:val="2"/>
            <w:vMerge w:val="continue"/>
            <w:tcBorders>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736"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5423"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4912"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422"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项目</w:t>
            </w:r>
          </w:p>
        </w:tc>
        <w:tc>
          <w:tcPr>
            <w:tcW w:w="15071" w:type="dxa"/>
            <w:gridSpan w:val="3"/>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本年支出</w:t>
            </w:r>
          </w:p>
        </w:tc>
      </w:tr>
      <w:tr>
        <w:tblPrEx>
          <w:tblLayout w:type="fixed"/>
          <w:tblCellMar>
            <w:top w:w="0" w:type="dxa"/>
            <w:left w:w="0" w:type="dxa"/>
            <w:bottom w:w="0" w:type="dxa"/>
            <w:right w:w="0" w:type="dxa"/>
          </w:tblCellMar>
        </w:tblPrEx>
        <w:trPr>
          <w:trHeight w:val="339" w:hRule="atLeast"/>
        </w:trPr>
        <w:tc>
          <w:tcPr>
            <w:tcW w:w="272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442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科目名称</w:t>
            </w:r>
          </w:p>
        </w:tc>
        <w:tc>
          <w:tcPr>
            <w:tcW w:w="4736"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542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491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r>
      <w:tr>
        <w:tblPrEx>
          <w:tblLayout w:type="fixed"/>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312"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Layout w:type="fixed"/>
          <w:tblCellMar>
            <w:top w:w="0" w:type="dxa"/>
            <w:left w:w="0" w:type="dxa"/>
            <w:bottom w:w="0" w:type="dxa"/>
            <w:right w:w="0" w:type="dxa"/>
          </w:tblCellMar>
        </w:tblPrEx>
        <w:trPr>
          <w:trHeight w:val="611"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473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c>
          <w:tcPr>
            <w:tcW w:w="5423"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b/>
                <w:color w:val="000000"/>
                <w:sz w:val="22"/>
                <w:szCs w:val="22"/>
              </w:rPr>
            </w:pPr>
          </w:p>
        </w:tc>
        <w:tc>
          <w:tcPr>
            <w:tcW w:w="491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b/>
                <w:color w:val="000000"/>
                <w:sz w:val="22"/>
                <w:szCs w:val="22"/>
              </w:rPr>
            </w:pPr>
          </w:p>
        </w:tc>
      </w:tr>
    </w:tbl>
    <w:p>
      <w:pPr>
        <w:rPr>
          <w:rFonts w:hint="default" w:cs="宋体"/>
          <w:sz w:val="21"/>
          <w:szCs w:val="21"/>
        </w:rPr>
      </w:pPr>
      <w:r>
        <w:rPr>
          <w:rFonts w:cs="宋体"/>
          <w:sz w:val="21"/>
          <w:szCs w:val="21"/>
        </w:rPr>
        <w:t>备注：本单位无国有资本经营收支，故本表无数据。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tbl>
      <w:tblPr>
        <w:tblStyle w:val="9"/>
        <w:tblW w:w="22168" w:type="dxa"/>
        <w:tblInd w:w="0" w:type="dxa"/>
        <w:tblLayout w:type="fixed"/>
        <w:tblCellMar>
          <w:top w:w="0" w:type="dxa"/>
          <w:left w:w="0" w:type="dxa"/>
          <w:bottom w:w="0" w:type="dxa"/>
          <w:right w:w="0" w:type="dxa"/>
        </w:tblCellMar>
      </w:tblPr>
      <w:tblGrid>
        <w:gridCol w:w="5159"/>
        <w:gridCol w:w="3822"/>
        <w:gridCol w:w="3281"/>
        <w:gridCol w:w="6581"/>
        <w:gridCol w:w="3325"/>
      </w:tblGrid>
      <w:tr>
        <w:tblPrEx>
          <w:tblLayout w:type="fixed"/>
          <w:tblCellMar>
            <w:top w:w="0" w:type="dxa"/>
            <w:left w:w="0" w:type="dxa"/>
            <w:bottom w:w="0" w:type="dxa"/>
            <w:right w:w="0" w:type="dxa"/>
          </w:tblCellMar>
        </w:tblPrEx>
        <w:trPr>
          <w:trHeight w:val="510" w:hRule="atLeast"/>
        </w:trPr>
        <w:tc>
          <w:tcPr>
            <w:tcW w:w="22168" w:type="dxa"/>
            <w:gridSpan w:val="5"/>
            <w:tcBorders>
              <w:top w:val="nil"/>
              <w:left w:val="nil"/>
              <w:bottom w:val="nil"/>
              <w:right w:val="nil"/>
            </w:tcBorders>
            <w:shd w:val="clear" w:color="auto" w:fill="auto"/>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机构运行信息表</w:t>
            </w:r>
          </w:p>
        </w:tc>
      </w:tr>
      <w:tr>
        <w:tblPrEx>
          <w:tblLayout w:type="fixed"/>
          <w:tblCellMar>
            <w:top w:w="0" w:type="dxa"/>
            <w:left w:w="0" w:type="dxa"/>
            <w:bottom w:w="0" w:type="dxa"/>
            <w:right w:w="0" w:type="dxa"/>
          </w:tblCellMar>
        </w:tblPrEx>
        <w:trPr>
          <w:trHeight w:val="255" w:hRule="atLeast"/>
        </w:trPr>
        <w:tc>
          <w:tcPr>
            <w:tcW w:w="5159"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822" w:type="dxa"/>
            <w:tcBorders>
              <w:top w:val="nil"/>
              <w:left w:val="nil"/>
              <w:bottom w:val="nil"/>
              <w:right w:val="nil"/>
            </w:tcBorders>
            <w:shd w:val="clear" w:color="auto" w:fill="auto"/>
            <w:tcMar>
              <w:top w:w="15" w:type="dxa"/>
              <w:left w:w="15" w:type="dxa"/>
              <w:right w:w="15" w:type="dxa"/>
            </w:tcMar>
            <w:vAlign w:val="bottom"/>
          </w:tcPr>
          <w:p>
            <w:pPr>
              <w:jc w:val="center"/>
              <w:rPr>
                <w:rFonts w:hint="default" w:ascii="Arial" w:hAnsi="Arial" w:cs="Arial"/>
                <w:color w:val="000000"/>
                <w:sz w:val="20"/>
                <w:szCs w:val="20"/>
              </w:rPr>
            </w:pPr>
          </w:p>
        </w:tc>
        <w:tc>
          <w:tcPr>
            <w:tcW w:w="3281" w:type="dxa"/>
            <w:tcBorders>
              <w:top w:val="nil"/>
              <w:left w:val="nil"/>
              <w:bottom w:val="nil"/>
              <w:right w:val="nil"/>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6581"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325"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公开09表</w:t>
            </w:r>
          </w:p>
        </w:tc>
      </w:tr>
      <w:tr>
        <w:tblPrEx>
          <w:tblLayout w:type="fixed"/>
          <w:tblCellMar>
            <w:top w:w="0" w:type="dxa"/>
            <w:left w:w="0" w:type="dxa"/>
            <w:bottom w:w="0" w:type="dxa"/>
            <w:right w:w="0" w:type="dxa"/>
          </w:tblCellMar>
        </w:tblPrEx>
        <w:trPr>
          <w:trHeight w:val="285" w:hRule="atLeast"/>
        </w:trPr>
        <w:tc>
          <w:tcPr>
            <w:tcW w:w="5159" w:type="dxa"/>
            <w:tcBorders>
              <w:top w:val="nil"/>
              <w:left w:val="nil"/>
              <w:bottom w:val="nil"/>
              <w:right w:val="nil"/>
            </w:tcBorders>
            <w:shd w:val="clear" w:color="auto" w:fill="auto"/>
            <w:tcMar>
              <w:top w:w="15" w:type="dxa"/>
              <w:left w:w="15" w:type="dxa"/>
              <w:right w:w="15" w:type="dxa"/>
            </w:tcMar>
            <w:vAlign w:val="bottom"/>
          </w:tcPr>
          <w:p>
            <w:pPr>
              <w:textAlignment w:val="bottom"/>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rPr>
              <w:t xml:space="preserve">： </w:t>
            </w:r>
            <w:r>
              <w:rPr>
                <w:color w:val="000000"/>
              </w:rPr>
              <w:t>垫江县三溪镇综合行政执法大队</w:t>
            </w:r>
          </w:p>
        </w:tc>
        <w:tc>
          <w:tcPr>
            <w:tcW w:w="3822" w:type="dxa"/>
            <w:tcBorders>
              <w:top w:val="nil"/>
              <w:left w:val="nil"/>
              <w:bottom w:val="nil"/>
              <w:right w:val="nil"/>
            </w:tcBorders>
            <w:shd w:val="clear" w:color="auto" w:fill="auto"/>
            <w:tcMar>
              <w:top w:w="15" w:type="dxa"/>
              <w:left w:w="15" w:type="dxa"/>
              <w:right w:w="15" w:type="dxa"/>
            </w:tcMar>
            <w:vAlign w:val="bottom"/>
          </w:tcPr>
          <w:p>
            <w:pPr>
              <w:jc w:val="center"/>
              <w:rPr>
                <w:rFonts w:hint="default" w:cs="宋体"/>
                <w:color w:val="000000"/>
                <w:sz w:val="22"/>
                <w:szCs w:val="22"/>
              </w:rPr>
            </w:pPr>
          </w:p>
        </w:tc>
        <w:tc>
          <w:tcPr>
            <w:tcW w:w="3281" w:type="dxa"/>
            <w:tcBorders>
              <w:top w:val="nil"/>
              <w:left w:val="nil"/>
              <w:bottom w:val="nil"/>
              <w:right w:val="nil"/>
            </w:tcBorders>
            <w:shd w:val="clear" w:color="auto" w:fill="auto"/>
            <w:tcMar>
              <w:top w:w="15" w:type="dxa"/>
              <w:left w:w="15" w:type="dxa"/>
              <w:right w:w="15" w:type="dxa"/>
            </w:tcMar>
            <w:vAlign w:val="bottom"/>
          </w:tcPr>
          <w:p>
            <w:pPr>
              <w:jc w:val="right"/>
              <w:rPr>
                <w:rFonts w:hint="default" w:ascii="Arial" w:hAnsi="Arial" w:cs="Arial"/>
                <w:color w:val="000000"/>
                <w:sz w:val="22"/>
                <w:szCs w:val="22"/>
              </w:rPr>
            </w:pPr>
          </w:p>
        </w:tc>
        <w:tc>
          <w:tcPr>
            <w:tcW w:w="6581"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color w:val="000000"/>
                <w:sz w:val="22"/>
                <w:szCs w:val="22"/>
              </w:rPr>
            </w:pPr>
          </w:p>
        </w:tc>
        <w:tc>
          <w:tcPr>
            <w:tcW w:w="3325" w:type="dxa"/>
            <w:tcBorders>
              <w:top w:val="nil"/>
              <w:left w:val="nil"/>
              <w:bottom w:val="nil"/>
              <w:right w:val="nil"/>
            </w:tcBorders>
            <w:shd w:val="clear" w:color="auto" w:fill="auto"/>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Layout w:type="fixed"/>
          <w:tblCellMar>
            <w:top w:w="0" w:type="dxa"/>
            <w:left w:w="0" w:type="dxa"/>
            <w:bottom w:w="0" w:type="dxa"/>
            <w:right w:w="0" w:type="dxa"/>
          </w:tblCellMar>
        </w:tblPrEx>
        <w:trPr>
          <w:trHeight w:val="308" w:hRule="atLeast"/>
        </w:trPr>
        <w:tc>
          <w:tcPr>
            <w:tcW w:w="5159" w:type="dxa"/>
            <w:tcBorders>
              <w:top w:val="single" w:color="000000" w:sz="4" w:space="0"/>
              <w:left w:val="single" w:color="000000" w:sz="4" w:space="0"/>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  目</w:t>
            </w:r>
          </w:p>
        </w:tc>
        <w:tc>
          <w:tcPr>
            <w:tcW w:w="38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预算数</w:t>
            </w:r>
          </w:p>
        </w:tc>
        <w:tc>
          <w:tcPr>
            <w:tcW w:w="3281"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c>
          <w:tcPr>
            <w:tcW w:w="6581" w:type="dxa"/>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  目</w:t>
            </w:r>
          </w:p>
        </w:tc>
        <w:tc>
          <w:tcPr>
            <w:tcW w:w="3325"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一、“三公”经费支出</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四、机关运行经费</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（一）支出合计</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（一）行政单位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1．因公出国（境）费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（二）参照公务员法管理事业单位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2．公务用车购置及运行维护费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五、资产信息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（1）公务用车购置费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（一）车辆数合计（辆）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（2）公务用车运行维护费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1．副部（省）级及以上领导用车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3．公务接待费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2．主要领导干部用车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（1）国内接待费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3．机要通信用车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其中：外事接待费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4．应急保障用车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（2）国（境）外接待费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5．执法执勤用车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（二）相关统计数</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6．特种专业技术用车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1．因公出国（境）团组数（个）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7．离退休干部用车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2．因公出国（境）人次数（人）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8．其他用车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3．公务用车购置数（辆）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（二）单价100万元（含）以上设备（不含车辆）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4．公务用车保有量（辆）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六、政府采购支出信息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5．国内公务接待批次（个）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（一）政府采购支出合计</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其中：外事接待批次（个）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1．政府采购货物支出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6．国内公务接待人次（人）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2．政府采购工程支出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其中：外事接待人次（人）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3．政府采购服务支出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7．国（境）外公务接待批次（个）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（二）政府采购授予中小企业合同金额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8．国（境）外公务接待人次（人）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其中：授予小微企业合同金额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二、会议费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r>
      <w:tr>
        <w:tblPrEx>
          <w:tblLayout w:type="fixed"/>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三、培训费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r>
    </w:tbl>
    <w:p>
      <w:pPr>
        <w:rPr>
          <w:rFonts w:hint="default" w:cs="宋体"/>
          <w:sz w:val="21"/>
          <w:szCs w:val="21"/>
        </w:rPr>
      </w:pPr>
      <w:r>
        <w:rPr>
          <w:rFonts w:cs="宋体"/>
          <w:sz w:val="21"/>
          <w:szCs w:val="21"/>
        </w:rPr>
        <w:t>备注：1. 本单位无“三公”收支，故本表无数据。</w:t>
      </w:r>
      <w:r>
        <w:rPr>
          <w:rFonts w:cs="宋体"/>
          <w:sz w:val="21"/>
          <w:szCs w:val="21"/>
        </w:rPr>
        <w:br w:type="textWrapping"/>
      </w:r>
      <w:r>
        <w:rPr>
          <w:rFonts w:cs="宋体"/>
          <w:sz w:val="21"/>
          <w:szCs w:val="21"/>
        </w:rPr>
        <w:br w:type="textWrapping"/>
      </w: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pStyle w:val="11"/>
        <w:autoSpaceDE w:val="0"/>
        <w:ind w:firstLine="0" w:firstLineChars="0"/>
        <w:rPr>
          <w:rFonts w:cs="宋体"/>
          <w:sz w:val="21"/>
          <w:szCs w:val="21"/>
        </w:rPr>
      </w:pPr>
    </w:p>
    <w:sectPr>
      <w:headerReference r:id="rId4" w:type="default"/>
      <w:footerReference r:id="rId5" w:type="default"/>
      <w:pgSz w:w="23811" w:h="16838" w:orient="landscape"/>
      <w:pgMar w:top="567" w:right="454" w:bottom="567" w:left="1037" w:header="0" w:footer="283"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仿宋_GBK">
    <w:altName w:val="微软雅黑"/>
    <w:panose1 w:val="03000509000000000000"/>
    <w:charset w:val="86"/>
    <w:family w:val="script"/>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方正黑体_GBK">
    <w:altName w:val="微软雅黑"/>
    <w:panose1 w:val="03000509000000000000"/>
    <w:charset w:val="86"/>
    <w:family w:val="script"/>
    <w:pitch w:val="default"/>
    <w:sig w:usb0="00000000" w:usb1="00000000" w:usb2="00000000" w:usb3="00000000" w:csb0="00040000" w:csb1="00000000"/>
  </w:font>
  <w:font w:name="方正楷体_GBK">
    <w:altName w:val="微软雅黑"/>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仿宋_GBK">
    <w:altName w:val="微软雅黑"/>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default"/>
      </w:rPr>
    </w:pPr>
    <w:r>
      <w:rPr>
        <w:rFonts w:hint="default"/>
      </w:rPr>
      <w:pict>
        <v:shape id="_x0000_s4097" o:spid="_x0000_s4097"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weight="0.5pt" joinstyle="miter"/>
          <v:imagedata o:title=""/>
          <o:lock v:ext="edit"/>
          <v:textbox inset="0mm,0mm,0mm,0mm" style="mso-fit-shape-to-text:t;">
            <w:txbxContent>
              <w:p>
                <w:pPr>
                  <w:pStyle w:val="3"/>
                  <w:rPr>
                    <w:rFonts w:hint="default"/>
                  </w:rPr>
                </w:pPr>
                <w:r>
                  <w:rPr>
                    <w:rFonts w:hint="default"/>
                  </w:rPr>
                  <w:fldChar w:fldCharType="begin"/>
                </w:r>
                <w:r>
                  <w:instrText xml:space="preserve"> PAGE  \* MERGEFORMAT </w:instrText>
                </w:r>
                <w:r>
                  <w:rPr>
                    <w:rFonts w:hint="default"/>
                  </w:rPr>
                  <w:fldChar w:fldCharType="separate"/>
                </w:r>
                <w:r>
                  <w:rPr>
                    <w:rFonts w:hint="default"/>
                  </w:rPr>
                  <w:t>- 9 -</w:t>
                </w:r>
                <w:r>
                  <w:rPr>
                    <w:rFonts w:hint="default"/>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both"/>
      <w:rPr>
        <w:rFonts w:hint="default"/>
      </w:rPr>
    </w:pPr>
    <w:r>
      <w:rPr>
        <w:rFonts w:hint="default"/>
      </w:rPr>
      <w:pict>
        <v:shape id="_x0000_s4098" o:spid="_x0000_s4098" o:spt="202" type="#_x0000_t202" style="position:absolute;left:0pt;margin-top:0pt;height:144pt;width:144pt;mso-position-horizontal:center;mso-position-horizontal-relative:margin;mso-wrap-style:none;z-index:251660288;mso-width-relative:page;mso-height-relative:page;" filled="f" stroked="f" coordsize="21600,21600" o:allowoverlap="f">
          <v:path/>
          <v:fill on="f" focussize="0,0"/>
          <v:stroke on="f" weight="0.5pt" joinstyle="miter"/>
          <v:imagedata o:title=""/>
          <o:lock v:ext="edit"/>
          <v:textbox inset="0mm,0mm,0mm,0mm" style="mso-fit-shape-to-text:t;">
            <w:txbxContent>
              <w:p>
                <w:pPr>
                  <w:pStyle w:val="3"/>
                  <w:rPr>
                    <w:rFonts w:hint="default"/>
                  </w:rPr>
                </w:pPr>
                <w:r>
                  <w:rPr>
                    <w:rFonts w:hint="default"/>
                  </w:rPr>
                  <w:fldChar w:fldCharType="begin"/>
                </w:r>
                <w:r>
                  <w:instrText xml:space="preserve">PAGE   \* MERGEFORMAT</w:instrText>
                </w:r>
                <w:r>
                  <w:rPr>
                    <w:rFonts w:hint="default"/>
                  </w:rPr>
                  <w:fldChar w:fldCharType="separate"/>
                </w:r>
                <w:r>
                  <w:rPr>
                    <w:rFonts w:hint="default"/>
                    <w:lang w:val="zh-CN"/>
                  </w:rPr>
                  <w:t>-</w:t>
                </w:r>
                <w:r>
                  <w:rPr>
                    <w:rFonts w:hint="default"/>
                  </w:rPr>
                  <w:t xml:space="preserve"> 10 -</w:t>
                </w:r>
                <w:r>
                  <w:rPr>
                    <w:rFonts w:hint="default"/>
                  </w:rPr>
                  <w:fldChar w:fldCharType="end"/>
                </w:r>
              </w:p>
            </w:txbxContent>
          </v:textbox>
        </v:shape>
      </w:pict>
    </w:r>
    <w:r>
      <w:rPr>
        <w:rFonts w:hint="default"/>
      </w:rPr>
      <w:pict>
        <v:shape id="_x0000_s4099" o:spid="_x0000_s4099"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v:path/>
          <v:fill on="f" focussize="0,0"/>
          <v:stroke on="f" weight="0.5pt" joinstyle="miter"/>
          <v:imagedata o:title=""/>
          <o:lock v:ext="edit"/>
          <v:textbox inset="0mm,0mm,0mm,0mm">
            <w:txbxContent>
              <w:p>
                <w:pPr>
                  <w:pStyle w:val="3"/>
                  <w:jc w:val="both"/>
                  <w:rPr>
                    <w:rFonts w:hint="default" w:cs="宋体"/>
                  </w:rPr>
                </w:pPr>
                <w:r>
                  <w:rPr>
                    <w:rFonts w:cs="宋体"/>
                  </w:rPr>
                  <w:t>— 27.1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left" w:pos="1758"/>
        <w:tab w:val="clear" w:pos="4153"/>
        <w:tab w:val="clear" w:pos="8306"/>
      </w:tabs>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jA2ZDUwYzE2ZTE2NThjOTg5MTMzZDE5OWVjYzdlZTgifQ=="/>
  </w:docVars>
  <w:rsids>
    <w:rsidRoot w:val="00B03CCD"/>
    <w:rsid w:val="0003177F"/>
    <w:rsid w:val="00185807"/>
    <w:rsid w:val="003372BE"/>
    <w:rsid w:val="0043065A"/>
    <w:rsid w:val="00550ABE"/>
    <w:rsid w:val="00771FFD"/>
    <w:rsid w:val="007B419D"/>
    <w:rsid w:val="009B67B8"/>
    <w:rsid w:val="00B03CCD"/>
    <w:rsid w:val="00C03573"/>
    <w:rsid w:val="00F71358"/>
    <w:rsid w:val="00F73F90"/>
    <w:rsid w:val="00FF3A62"/>
    <w:rsid w:val="01474EBF"/>
    <w:rsid w:val="01F3521E"/>
    <w:rsid w:val="03B87EA0"/>
    <w:rsid w:val="03E3214F"/>
    <w:rsid w:val="044C50BA"/>
    <w:rsid w:val="05BC6D49"/>
    <w:rsid w:val="06194FF1"/>
    <w:rsid w:val="06A2550B"/>
    <w:rsid w:val="06F80EE2"/>
    <w:rsid w:val="07001CCA"/>
    <w:rsid w:val="075678DB"/>
    <w:rsid w:val="075F504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2E4AB6"/>
    <w:rsid w:val="189079DC"/>
    <w:rsid w:val="189B0D0B"/>
    <w:rsid w:val="18B43F7C"/>
    <w:rsid w:val="194A1770"/>
    <w:rsid w:val="19B906A4"/>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0826C6D"/>
    <w:rsid w:val="21556F04"/>
    <w:rsid w:val="22403BD3"/>
    <w:rsid w:val="24B92327"/>
    <w:rsid w:val="24C14514"/>
    <w:rsid w:val="2533755C"/>
    <w:rsid w:val="25791755"/>
    <w:rsid w:val="26396DF4"/>
    <w:rsid w:val="27167136"/>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0D68F8"/>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4004000C"/>
    <w:rsid w:val="411B6CE5"/>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7C24D79"/>
    <w:rsid w:val="48225EF7"/>
    <w:rsid w:val="488F422B"/>
    <w:rsid w:val="48E36915"/>
    <w:rsid w:val="48EB6572"/>
    <w:rsid w:val="495C4A24"/>
    <w:rsid w:val="497135DF"/>
    <w:rsid w:val="497174A2"/>
    <w:rsid w:val="4A263DF2"/>
    <w:rsid w:val="4A6F6675"/>
    <w:rsid w:val="4B135857"/>
    <w:rsid w:val="4B7951CB"/>
    <w:rsid w:val="4B7C315C"/>
    <w:rsid w:val="4DAC4ACA"/>
    <w:rsid w:val="4DBE01D2"/>
    <w:rsid w:val="4F0C6BA3"/>
    <w:rsid w:val="4F186D58"/>
    <w:rsid w:val="50F06B6E"/>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A3B59D6"/>
    <w:rsid w:val="5AD134D8"/>
    <w:rsid w:val="5C263CE4"/>
    <w:rsid w:val="5C5D2777"/>
    <w:rsid w:val="5CF66BF3"/>
    <w:rsid w:val="5D290C69"/>
    <w:rsid w:val="5F2D4A41"/>
    <w:rsid w:val="60C74F6C"/>
    <w:rsid w:val="61025A59"/>
    <w:rsid w:val="613D5BBC"/>
    <w:rsid w:val="61536C39"/>
    <w:rsid w:val="62944DD7"/>
    <w:rsid w:val="6319381F"/>
    <w:rsid w:val="63C25DC5"/>
    <w:rsid w:val="63C62057"/>
    <w:rsid w:val="64571EF5"/>
    <w:rsid w:val="647B6E46"/>
    <w:rsid w:val="64FB113D"/>
    <w:rsid w:val="656152C6"/>
    <w:rsid w:val="6587477F"/>
    <w:rsid w:val="658C3A08"/>
    <w:rsid w:val="65C031CA"/>
    <w:rsid w:val="65CE6852"/>
    <w:rsid w:val="66267C04"/>
    <w:rsid w:val="663F505A"/>
    <w:rsid w:val="66EE5541"/>
    <w:rsid w:val="67924660"/>
    <w:rsid w:val="68407834"/>
    <w:rsid w:val="6883293E"/>
    <w:rsid w:val="688412AD"/>
    <w:rsid w:val="68EB1B71"/>
    <w:rsid w:val="6AAD2300"/>
    <w:rsid w:val="6B474EF5"/>
    <w:rsid w:val="6C0A5AC5"/>
    <w:rsid w:val="6C560CAE"/>
    <w:rsid w:val="6C576495"/>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934AD2"/>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7">
    <w:name w:val="Default Paragraph Font"/>
    <w:unhideWhenUsed/>
    <w:uiPriority w:val="1"/>
  </w:style>
  <w:style w:type="table" w:default="1" w:styleId="9">
    <w:name w:val="Normal Table"/>
    <w:unhideWhenUsed/>
    <w:uiPriority w:val="99"/>
    <w:tblPr>
      <w:tblLayout w:type="fixed"/>
      <w:tblCellMar>
        <w:top w:w="0" w:type="dxa"/>
        <w:left w:w="108" w:type="dxa"/>
        <w:bottom w:w="0" w:type="dxa"/>
        <w:right w:w="108" w:type="dxa"/>
      </w:tblCellMar>
    </w:tblPr>
  </w:style>
  <w:style w:type="paragraph" w:styleId="2">
    <w:name w:val="annotation text"/>
    <w:basedOn w:val="1"/>
    <w:qFormat/>
    <w:uiPriority w:val="0"/>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qFormat/>
    <w:uiPriority w:val="0"/>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character" w:styleId="8">
    <w:name w:val="Strong"/>
    <w:qFormat/>
    <w:uiPriority w:val="0"/>
    <w:rPr>
      <w:b/>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 w:type="paragraph" w:customStyle="1" w:styleId="14">
    <w:name w:val="列出段落2"/>
    <w:qFormat/>
    <w:uiPriority w:val="99"/>
    <w:pPr>
      <w:ind w:firstLine="420" w:firstLineChars="200"/>
    </w:pPr>
    <w:rPr>
      <w:rFonts w:ascii="宋体" w:hAnsi="宋体" w:eastAsia="宋体" w:cs="Times New Roman"/>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Info spid="_x0000_s4098"/>
    <customShpInfo spid="_x0000_s409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7621</Words>
  <Characters>8921</Characters>
  <Lines>78</Lines>
  <Paragraphs>22</Paragraphs>
  <TotalTime>0</TotalTime>
  <ScaleCrop>false</ScaleCrop>
  <LinksUpToDate>false</LinksUpToDate>
  <CharactersWithSpaces>9339</CharactersWithSpaces>
  <Application>WPS Office_10.8.0.5761_F1E327BC-269C-435d-A152-05C5408002CA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程莉珊</cp:lastModifiedBy>
  <dcterms:modified xsi:type="dcterms:W3CDTF">2024-08-30T01:34:17Z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2052-10.8.0.5761</vt:lpwstr>
  </property>
  <property fmtid="{D5CDD505-2E9C-101B-9397-08002B2CF9AE}" pid="3" name="ICV">
    <vt:lpwstr>BB46EABDBB2749749395447164B066B3_12</vt:lpwstr>
  </property>
</Properties>
</file>