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0A" w:rsidRDefault="007E450A" w:rsidP="007E450A">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垫江县三溪镇退役军人服务站</w:t>
      </w:r>
    </w:p>
    <w:p w:rsidR="004778D0" w:rsidRDefault="007E450A" w:rsidP="007E450A">
      <w:pPr>
        <w:pStyle w:val="a7"/>
        <w:spacing w:before="0" w:beforeAutospacing="0"/>
        <w:jc w:val="center"/>
        <w:rPr>
          <w:rFonts w:hint="default"/>
          <w:sz w:val="27"/>
          <w:szCs w:val="27"/>
          <w:shd w:val="clear" w:color="auto" w:fill="FFFF00"/>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4778D0" w:rsidRDefault="007E450A">
      <w:pPr>
        <w:pStyle w:val="a7"/>
        <w:shd w:val="clear" w:color="auto" w:fill="FFFFFF"/>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4778D0" w:rsidRDefault="007E450A">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4778D0" w:rsidRDefault="007E450A">
      <w:pPr>
        <w:pStyle w:val="a7"/>
        <w:snapToGrid w:val="0"/>
        <w:spacing w:before="0" w:beforeAutospacing="0" w:after="0" w:afterAutospacing="0" w:line="594" w:lineRule="exact"/>
        <w:ind w:firstLineChars="200" w:firstLine="640"/>
        <w:jc w:val="both"/>
        <w:rPr>
          <w:rFonts w:ascii="方正仿宋_GBK" w:eastAsia="方正仿宋_GBK" w:hAnsi="方正仿宋_GBK" w:cs="方正仿宋_GBK" w:hint="default"/>
          <w:b/>
          <w:bCs/>
          <w:sz w:val="32"/>
          <w:szCs w:val="32"/>
        </w:rPr>
      </w:pPr>
      <w:r>
        <w:rPr>
          <w:rFonts w:ascii="Times New Roman" w:eastAsia="方正仿宋_GBK" w:hAnsi="Times New Roman" w:hint="default"/>
          <w:color w:val="000000"/>
          <w:sz w:val="32"/>
          <w:szCs w:val="32"/>
          <w:shd w:val="clear" w:color="auto" w:fill="FFFFFF"/>
        </w:rPr>
        <w:t>为退役军人提供服务。主要职责：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rsidR="004778D0" w:rsidRDefault="007E450A">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4778D0" w:rsidRDefault="007E450A">
      <w:pPr>
        <w:pStyle w:val="a7"/>
        <w:shd w:val="clear" w:color="auto" w:fill="FFFFFF"/>
        <w:spacing w:before="0" w:beforeAutospacing="0" w:after="0" w:afterAutospacing="0" w:line="594" w:lineRule="exact"/>
        <w:ind w:firstLineChars="200" w:firstLine="640"/>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共设置三溪镇退役军人服务站一个单位。</w:t>
      </w:r>
    </w:p>
    <w:p w:rsidR="004778D0" w:rsidRDefault="007E450A">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黑体" w:eastAsia="黑体" w:hAnsi="黑体" w:cs="黑体"/>
          <w:sz w:val="32"/>
          <w:szCs w:val="32"/>
          <w:shd w:val="clear" w:color="auto" w:fill="FFFFFF"/>
        </w:rPr>
        <w:t>二、单位决算收支情况说明</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4778D0" w:rsidRDefault="007E450A">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2024年度收入总计63.75万元，支出总计</w:t>
      </w:r>
      <w:r>
        <w:rPr>
          <w:rFonts w:ascii="方正仿宋_GBK" w:eastAsia="方正仿宋_GBK" w:hAnsi="方正仿宋_GBK" w:cs="方正仿宋_GBK"/>
          <w:sz w:val="32"/>
          <w:szCs w:val="32"/>
        </w:rPr>
        <w:t>63.75</w:t>
      </w:r>
      <w:r>
        <w:rPr>
          <w:rFonts w:ascii="方正仿宋_GBK" w:eastAsia="方正仿宋_GBK" w:hAnsi="方正仿宋_GBK" w:cs="方正仿宋_GBK"/>
          <w:sz w:val="32"/>
          <w:szCs w:val="32"/>
          <w:shd w:val="clear" w:color="auto" w:fill="FFFFFF"/>
        </w:rPr>
        <w:t>万元。收、支与2023年度相比，增加1.28万元，增长2.05%，主要原因是社保基数调整导致支出增加。</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2.收入情况。</w:t>
      </w:r>
      <w:r>
        <w:rPr>
          <w:rFonts w:ascii="方正仿宋_GBK" w:eastAsia="方正仿宋_GBK" w:hAnsi="方正仿宋_GBK" w:cs="方正仿宋_GBK"/>
          <w:sz w:val="32"/>
          <w:szCs w:val="32"/>
          <w:shd w:val="clear" w:color="auto" w:fill="FFFFFF"/>
        </w:rPr>
        <w:t>2024年度收入合计63.75万元，与2023年度相比，增加1.28万元，增长2.05%，主要原因是社保基数调整导致支出增加。其中：财政拨款收入</w:t>
      </w:r>
      <w:r>
        <w:rPr>
          <w:rFonts w:ascii="方正仿宋_GBK" w:eastAsia="方正仿宋_GBK" w:hAnsi="方正仿宋_GBK" w:cs="方正仿宋_GBK"/>
          <w:sz w:val="32"/>
          <w:szCs w:val="32"/>
        </w:rPr>
        <w:t>63.75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63.75</w:t>
      </w:r>
      <w:r>
        <w:rPr>
          <w:rFonts w:ascii="方正仿宋_GBK" w:eastAsia="方正仿宋_GBK" w:hAnsi="方正仿宋_GBK" w:cs="方正仿宋_GBK"/>
          <w:sz w:val="32"/>
          <w:szCs w:val="32"/>
          <w:shd w:val="clear" w:color="auto" w:fill="FFFFFF"/>
        </w:rPr>
        <w:t>万元，与2023年度相比，增加1.28万元，增长2.05%，主要原因是社保基数调整导致支出增加。其中：基本支出</w:t>
      </w:r>
      <w:r>
        <w:rPr>
          <w:rFonts w:ascii="方正仿宋_GBK" w:eastAsia="方正仿宋_GBK" w:hAnsi="方正仿宋_GBK" w:cs="方正仿宋_GBK"/>
          <w:sz w:val="32"/>
          <w:szCs w:val="32"/>
        </w:rPr>
        <w:t>63.75</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万元，与2023年度相比，无增减，主要原因是2024年收入、支出相等，2023年结转结余为0。</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2024年度财政拨款收、支总计63.75万元。与2022年相比，财政拨款收、支总计各增加1.28万元，增长2.05%。主要原因是社保基数调整导致支出增加。</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63.75</w:t>
      </w:r>
      <w:r>
        <w:rPr>
          <w:rFonts w:ascii="方正仿宋_GBK" w:eastAsia="方正仿宋_GBK" w:hAnsi="方正仿宋_GBK" w:cs="方正仿宋_GBK"/>
          <w:sz w:val="32"/>
          <w:szCs w:val="32"/>
          <w:shd w:val="clear" w:color="auto" w:fill="FFFFFF"/>
        </w:rPr>
        <w:t>万元，与2023年度相比，增加1.28万元，增长2.05%。主要原因是社保基数调整导致支出增加。较年初预算数增加3.56</w:t>
      </w:r>
      <w:r>
        <w:rPr>
          <w:rFonts w:ascii="方正仿宋_GBK" w:eastAsia="方正仿宋_GBK" w:hAnsi="方正仿宋_GBK" w:cs="方正仿宋_GBK"/>
          <w:sz w:val="32"/>
          <w:szCs w:val="32"/>
          <w:shd w:val="clear" w:color="auto" w:fill="FFFFFF"/>
        </w:rPr>
        <w:lastRenderedPageBreak/>
        <w:t>万元，增长5.91%。主要原因是社保基数调整导致支出增加。此外，年初财政拨款结转和结余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63.75</w:t>
      </w:r>
      <w:r>
        <w:rPr>
          <w:rFonts w:ascii="方正仿宋_GBK" w:eastAsia="方正仿宋_GBK" w:hAnsi="方正仿宋_GBK" w:cs="方正仿宋_GBK"/>
          <w:sz w:val="32"/>
          <w:szCs w:val="32"/>
          <w:shd w:val="clear" w:color="auto" w:fill="FFFFFF"/>
        </w:rPr>
        <w:t>万元，与2023年度相比，增加1.28万元，增长2.05%。主要原因是社保基数调整导致支出增加。较年初预算数增加3.56万元，增长5.91%。主要原因是社保基数调整导致支出增加。</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万元，与2023年度相比，无增减，主要原因是2024年收入、支出相等，2023年结转结余为0。</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58.60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91.92</w:t>
      </w:r>
      <w:r>
        <w:rPr>
          <w:rFonts w:ascii="方正仿宋_GBK" w:eastAsia="方正仿宋_GBK" w:hAnsi="方正仿宋_GBK" w:cs="方正仿宋_GBK"/>
          <w:sz w:val="32"/>
          <w:szCs w:val="32"/>
          <w:shd w:val="clear" w:color="auto" w:fill="FFFFFF"/>
        </w:rPr>
        <w:t>%，较年初预算数增加3.56万元，增长6.47%，主要原因是社保基数调整导致支出增加</w:t>
      </w:r>
      <w:r>
        <w:rPr>
          <w:rFonts w:ascii="Times New Roman" w:eastAsia="方正仿宋_GBK" w:hAnsi="Times New Roman"/>
          <w:color w:val="000000"/>
          <w:sz w:val="32"/>
          <w:szCs w:val="32"/>
        </w:rPr>
        <w:t>。</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2.34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3.67</w:t>
      </w:r>
      <w:r>
        <w:rPr>
          <w:rFonts w:ascii="方正仿宋_GBK" w:eastAsia="方正仿宋_GBK" w:hAnsi="方正仿宋_GBK" w:cs="方正仿宋_GBK"/>
          <w:sz w:val="32"/>
          <w:szCs w:val="32"/>
          <w:shd w:val="clear" w:color="auto" w:fill="FFFFFF"/>
        </w:rPr>
        <w:t>%，较年初预算数无增减，主要原因是实际支出与年初预算相等。</w:t>
      </w:r>
    </w:p>
    <w:p w:rsidR="004778D0" w:rsidRDefault="007E450A">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rPr>
        <w:t>住房保障支出2.81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4.41</w:t>
      </w:r>
      <w:r>
        <w:rPr>
          <w:rFonts w:ascii="方正仿宋_GBK" w:eastAsia="方正仿宋_GBK" w:hAnsi="方正仿宋_GBK" w:cs="方正仿宋_GBK"/>
          <w:sz w:val="32"/>
          <w:szCs w:val="32"/>
          <w:shd w:val="clear" w:color="auto" w:fill="FFFFFF"/>
        </w:rPr>
        <w:t>%，较年初预算数无增减，主要原因是实际支出与年初预算相等。</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2024年度一般公共财政拨款基本支出</w:t>
      </w:r>
      <w:r>
        <w:rPr>
          <w:rFonts w:ascii="方正仿宋_GBK" w:eastAsia="方正仿宋_GBK" w:hAnsi="方正仿宋_GBK" w:cs="方正仿宋_GBK"/>
          <w:sz w:val="32"/>
          <w:szCs w:val="32"/>
        </w:rPr>
        <w:t>63.75</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61.05</w:t>
      </w:r>
      <w:r>
        <w:rPr>
          <w:rFonts w:ascii="方正仿宋_GBK" w:eastAsia="方正仿宋_GBK" w:hAnsi="方正仿宋_GBK" w:cs="方正仿宋_GBK"/>
          <w:sz w:val="32"/>
          <w:szCs w:val="32"/>
          <w:shd w:val="clear" w:color="auto" w:fill="FFFFFF"/>
        </w:rPr>
        <w:t>万元，与2023年度相比，增加2.90万元，增长4.99%，主要原因是社保基数调整导致支出增加</w:t>
      </w:r>
      <w:r>
        <w:rPr>
          <w:rFonts w:ascii="Times New Roman" w:eastAsia="方正仿宋_GBK" w:hAnsi="Times New Roman"/>
          <w:color w:val="000000"/>
          <w:sz w:val="32"/>
          <w:szCs w:val="32"/>
        </w:rPr>
        <w:t>。</w:t>
      </w: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hint="default"/>
          <w:sz w:val="32"/>
          <w:szCs w:val="32"/>
          <w:shd w:val="clear" w:color="auto" w:fill="FFFFFF"/>
        </w:rPr>
        <w:t>基本工资、津贴补贴、奖金、绩效工资、机</w:t>
      </w:r>
      <w:r>
        <w:rPr>
          <w:rFonts w:ascii="Times New Roman" w:eastAsia="方正仿宋_GBK" w:hAnsi="Times New Roman" w:hint="default"/>
          <w:sz w:val="32"/>
          <w:szCs w:val="32"/>
          <w:shd w:val="clear" w:color="auto" w:fill="FFFFFF"/>
        </w:rPr>
        <w:lastRenderedPageBreak/>
        <w:t>关事业单位基本养老保险费、职业年金缴费、职工基本医疗保险缴费、其他社会保障缴费、住房公积金、医疗费、其他工资福利支出、生活补助。</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2.70</w:t>
      </w:r>
      <w:r>
        <w:rPr>
          <w:rFonts w:ascii="方正仿宋_GBK" w:eastAsia="方正仿宋_GBK" w:hAnsi="方正仿宋_GBK" w:cs="方正仿宋_GBK"/>
          <w:sz w:val="32"/>
          <w:szCs w:val="32"/>
          <w:shd w:val="clear" w:color="auto" w:fill="FFFFFF"/>
        </w:rPr>
        <w:t>万元，与2023年度相比，减少1.62万元，下降37.50%，主要原因是缩减差旅费支出，导致公用经费减少。公用经费用途主要包括</w:t>
      </w:r>
      <w:r>
        <w:rPr>
          <w:rFonts w:ascii="Times New Roman" w:eastAsia="方正仿宋_GBK" w:hAnsi="Times New Roman" w:hint="default"/>
          <w:sz w:val="32"/>
          <w:szCs w:val="32"/>
          <w:shd w:val="clear" w:color="auto" w:fill="FFFFFF"/>
        </w:rPr>
        <w:t>办公费、水费、电费、邮电费、差旅费、维修（护）费、会议费、培训费、公务接待费、专用材料费、劳务费、委托业务费、工会经费、福利费、公务车运行维护费、其他交通费用、其他商品和服务支出、办公设备购置。</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4778D0" w:rsidRDefault="007E450A">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三、财政拨款“三公”经费情况说明</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2024年度“三公”经费支出共计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万元，较年初预算数无增减，主要原因是2024年无“三公”经费预算支出。较上年支出数无增减，主要原因是202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年无“三公”经费预算支出。</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万元，主要是用于</w:t>
      </w:r>
      <w:r>
        <w:rPr>
          <w:rFonts w:ascii="Times New Roman" w:eastAsia="方正仿宋_GBK" w:hAnsi="Times New Roman" w:hint="default"/>
          <w:sz w:val="32"/>
          <w:szCs w:val="32"/>
          <w:shd w:val="clear" w:color="auto" w:fill="FFFFFF"/>
        </w:rPr>
        <w:t>公务出国（境）的国际差旅、国外城市间交通费、住宿费、伙食费、培训费、公杂费等支出</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hint="default"/>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Times New Roman" w:eastAsia="方正仿宋_GBK" w:hAnsi="Times New Roman" w:hint="default"/>
          <w:sz w:val="32"/>
          <w:szCs w:val="32"/>
          <w:shd w:val="clear" w:color="auto" w:fill="FFFFFF"/>
        </w:rPr>
        <w:t>年无因公出国（境）费用预算支出</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年无因公出国（境）费用预算支出。</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万元，主要用于公务用车购置支出（含车辆购置税、牌照费）。费用支出较年初预算数无增减，主要原因是2024年无公务车购置费预算支出。较上年支出数无增减，主要原因是202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年无公务车购置费预算支出。</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万元，主要用于县内因公出行，应急、矿山安全、下乡检查工作等所需车辆的燃料费、维修费、过桥过路费、保险费等。费用支出较年初预算数无增减，主要原因是2024年</w:t>
      </w:r>
      <w:r>
        <w:rPr>
          <w:rFonts w:ascii="Times New Roman" w:eastAsia="方正仿宋_GBK" w:hAnsi="Times New Roman" w:hint="default"/>
          <w:sz w:val="32"/>
          <w:szCs w:val="32"/>
          <w:shd w:val="clear" w:color="auto" w:fill="FFFFFF"/>
        </w:rPr>
        <w:t>无公务车运行维护费预算支出</w:t>
      </w:r>
      <w:r>
        <w:rPr>
          <w:rFonts w:ascii="方正仿宋_GBK" w:eastAsia="方正仿宋_GBK" w:hAnsi="方正仿宋_GBK" w:cs="方正仿宋_GBK"/>
          <w:sz w:val="32"/>
          <w:szCs w:val="32"/>
          <w:shd w:val="clear" w:color="auto" w:fill="FFFFFF"/>
        </w:rPr>
        <w:t>。较上年支出数无增减，主要原因是202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无公务车运行维护费预算支出</w:t>
      </w:r>
      <w:r>
        <w:rPr>
          <w:rFonts w:ascii="方正仿宋_GBK" w:eastAsia="方正仿宋_GBK" w:hAnsi="方正仿宋_GBK" w:cs="方正仿宋_GBK"/>
          <w:sz w:val="32"/>
          <w:szCs w:val="32"/>
          <w:shd w:val="clear" w:color="auto" w:fill="FFFFFF"/>
        </w:rPr>
        <w:t>。</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万元，主要用于接待相关部门检查指导工作发生的接待支出。费用支出较年初预算数无增减，主要</w:t>
      </w:r>
      <w:r>
        <w:rPr>
          <w:rFonts w:ascii="方正仿宋_GBK" w:eastAsia="方正仿宋_GBK" w:hAnsi="方正仿宋_GBK" w:cs="方正仿宋_GBK"/>
          <w:sz w:val="32"/>
          <w:szCs w:val="32"/>
          <w:shd w:val="clear" w:color="auto" w:fill="FFFFFF"/>
        </w:rPr>
        <w:lastRenderedPageBreak/>
        <w:t>原因是</w:t>
      </w:r>
      <w:r>
        <w:rPr>
          <w:rFonts w:ascii="Times New Roman" w:eastAsia="方正仿宋_GBK" w:hAnsi="Times New Roman" w:hint="default"/>
          <w:sz w:val="32"/>
          <w:szCs w:val="32"/>
          <w:shd w:val="clear" w:color="auto" w:fill="FFFFFF"/>
        </w:rPr>
        <w:t>202</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年无公务接待费预算支出</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年无公务接待费预算支出</w:t>
      </w:r>
      <w:r>
        <w:rPr>
          <w:rFonts w:ascii="Times New Roman" w:eastAsia="方正仿宋_GBK" w:hAnsi="Times New Roman"/>
          <w:sz w:val="32"/>
          <w:szCs w:val="32"/>
          <w:shd w:val="clear" w:color="auto" w:fill="FFFFFF"/>
        </w:rPr>
        <w:t>。</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4778D0" w:rsidRDefault="007E450A">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万元，与2023年度相比，无增减，主要原因是202</w:t>
      </w:r>
      <w:r>
        <w:rPr>
          <w:rFonts w:ascii="方正仿宋_GBK" w:eastAsia="方正仿宋_GBK" w:hAnsi="方正仿宋_GBK" w:cs="方正仿宋_GBK" w:hint="default"/>
          <w:sz w:val="32"/>
          <w:szCs w:val="32"/>
          <w:shd w:val="clear" w:color="auto" w:fill="FFFFFF"/>
        </w:rPr>
        <w:t>4</w:t>
      </w:r>
      <w:r>
        <w:rPr>
          <w:rFonts w:ascii="Times New Roman" w:eastAsia="方正仿宋_GBK" w:hAnsi="Times New Roman" w:hint="default"/>
          <w:sz w:val="32"/>
          <w:szCs w:val="32"/>
          <w:shd w:val="clear" w:color="auto" w:fill="FFFFFF"/>
        </w:rPr>
        <w:t>年无</w:t>
      </w:r>
      <w:r>
        <w:rPr>
          <w:rFonts w:ascii="Times New Roman" w:eastAsia="方正仿宋_GBK" w:hAnsi="Times New Roman"/>
          <w:sz w:val="32"/>
          <w:szCs w:val="32"/>
          <w:shd w:val="clear" w:color="auto" w:fill="FFFFFF"/>
        </w:rPr>
        <w:t>会议</w:t>
      </w:r>
      <w:r>
        <w:rPr>
          <w:rFonts w:ascii="Times New Roman" w:eastAsia="方正仿宋_GBK" w:hAnsi="Times New Roman" w:hint="default"/>
          <w:sz w:val="32"/>
          <w:szCs w:val="32"/>
          <w:shd w:val="clear" w:color="auto" w:fill="FFFFFF"/>
        </w:rPr>
        <w:t>费预算支出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万元，与2023年度相比，无变化，主要原因是</w:t>
      </w:r>
      <w:r>
        <w:rPr>
          <w:rFonts w:ascii="方正仿宋_GBK" w:eastAsia="方正仿宋_GBK" w:hAnsi="方正仿宋_GBK" w:cs="方正仿宋_GBK" w:hint="default"/>
          <w:sz w:val="32"/>
          <w:szCs w:val="32"/>
          <w:shd w:val="clear" w:color="auto" w:fill="FFFFFF"/>
        </w:rPr>
        <w:t>2024年无</w:t>
      </w:r>
      <w:r>
        <w:rPr>
          <w:rFonts w:ascii="Times New Roman" w:eastAsia="方正仿宋_GBK" w:hAnsi="Times New Roman"/>
          <w:sz w:val="32"/>
          <w:szCs w:val="32"/>
          <w:shd w:val="clear" w:color="auto" w:fill="FFFFFF"/>
        </w:rPr>
        <w:t>培训</w:t>
      </w:r>
      <w:r>
        <w:rPr>
          <w:rFonts w:ascii="Times New Roman" w:eastAsia="方正仿宋_GBK" w:hAnsi="Times New Roman" w:hint="default"/>
          <w:sz w:val="32"/>
          <w:szCs w:val="32"/>
          <w:shd w:val="clear" w:color="auto" w:fill="FFFFFF"/>
        </w:rPr>
        <w:t>费预算支出</w:t>
      </w:r>
      <w:r>
        <w:rPr>
          <w:rFonts w:ascii="Times New Roman" w:eastAsia="方正仿宋_GBK" w:hAnsi="Times New Roman"/>
          <w:sz w:val="32"/>
          <w:szCs w:val="32"/>
          <w:shd w:val="clear" w:color="auto" w:fill="FFFFFF"/>
        </w:rPr>
        <w:t>。</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4778D0" w:rsidRDefault="007E450A" w:rsidP="007E450A">
      <w:pPr>
        <w:pStyle w:val="a7"/>
        <w:snapToGrid w:val="0"/>
        <w:spacing w:before="0" w:beforeAutospacing="0" w:after="0" w:afterAutospacing="0" w:line="600" w:lineRule="exact"/>
        <w:ind w:firstLineChars="250" w:firstLine="80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截至2024年12月31日，本单位共有车辆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w:t>
      </w:r>
      <w:r>
        <w:rPr>
          <w:rFonts w:ascii="方正仿宋_GBK" w:eastAsia="方正仿宋_GBK" w:hAnsi="方正仿宋_GBK" w:cs="方正仿宋_GBK"/>
          <w:sz w:val="32"/>
          <w:szCs w:val="32"/>
          <w:shd w:val="clear" w:color="auto" w:fill="FFFFFF"/>
        </w:rPr>
        <w:lastRenderedPageBreak/>
        <w:t>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w:t>
      </w:r>
      <w:r w:rsidRPr="000862B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0862B1">
        <w:rPr>
          <w:rFonts w:ascii="方正仿宋_GBK" w:eastAsia="方正仿宋_GBK" w:hAnsi="方正仿宋_GBK" w:cs="方正仿宋_GBK"/>
          <w:sz w:val="32"/>
          <w:szCs w:val="32"/>
          <w:shd w:val="clear" w:color="auto" w:fill="FFFFFF"/>
        </w:rPr>
        <w:t>年度我</w:t>
      </w:r>
      <w:r>
        <w:rPr>
          <w:rFonts w:ascii="方正仿宋_GBK" w:eastAsia="方正仿宋_GBK" w:hAnsi="方正仿宋_GBK" w:cs="方正仿宋_GBK"/>
          <w:sz w:val="32"/>
          <w:szCs w:val="32"/>
          <w:shd w:val="clear" w:color="auto" w:fill="FFFFFF"/>
        </w:rPr>
        <w:t>单位</w:t>
      </w:r>
      <w:r w:rsidRPr="000862B1">
        <w:rPr>
          <w:rFonts w:ascii="方正仿宋_GBK" w:eastAsia="方正仿宋_GBK" w:hAnsi="方正仿宋_GBK" w:cs="方正仿宋_GBK"/>
          <w:sz w:val="32"/>
          <w:szCs w:val="32"/>
          <w:shd w:val="clear" w:color="auto" w:fill="FFFFFF"/>
        </w:rPr>
        <w:t>未发生政府采购事项，无相关经费支出。</w:t>
      </w:r>
    </w:p>
    <w:p w:rsidR="004778D0" w:rsidRDefault="007E450A">
      <w:pPr>
        <w:pStyle w:val="a7"/>
        <w:shd w:val="clear" w:color="auto" w:fill="FFFFFF"/>
        <w:ind w:firstLineChars="200" w:firstLine="643"/>
        <w:rPr>
          <w:rFonts w:ascii="方正仿宋_GBK" w:eastAsia="方正仿宋_GBK" w:hAnsi="方正仿宋_GBK" w:cs="方正仿宋_GBK" w:hint="default"/>
          <w:sz w:val="32"/>
          <w:szCs w:val="32"/>
          <w:highlight w:val="yellow"/>
          <w:shd w:val="clear" w:color="auto" w:fill="FFFFFF"/>
        </w:rPr>
      </w:pPr>
      <w:r>
        <w:rPr>
          <w:rStyle w:val="a9"/>
          <w:rFonts w:ascii="黑体" w:eastAsia="黑体" w:hAnsi="黑体" w:cs="黑体"/>
          <w:sz w:val="32"/>
          <w:szCs w:val="32"/>
          <w:shd w:val="clear" w:color="auto" w:fill="FFFFFF"/>
        </w:rPr>
        <w:t>五、2024年度预算绩效管理情况说明</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4778D0" w:rsidRDefault="007E450A">
      <w:pPr>
        <w:pStyle w:val="Char"/>
        <w:autoSpaceDE w:val="0"/>
        <w:spacing w:before="0" w:beforeAutospacing="0" w:after="0" w:afterAutospacing="0" w:line="594" w:lineRule="exact"/>
        <w:ind w:firstLineChars="250" w:firstLine="800"/>
        <w:rPr>
          <w:rFonts w:ascii="方正仿宋_GBK" w:eastAsia="方正仿宋_GBK" w:hAnsi="方正仿宋_GBK" w:cs="方正仿宋_GBK"/>
          <w:sz w:val="32"/>
          <w:szCs w:val="32"/>
        </w:rPr>
      </w:pPr>
      <w:r>
        <w:rPr>
          <w:rFonts w:ascii="Times New Roman" w:eastAsia="方正仿宋_GBK" w:hAnsi="Times New Roman"/>
          <w:sz w:val="32"/>
          <w:szCs w:val="32"/>
          <w:shd w:val="clear" w:color="auto" w:fill="FFFFFF"/>
          <w:lang w:bidi="ar"/>
        </w:rPr>
        <w:t>根据预算绩效管理要求，我单位无部门整体、一级项目、二级项目绩效自评，涉及财政拨款项目支出资金</w:t>
      </w:r>
      <w:r>
        <w:rPr>
          <w:rFonts w:ascii="Times New Roman" w:eastAsia="方正仿宋_GBK" w:hAnsi="Times New Roman"/>
          <w:sz w:val="32"/>
          <w:szCs w:val="32"/>
          <w:shd w:val="clear" w:color="auto" w:fill="FFFFFF"/>
          <w:lang w:bidi="ar"/>
        </w:rPr>
        <w:t>0</w:t>
      </w:r>
      <w:r>
        <w:rPr>
          <w:rFonts w:ascii="Times New Roman" w:eastAsia="方正仿宋_GBK" w:hAnsi="Times New Roman"/>
          <w:sz w:val="32"/>
          <w:szCs w:val="32"/>
          <w:shd w:val="clear" w:color="auto" w:fill="FFFFFF"/>
          <w:lang w:bidi="ar"/>
        </w:rPr>
        <w:t>万元</w:t>
      </w:r>
      <w:r>
        <w:rPr>
          <w:rFonts w:ascii="Times New Roman" w:eastAsia="方正仿宋_GBK" w:hAnsi="Times New Roman"/>
          <w:sz w:val="32"/>
          <w:szCs w:val="32"/>
          <w:shd w:val="clear" w:color="auto" w:fill="FFFFFF"/>
        </w:rPr>
        <w:t>。</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4778D0" w:rsidRDefault="007E450A">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楷体" w:cs="楷体" w:hint="eastAsia"/>
          <w:bCs/>
          <w:sz w:val="32"/>
          <w:szCs w:val="32"/>
          <w:shd w:val="clear" w:color="auto" w:fill="FFFFFF"/>
        </w:rPr>
        <w:t>我单位未组织开展绩效评价。</w:t>
      </w:r>
    </w:p>
    <w:p w:rsidR="004778D0" w:rsidRDefault="007E450A">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4778D0" w:rsidRDefault="007E450A">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楷体" w:cs="楷体" w:hint="eastAsia"/>
          <w:bCs/>
          <w:sz w:val="32"/>
          <w:szCs w:val="32"/>
          <w:shd w:val="clear" w:color="auto" w:fill="FFFFFF"/>
        </w:rPr>
        <w:t>县财政局未委托第三方对我单位开展绩效评价。</w:t>
      </w:r>
    </w:p>
    <w:p w:rsidR="004778D0" w:rsidRDefault="007E450A">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w:t>
      </w:r>
      <w:r>
        <w:rPr>
          <w:rFonts w:ascii="方正仿宋_GBK" w:eastAsia="方正仿宋_GBK" w:hAnsi="方正仿宋_GBK" w:cs="方正仿宋_GBK"/>
          <w:sz w:val="32"/>
          <w:szCs w:val="32"/>
          <w:shd w:val="clear" w:color="auto" w:fill="FFFFFF"/>
        </w:rPr>
        <w:lastRenderedPageBreak/>
        <w:t>利费、日常维护费、专用材料及一般设备购置费、办公用房水电费、办公用房取暖费、办公用房物业管理费、公务用车运行维护费以及其他费用。</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4778D0" w:rsidRDefault="007E450A">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4778D0" w:rsidRDefault="007E450A">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4778D0" w:rsidRDefault="007E450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本单位决算公开信息反馈和联系方式：023-74598116</w:t>
      </w:r>
    </w:p>
    <w:p w:rsidR="004778D0" w:rsidRDefault="004778D0">
      <w:pPr>
        <w:pStyle w:val="1"/>
        <w:autoSpaceDE w:val="0"/>
        <w:ind w:firstLineChars="0" w:firstLine="0"/>
        <w:rPr>
          <w:rStyle w:val="a9"/>
          <w:rFonts w:ascii="方正仿宋_GBK" w:eastAsia="方正仿宋_GBK" w:hAnsi="方正仿宋_GBK" w:cs="方正仿宋_GBK"/>
          <w:sz w:val="32"/>
          <w:szCs w:val="32"/>
          <w:shd w:val="clear" w:color="auto" w:fill="FFFF00"/>
        </w:rPr>
      </w:pPr>
    </w:p>
    <w:p w:rsidR="004778D0" w:rsidRDefault="004778D0">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4778D0">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4838EB" w:rsidTr="00E83C65">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4838EB" w:rsidTr="00E83C65">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4838EB" w:rsidTr="00E83C65">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rPr>
                <w:rFonts w:ascii="Arial" w:hAnsi="Arial" w:cs="Arial" w:hint="default"/>
                <w:color w:val="000000"/>
                <w:sz w:val="22"/>
                <w:szCs w:val="22"/>
              </w:rPr>
            </w:pPr>
            <w:r>
              <w:rPr>
                <w:rFonts w:cs="宋体"/>
                <w:sz w:val="20"/>
                <w:szCs w:val="20"/>
              </w:rPr>
              <w:t>单位：</w:t>
            </w:r>
            <w:r>
              <w:rPr>
                <w:sz w:val="20"/>
              </w:rPr>
              <w:t>垫江县三溪镇退役军人服务站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838EB" w:rsidTr="00E83C65">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63.75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58.60</w:t>
            </w: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2.34</w:t>
            </w: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63.75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63.75</w:t>
            </w: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4838EB" w:rsidTr="00E83C65">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63.75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4838EB" w:rsidRDefault="004838EB" w:rsidP="004838E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63.75</w:t>
            </w:r>
            <w:r>
              <w:rPr>
                <w:rFonts w:ascii="Times New Roman" w:hAnsi="Times New Roman"/>
                <w:color w:val="000000"/>
                <w:sz w:val="20"/>
              </w:rPr>
              <w:t xml:space="preserve"> </w:t>
            </w:r>
          </w:p>
        </w:tc>
      </w:tr>
    </w:tbl>
    <w:p w:rsidR="004838EB" w:rsidRDefault="004838EB" w:rsidP="004838EB">
      <w:pPr>
        <w:rPr>
          <w:rFonts w:cs="宋体" w:hint="default"/>
          <w:sz w:val="21"/>
          <w:szCs w:val="21"/>
        </w:rPr>
      </w:pPr>
    </w:p>
    <w:p w:rsidR="004838EB" w:rsidRDefault="004838EB" w:rsidP="004838EB">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4838EB" w:rsidTr="00E83C65">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838EB" w:rsidTr="00E83C65">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4838EB" w:rsidRDefault="004838EB" w:rsidP="004838EB">
            <w:pPr>
              <w:spacing w:line="280" w:lineRule="exact"/>
              <w:rPr>
                <w:rFonts w:cs="宋体" w:hint="default"/>
                <w:color w:val="000000"/>
                <w:sz w:val="20"/>
                <w:szCs w:val="20"/>
              </w:rPr>
            </w:pPr>
            <w:r>
              <w:rPr>
                <w:rFonts w:cs="宋体"/>
                <w:sz w:val="20"/>
                <w:szCs w:val="20"/>
              </w:rPr>
              <w:t>单位：</w:t>
            </w:r>
            <w:r>
              <w:rPr>
                <w:sz w:val="20"/>
              </w:rPr>
              <w:t>垫江县三溪镇退役军人服务站</w:t>
            </w:r>
          </w:p>
        </w:tc>
        <w:tc>
          <w:tcPr>
            <w:tcW w:w="46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4838EB" w:rsidTr="00E83C65">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838EB" w:rsidTr="00E83C65">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4838EB" w:rsidRDefault="004838EB" w:rsidP="004838EB">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其他收入</w:t>
            </w:r>
          </w:p>
        </w:tc>
      </w:tr>
      <w:tr w:rsidR="004838EB" w:rsidTr="00E83C65">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63.75</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63.75</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838EB"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58.60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58.60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838EB"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838EB"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20828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退役军人管理事务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2082850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46.72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46.72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838EB"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838EB"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4838EB" w:rsidRDefault="004838EB" w:rsidP="004838EB">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4838EB" w:rsidRDefault="004838EB" w:rsidP="004838EB">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4838EB" w:rsidTr="00E83C65">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838EB" w:rsidTr="00E83C65">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垫江县三溪镇退役军人服务站 </w:t>
            </w:r>
          </w:p>
        </w:tc>
        <w:tc>
          <w:tcPr>
            <w:tcW w:w="57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4838EB" w:rsidTr="00E83C65">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838EB" w:rsidTr="00E83C6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对附属单位补助支出</w:t>
            </w:r>
          </w:p>
        </w:tc>
      </w:tr>
      <w:tr w:rsidR="004838EB" w:rsidTr="00E83C65">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63.75</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63.75</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838EB"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58.60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58.60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11.88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838EB"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838EB"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20828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退役军人管理事务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2082850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46.72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46.72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838EB"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838EB"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4838EB" w:rsidRDefault="004838EB" w:rsidP="004838EB">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4838EB" w:rsidRDefault="004838EB" w:rsidP="004838EB">
      <w:pPr>
        <w:rPr>
          <w:rFonts w:cs="宋体" w:hint="default"/>
          <w:sz w:val="21"/>
          <w:szCs w:val="21"/>
        </w:rPr>
      </w:pPr>
      <w:r>
        <w:rPr>
          <w:rFonts w:cs="宋体"/>
          <w:sz w:val="21"/>
          <w:szCs w:val="21"/>
        </w:rPr>
        <w:br w:type="page"/>
      </w:r>
    </w:p>
    <w:p w:rsidR="004838EB" w:rsidRDefault="004838EB" w:rsidP="004838E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4838EB" w:rsidTr="00E83C65">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838EB" w:rsidTr="00E83C65">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838EB" w:rsidRDefault="004838EB" w:rsidP="004838EB">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垫江县三溪镇退役军人服务站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4838EB" w:rsidTr="00E83C65">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838EB" w:rsidTr="00E83C65">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4838EB" w:rsidTr="00E83C65">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4838EB" w:rsidTr="00E83C65">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58.60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58.60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200" w:lineRule="exact"/>
              <w:rPr>
                <w:rFonts w:ascii="Times New Roman" w:hAnsi="Times New Roman" w:hint="default"/>
                <w:color w:val="000000"/>
                <w:sz w:val="18"/>
                <w:szCs w:val="18"/>
              </w:rPr>
            </w:pP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right"/>
              <w:rPr>
                <w:rFonts w:ascii="Times New Roman" w:hAnsi="Times New Roman" w:hint="default"/>
                <w:color w:val="000000"/>
                <w:sz w:val="18"/>
                <w:szCs w:val="18"/>
              </w:rPr>
            </w:pPr>
          </w:p>
        </w:tc>
      </w:tr>
      <w:tr w:rsidR="004838EB" w:rsidTr="00E83C65">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63.75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4838EB" w:rsidRDefault="004838EB" w:rsidP="004838EB">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4838EB" w:rsidTr="00E83C6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838EB" w:rsidTr="00E83C65">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4838EB" w:rsidRDefault="004838EB" w:rsidP="004838EB">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垫江县三溪镇退役军人服务站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4838EB" w:rsidTr="00E83C65">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838EB" w:rsidTr="00E83C65">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本年支出</w:t>
            </w:r>
          </w:p>
        </w:tc>
      </w:tr>
      <w:tr w:rsidR="004838EB" w:rsidTr="00E83C65">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项目支出</w:t>
            </w:r>
          </w:p>
        </w:tc>
      </w:tr>
      <w:tr w:rsidR="004838EB" w:rsidTr="00E83C65">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63.75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63.75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838EB"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58.60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58.60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11.88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11.88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838EB"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838EB"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20828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退役军人管理事务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46.72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2082850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46.72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46.72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838EB"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4838EB"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2.81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4838EB" w:rsidTr="00E83C65">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4838EB" w:rsidRDefault="004838EB" w:rsidP="004838EB">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4838EB" w:rsidRDefault="004838EB" w:rsidP="004838EB">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4838EB" w:rsidTr="00E83C65">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838EB" w:rsidTr="00E83C65">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4838EB" w:rsidRDefault="004838EB" w:rsidP="004838EB">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垫江县三溪镇退役军人服务站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4838EB" w:rsidTr="00E83C65">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838EB" w:rsidTr="00E83C65">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4838EB" w:rsidTr="00E83C65">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4838EB" w:rsidTr="00E83C65">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spacing w:line="192" w:lineRule="exact"/>
              <w:jc w:val="center"/>
              <w:rPr>
                <w:rFonts w:cs="宋体" w:hint="default"/>
                <w:b/>
                <w:color w:val="000000"/>
                <w:sz w:val="18"/>
                <w:szCs w:val="18"/>
              </w:rPr>
            </w:pP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61.05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11.89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28.72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rPr>
                <w:rFonts w:ascii="Times New Roman" w:hAnsi="Times New Roman" w:hint="default"/>
                <w:color w:val="000000"/>
                <w:sz w:val="18"/>
                <w:szCs w:val="18"/>
              </w:rPr>
            </w:pPr>
          </w:p>
        </w:tc>
      </w:tr>
      <w:tr w:rsidR="004838EB" w:rsidTr="00E83C65">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rPr>
                <w:rFonts w:ascii="Times New Roman" w:hAnsi="Times New Roman" w:hint="default"/>
                <w:color w:val="000000"/>
                <w:sz w:val="18"/>
                <w:szCs w:val="18"/>
              </w:rPr>
            </w:pPr>
          </w:p>
        </w:tc>
      </w:tr>
      <w:tr w:rsidR="004838EB" w:rsidTr="00E83C65">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rPr>
                <w:rFonts w:ascii="Times New Roman" w:hAnsi="Times New Roman" w:hint="default"/>
                <w:color w:val="000000"/>
                <w:sz w:val="18"/>
                <w:szCs w:val="18"/>
              </w:rPr>
            </w:pPr>
          </w:p>
        </w:tc>
      </w:tr>
      <w:tr w:rsidR="004838EB" w:rsidTr="00E83C65">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61.05</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2.70</w:t>
            </w:r>
            <w:r>
              <w:rPr>
                <w:rFonts w:ascii="Times New Roman" w:hAnsi="Times New Roman"/>
                <w:color w:val="000000"/>
                <w:sz w:val="18"/>
              </w:rPr>
              <w:t xml:space="preserve"> </w:t>
            </w:r>
          </w:p>
        </w:tc>
      </w:tr>
    </w:tbl>
    <w:p w:rsidR="004838EB" w:rsidRDefault="004838EB" w:rsidP="004838EB">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bookmarkStart w:id="0" w:name="_GoBack"/>
      <w:bookmarkEnd w:id="0"/>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4838EB" w:rsidTr="00E83C65">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4838EB" w:rsidTr="00E83C65">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4838EB" w:rsidRDefault="004838EB" w:rsidP="004838EB">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垫江县三溪镇退役军人服务站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4838EB" w:rsidTr="00E83C65">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838EB" w:rsidTr="00E83C65">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年末结转和结余</w:t>
            </w:r>
          </w:p>
        </w:tc>
      </w:tr>
      <w:tr w:rsidR="004838EB" w:rsidTr="00E83C65">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838EB" w:rsidTr="00E83C65">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4838EB" w:rsidRDefault="004838EB" w:rsidP="004838EB">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4838EB" w:rsidRDefault="004838EB" w:rsidP="004838EB">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4838EB" w:rsidTr="00E83C65">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838EB" w:rsidTr="00E83C65">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4838EB" w:rsidRDefault="004838EB" w:rsidP="004838EB">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垫江县三溪镇退役军人服务站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4838EB" w:rsidTr="00E83C65">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838EB" w:rsidTr="00E83C65">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838EB" w:rsidRDefault="004838EB" w:rsidP="004838EB">
            <w:pPr>
              <w:jc w:val="center"/>
              <w:textAlignment w:val="bottom"/>
              <w:rPr>
                <w:rFonts w:cs="宋体" w:hint="default"/>
                <w:b/>
                <w:color w:val="000000"/>
                <w:sz w:val="20"/>
                <w:szCs w:val="20"/>
              </w:rPr>
            </w:pPr>
            <w:r>
              <w:rPr>
                <w:rFonts w:cs="宋体"/>
                <w:b/>
                <w:color w:val="000000"/>
                <w:sz w:val="20"/>
                <w:szCs w:val="20"/>
              </w:rPr>
              <w:t>本年支出</w:t>
            </w:r>
          </w:p>
        </w:tc>
      </w:tr>
      <w:tr w:rsidR="004838EB" w:rsidTr="00E83C65">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项目支出</w:t>
            </w:r>
          </w:p>
        </w:tc>
      </w:tr>
      <w:tr w:rsidR="004838EB" w:rsidTr="00E83C6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rPr>
                <w:rFonts w:cs="宋体" w:hint="default"/>
                <w:b/>
                <w:color w:val="000000"/>
                <w:sz w:val="20"/>
                <w:szCs w:val="20"/>
              </w:rPr>
            </w:pPr>
          </w:p>
        </w:tc>
      </w:tr>
      <w:tr w:rsidR="004838EB" w:rsidTr="00E83C65">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8EB" w:rsidRDefault="004838EB" w:rsidP="004838EB">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4838EB" w:rsidTr="00E83C65">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838EB" w:rsidRDefault="004838EB" w:rsidP="004838EB">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4838EB" w:rsidRDefault="004838EB" w:rsidP="004838EB">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4838EB" w:rsidRDefault="004838EB" w:rsidP="004838EB">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4838EB" w:rsidTr="00E83C65">
        <w:trPr>
          <w:trHeight w:val="343"/>
        </w:trPr>
        <w:tc>
          <w:tcPr>
            <w:tcW w:w="5000" w:type="pct"/>
            <w:gridSpan w:val="5"/>
            <w:shd w:val="clear" w:color="auto" w:fill="auto"/>
            <w:noWrap/>
            <w:tcMar>
              <w:top w:w="15" w:type="dxa"/>
              <w:left w:w="15" w:type="dxa"/>
              <w:right w:w="15" w:type="dxa"/>
            </w:tcMar>
            <w:vAlign w:val="bottom"/>
          </w:tcPr>
          <w:p w:rsidR="004838EB" w:rsidRDefault="004838EB" w:rsidP="004838EB">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4838EB" w:rsidTr="00E83C65">
        <w:trPr>
          <w:trHeight w:val="244"/>
        </w:trPr>
        <w:tc>
          <w:tcPr>
            <w:tcW w:w="1124" w:type="pct"/>
            <w:shd w:val="clear" w:color="auto" w:fill="auto"/>
            <w:noWrap/>
            <w:tcMar>
              <w:top w:w="15" w:type="dxa"/>
              <w:left w:w="15" w:type="dxa"/>
              <w:right w:w="15" w:type="dxa"/>
            </w:tcMar>
            <w:vAlign w:val="bottom"/>
          </w:tcPr>
          <w:p w:rsidR="004838EB" w:rsidRDefault="004838EB" w:rsidP="004838EB">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4838EB" w:rsidRDefault="004838EB" w:rsidP="004838EB">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4838EB" w:rsidRDefault="004838EB" w:rsidP="004838EB">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4838EB" w:rsidRDefault="004838EB" w:rsidP="004838EB">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4838EB" w:rsidTr="00E83C65">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838EB" w:rsidRDefault="004838EB" w:rsidP="004838EB">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垫江县三溪镇退役军人服务站</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4838EB" w:rsidRDefault="004838EB" w:rsidP="004838EB">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4838EB" w:rsidRDefault="004838EB" w:rsidP="004838EB">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4838EB" w:rsidRDefault="004838EB" w:rsidP="004838EB">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4838EB" w:rsidTr="00E83C6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4838EB" w:rsidTr="00E83C65">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4838EB" w:rsidTr="00E83C65">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jc w:val="right"/>
              <w:rPr>
                <w:rFonts w:cs="宋体" w:hint="default"/>
                <w:color w:val="000000"/>
                <w:kern w:val="2"/>
                <w:sz w:val="16"/>
                <w:szCs w:val="16"/>
              </w:rPr>
            </w:pPr>
          </w:p>
        </w:tc>
      </w:tr>
      <w:tr w:rsidR="004838EB" w:rsidTr="00E83C6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jc w:val="right"/>
              <w:rPr>
                <w:rFonts w:cs="宋体" w:hint="default"/>
                <w:color w:val="000000"/>
                <w:kern w:val="2"/>
                <w:sz w:val="16"/>
                <w:szCs w:val="16"/>
              </w:rPr>
            </w:pPr>
          </w:p>
        </w:tc>
      </w:tr>
      <w:tr w:rsidR="004838EB" w:rsidTr="00E83C65">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2.42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838EB" w:rsidRDefault="004838EB" w:rsidP="004838EB">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838EB" w:rsidRDefault="004838EB" w:rsidP="004838EB">
            <w:pPr>
              <w:spacing w:line="280" w:lineRule="exact"/>
              <w:jc w:val="right"/>
              <w:rPr>
                <w:rFonts w:cs="宋体" w:hint="default"/>
                <w:color w:val="000000"/>
                <w:sz w:val="16"/>
                <w:szCs w:val="16"/>
              </w:rPr>
            </w:pPr>
          </w:p>
        </w:tc>
      </w:tr>
    </w:tbl>
    <w:p w:rsidR="004778D0" w:rsidRDefault="004838EB">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sidR="007E450A">
        <w:rPr>
          <w:rFonts w:cs="宋体"/>
          <w:sz w:val="18"/>
          <w:szCs w:val="18"/>
        </w:rPr>
        <w:br/>
      </w:r>
    </w:p>
    <w:sectPr w:rsidR="004778D0">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6C4" w:rsidRDefault="006306C4">
      <w:pPr>
        <w:rPr>
          <w:rFonts w:hint="default"/>
        </w:rPr>
      </w:pPr>
      <w:r>
        <w:separator/>
      </w:r>
    </w:p>
  </w:endnote>
  <w:endnote w:type="continuationSeparator" w:id="0">
    <w:p w:rsidR="006306C4" w:rsidRDefault="006306C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0A" w:rsidRDefault="007E450A">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E450A" w:rsidRDefault="007E450A">
                          <w:pPr>
                            <w:pStyle w:val="a5"/>
                            <w:rPr>
                              <w:rFonts w:hint="default"/>
                            </w:rPr>
                          </w:pPr>
                          <w:r>
                            <w:fldChar w:fldCharType="begin"/>
                          </w:r>
                          <w:r>
                            <w:instrText xml:space="preserve"> PAGE  \* MERGEFORMAT </w:instrText>
                          </w:r>
                          <w:r>
                            <w:fldChar w:fldCharType="separate"/>
                          </w:r>
                          <w:r w:rsidR="004838EB">
                            <w:rPr>
                              <w:rFonts w:hint="default"/>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7E450A" w:rsidRDefault="007E450A">
                    <w:pPr>
                      <w:pStyle w:val="a5"/>
                      <w:rPr>
                        <w:rFonts w:hint="default"/>
                      </w:rPr>
                    </w:pPr>
                    <w:r>
                      <w:fldChar w:fldCharType="begin"/>
                    </w:r>
                    <w:r>
                      <w:instrText xml:space="preserve"> PAGE  \* MERGEFORMAT </w:instrText>
                    </w:r>
                    <w:r>
                      <w:fldChar w:fldCharType="separate"/>
                    </w:r>
                    <w:r w:rsidR="004838EB">
                      <w:rPr>
                        <w:rFonts w:hint="default"/>
                        <w:noProof/>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0A" w:rsidRDefault="007E450A">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E450A" w:rsidRDefault="007E450A">
                          <w:pPr>
                            <w:pStyle w:val="a5"/>
                            <w:rPr>
                              <w:rFonts w:hint="default"/>
                            </w:rPr>
                          </w:pPr>
                          <w:r>
                            <w:t xml:space="preserve"> </w:t>
                          </w:r>
                          <w:r>
                            <w:fldChar w:fldCharType="begin"/>
                          </w:r>
                          <w:r>
                            <w:instrText>PAGE   \* MERGEFORMAT</w:instrText>
                          </w:r>
                          <w:r>
                            <w:fldChar w:fldCharType="separate"/>
                          </w:r>
                          <w:r w:rsidR="004838EB" w:rsidRPr="004838EB">
                            <w:rPr>
                              <w:rFonts w:hint="default"/>
                              <w:noProof/>
                              <w:lang w:val="zh-CN"/>
                            </w:rPr>
                            <w:t>-</w:t>
                          </w:r>
                          <w:r w:rsidR="004838EB">
                            <w:rPr>
                              <w:rFonts w:hint="default"/>
                              <w:noProof/>
                            </w:rPr>
                            <w:t xml:space="preserve"> 19 -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7E450A" w:rsidRDefault="007E450A">
                    <w:pPr>
                      <w:pStyle w:val="a5"/>
                      <w:rPr>
                        <w:rFonts w:hint="default"/>
                      </w:rPr>
                    </w:pPr>
                    <w:r>
                      <w:t xml:space="preserve"> </w:t>
                    </w:r>
                    <w:r>
                      <w:fldChar w:fldCharType="begin"/>
                    </w:r>
                    <w:r>
                      <w:instrText>PAGE   \* MERGEFORMAT</w:instrText>
                    </w:r>
                    <w:r>
                      <w:fldChar w:fldCharType="separate"/>
                    </w:r>
                    <w:r w:rsidR="004838EB" w:rsidRPr="004838EB">
                      <w:rPr>
                        <w:rFonts w:hint="default"/>
                        <w:noProof/>
                        <w:lang w:val="zh-CN"/>
                      </w:rPr>
                      <w:t>-</w:t>
                    </w:r>
                    <w:r w:rsidR="004838EB">
                      <w:rPr>
                        <w:rFonts w:hint="default"/>
                        <w:noProof/>
                      </w:rPr>
                      <w:t xml:space="preserve"> 19 -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7E450A" w:rsidRDefault="007E450A">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7E450A" w:rsidRDefault="007E450A">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6C4" w:rsidRDefault="006306C4">
      <w:pPr>
        <w:rPr>
          <w:rFonts w:hint="default"/>
        </w:rPr>
      </w:pPr>
      <w:r>
        <w:separator/>
      </w:r>
    </w:p>
  </w:footnote>
  <w:footnote w:type="continuationSeparator" w:id="0">
    <w:p w:rsidR="006306C4" w:rsidRDefault="006306C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0A" w:rsidRDefault="007E450A">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778D0"/>
    <w:rsid w:val="004838EB"/>
    <w:rsid w:val="004C12FF"/>
    <w:rsid w:val="00550ABE"/>
    <w:rsid w:val="005B023C"/>
    <w:rsid w:val="00600322"/>
    <w:rsid w:val="006137D7"/>
    <w:rsid w:val="006306C4"/>
    <w:rsid w:val="00634FA8"/>
    <w:rsid w:val="0063613A"/>
    <w:rsid w:val="006E2034"/>
    <w:rsid w:val="00732392"/>
    <w:rsid w:val="00792285"/>
    <w:rsid w:val="007A0D2E"/>
    <w:rsid w:val="007A3314"/>
    <w:rsid w:val="007B419D"/>
    <w:rsid w:val="007E450A"/>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2456C95"/>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B83052"/>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6C97B5B"/>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80809"/>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2C474D"/>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F68AE"/>
  <w15:docId w15:val="{A56628A7-23B1-4761-A95C-3BD42C70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rsid w:val="004838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1919</Words>
  <Characters>10944</Characters>
  <Application>Microsoft Office Word</Application>
  <DocSecurity>0</DocSecurity>
  <Lines>91</Lines>
  <Paragraphs>25</Paragraphs>
  <ScaleCrop>false</ScaleCrop>
  <Company>微软中国</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30</cp:revision>
  <dcterms:created xsi:type="dcterms:W3CDTF">2024-07-11T02:00:00Z</dcterms:created>
  <dcterms:modified xsi:type="dcterms:W3CDTF">2025-09-16T07:13:00Z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