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垫江县太平镇农业服务中心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Autospacing="0"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农业服务中心负责农业技术的引进、示范与推广，负责农业公共信息服务和实用技术培训，负责动植物病虫害、农业灾情的监测、预报、防治，负责农业生态环境和农业投入品使用监测，承担农产品、水产种苗、水产品质量等农林水安全监管和公共服务，负责农机、林业、气象、水利、河长制、乡村振兴、扶贫开发、脱贫攻坚、精准扶贫、精准脱贫等工作。</w:t>
      </w:r>
    </w:p>
    <w:p>
      <w:pPr>
        <w:pStyle w:val="6"/>
        <w:shd w:val="clear" w:color="auto" w:fill="FFFFFF"/>
        <w:spacing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rPr>
      </w:pPr>
      <w:r>
        <w:rPr>
          <w:rFonts w:ascii="方正仿宋_GBK" w:hAnsi="方正仿宋_GBK" w:eastAsia="方正仿宋_GBK" w:cs="方正仿宋_GBK"/>
          <w:sz w:val="32"/>
          <w:szCs w:val="32"/>
        </w:rPr>
        <w:t>太平镇人民政府下设5个相当于行政正股级财政全额拨款公益一类事业单位。具体设置分别是：农业服务中心、文化服务中心、劳动就业和社会保障服务所、退役军人服务站、综合行政执法大队。</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人员编制是：垫江县太平镇人民政府所属事业单位共核定财政全额拨款事业编制32名，其中：农业服务中心14名，文化服务中心3名，劳动就业和社会保障服务所8名，退役军人服务站2名，综合行政执法大队5名。本年退休1人，年末实有人数13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2023年度收入总计393.20万元，支出总计</w:t>
      </w:r>
      <w:r>
        <w:rPr>
          <w:rFonts w:ascii="方正仿宋_GBK" w:hAnsi="方正仿宋_GBK" w:eastAsia="方正仿宋_GBK" w:cs="方正仿宋_GBK"/>
          <w:sz w:val="32"/>
          <w:szCs w:val="32"/>
        </w:rPr>
        <w:t>393.20</w:t>
      </w:r>
      <w:r>
        <w:rPr>
          <w:rFonts w:ascii="方正仿宋_GBK" w:hAnsi="方正仿宋_GBK" w:eastAsia="方正仿宋_GBK" w:cs="方正仿宋_GBK"/>
          <w:sz w:val="32"/>
          <w:szCs w:val="32"/>
          <w:shd w:val="clear" w:color="auto" w:fill="FFFFFF"/>
        </w:rPr>
        <w:t>万元。收支较上年决算数增加393.20万元，增长100.00%，主要原因是</w:t>
      </w:r>
      <w:r>
        <w:rPr>
          <w:rFonts w:ascii="方正仿宋_GBK" w:hAnsi="方正仿宋_GBK" w:eastAsia="方正仿宋_GBK" w:cs="方正仿宋_GBK"/>
          <w:sz w:val="32"/>
          <w:szCs w:val="32"/>
        </w:rPr>
        <w:t>该单位为新增独立核算与决算单位。</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2023年度收入合计393.20万元，较上年决算数增加393.20万元，增长100.00%，主要原因是</w:t>
      </w:r>
      <w:r>
        <w:rPr>
          <w:rFonts w:ascii="方正仿宋_GBK" w:hAnsi="方正仿宋_GBK" w:eastAsia="方正仿宋_GBK" w:cs="方正仿宋_GBK"/>
          <w:sz w:val="32"/>
          <w:szCs w:val="32"/>
        </w:rPr>
        <w:t>该单位为新增独立核算与决算单位。</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393.20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393.20</w:t>
      </w:r>
      <w:r>
        <w:rPr>
          <w:rFonts w:ascii="方正仿宋_GBK" w:hAnsi="方正仿宋_GBK" w:eastAsia="方正仿宋_GBK" w:cs="方正仿宋_GBK"/>
          <w:sz w:val="32"/>
          <w:szCs w:val="32"/>
          <w:shd w:val="clear" w:color="auto" w:fill="FFFFFF"/>
        </w:rPr>
        <w:t>万元，较上年决算数增加393.20万元，增长100.00%，主要原因是</w:t>
      </w:r>
      <w:r>
        <w:rPr>
          <w:rFonts w:ascii="方正仿宋_GBK" w:hAnsi="方正仿宋_GBK" w:eastAsia="方正仿宋_GBK" w:cs="方正仿宋_GBK"/>
          <w:sz w:val="32"/>
          <w:szCs w:val="32"/>
        </w:rPr>
        <w:t>该单位为新增独立核算与决算单位。</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383.20</w:t>
      </w:r>
      <w:r>
        <w:rPr>
          <w:rFonts w:ascii="方正仿宋_GBK" w:hAnsi="方正仿宋_GBK" w:eastAsia="方正仿宋_GBK" w:cs="方正仿宋_GBK"/>
          <w:sz w:val="32"/>
          <w:szCs w:val="32"/>
          <w:shd w:val="clear" w:color="auto" w:fill="FFFFFF"/>
        </w:rPr>
        <w:t>万元，占97.46%；项目支出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万元，占2.54%；经营支出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2023年度财政拨款收、支总计393.20万元。与2022年相比，财政拨款收、支总计各增加393.20万元，增长100.00%。主要原因是</w:t>
      </w:r>
      <w:r>
        <w:rPr>
          <w:rFonts w:ascii="方正仿宋_GBK" w:hAnsi="方正仿宋_GBK" w:eastAsia="方正仿宋_GBK" w:cs="方正仿宋_GBK"/>
          <w:sz w:val="32"/>
          <w:szCs w:val="32"/>
        </w:rPr>
        <w:t>该单位为新增独立核算与决算单位。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393.20</w:t>
      </w:r>
      <w:r>
        <w:rPr>
          <w:rFonts w:ascii="方正仿宋_GBK" w:hAnsi="方正仿宋_GBK" w:eastAsia="方正仿宋_GBK" w:cs="方正仿宋_GBK"/>
          <w:sz w:val="32"/>
          <w:szCs w:val="32"/>
          <w:shd w:val="clear" w:color="auto" w:fill="FFFFFF"/>
        </w:rPr>
        <w:t>万元，较上年决算数增加393.20万元，增长100.00%。主要原因是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较年初预算数增加49.81万元，增长14.51%。主要原因是人员调资及补发</w:t>
      </w:r>
      <w:r>
        <w:rPr>
          <w:rFonts w:hint="default" w:ascii="方正仿宋_GBK" w:hAnsi="方正仿宋_GBK" w:eastAsia="方正仿宋_GBK" w:cs="方正仿宋_GBK"/>
          <w:sz w:val="32"/>
          <w:szCs w:val="32"/>
          <w:shd w:val="clear" w:color="auto" w:fill="FFFFFF"/>
        </w:rPr>
        <w:t>追加安排年初预算经费</w:t>
      </w:r>
      <w:r>
        <w:rPr>
          <w:rFonts w:ascii="方正仿宋_GBK" w:hAnsi="方正仿宋_GBK" w:eastAsia="方正仿宋_GBK" w:cs="方正仿宋_GBK"/>
          <w:sz w:val="32"/>
          <w:szCs w:val="32"/>
          <w:shd w:val="clear" w:color="auto" w:fill="FFFFFF"/>
        </w:rPr>
        <w:t>不足部分。此外，年初财政拨款结转和结余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393.20</w:t>
      </w:r>
      <w:r>
        <w:rPr>
          <w:rFonts w:ascii="方正仿宋_GBK" w:hAnsi="方正仿宋_GBK" w:eastAsia="方正仿宋_GBK" w:cs="方正仿宋_GBK"/>
          <w:sz w:val="32"/>
          <w:szCs w:val="32"/>
          <w:shd w:val="clear" w:color="auto" w:fill="FFFFFF"/>
        </w:rPr>
        <w:t>万元，较上年决算数增加393.20万元，增长100.00%。主要原因是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较年初预算数增加49.81万元，增长14.51%。主要原因是人员调资</w:t>
      </w:r>
      <w:r>
        <w:rPr>
          <w:rFonts w:hint="default" w:ascii="方正仿宋_GBK" w:hAnsi="方正仿宋_GBK" w:eastAsia="方正仿宋_GBK" w:cs="方正仿宋_GBK"/>
          <w:sz w:val="32"/>
          <w:szCs w:val="32"/>
          <w:shd w:val="clear" w:color="auto" w:fill="FFFFFF"/>
        </w:rPr>
        <w:t>追加</w:t>
      </w:r>
      <w:r>
        <w:rPr>
          <w:rFonts w:ascii="方正仿宋_GBK" w:hAnsi="方正仿宋_GBK" w:eastAsia="方正仿宋_GBK" w:cs="方正仿宋_GBK"/>
          <w:sz w:val="32"/>
          <w:szCs w:val="32"/>
          <w:shd w:val="clear" w:color="auto" w:fill="FFFFFF"/>
        </w:rPr>
        <w:t>及补发事业人员绩效增加预算支出。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51.63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13.13</w:t>
      </w:r>
      <w:r>
        <w:rPr>
          <w:rFonts w:ascii="方正仿宋_GBK" w:hAnsi="方正仿宋_GBK" w:eastAsia="方正仿宋_GBK" w:cs="方正仿宋_GBK"/>
          <w:sz w:val="32"/>
          <w:szCs w:val="32"/>
          <w:shd w:val="clear" w:color="auto" w:fill="FFFFFF"/>
        </w:rPr>
        <w:t>%，较年初预算数减少5.39万元，下降9.45%，主要原</w:t>
      </w:r>
      <w:r>
        <w:rPr>
          <w:rFonts w:ascii="方正仿宋_GBK" w:hAnsi="方正仿宋_GBK" w:eastAsia="方正仿宋_GBK" w:cs="方正仿宋_GBK"/>
          <w:sz w:val="32"/>
          <w:szCs w:val="32"/>
        </w:rPr>
        <w:t>因是</w:t>
      </w:r>
      <w:r>
        <w:rPr>
          <w:rFonts w:ascii="方正仿宋_GBK" w:hAnsi="方正仿宋_GBK" w:eastAsia="方正仿宋_GBK" w:cs="方正仿宋_GBK"/>
          <w:sz w:val="32"/>
          <w:szCs w:val="32"/>
          <w:shd w:val="clear" w:color="auto" w:fill="FFFFFF"/>
        </w:rPr>
        <w:t>当年人员退休导致养老与职业年金减少。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11.39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2.90</w:t>
      </w:r>
      <w:r>
        <w:rPr>
          <w:rFonts w:ascii="方正仿宋_GBK" w:hAnsi="方正仿宋_GBK" w:eastAsia="方正仿宋_GBK" w:cs="方正仿宋_GBK"/>
          <w:sz w:val="32"/>
          <w:szCs w:val="32"/>
          <w:shd w:val="clear" w:color="auto" w:fill="FFFFFF"/>
        </w:rPr>
        <w:t>%，较年初预算数减少1.64万元，下降12.59%，主要原因是医疗</w:t>
      </w:r>
      <w:r>
        <w:rPr>
          <w:rFonts w:ascii="方正仿宋_GBK" w:hAnsi="方正仿宋_GBK" w:eastAsia="方正仿宋_GBK" w:cs="方正仿宋_GBK"/>
          <w:sz w:val="32"/>
          <w:szCs w:val="32"/>
        </w:rPr>
        <w:t>保险部分按年足额初预算，但当年有人员退休。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306.11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77.85</w:t>
      </w:r>
      <w:r>
        <w:rPr>
          <w:rFonts w:ascii="方正仿宋_GBK" w:hAnsi="方正仿宋_GBK" w:eastAsia="方正仿宋_GBK" w:cs="方正仿宋_GBK"/>
          <w:sz w:val="32"/>
          <w:szCs w:val="32"/>
          <w:shd w:val="clear" w:color="auto" w:fill="FFFFFF"/>
        </w:rPr>
        <w:t>%，较年初预算数增加48.42万元，增长18.79%，主要原因是2023年清算补发事业人员2021年超额绩效部分未纳入年初预算。</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住房保障支出24.08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6.12</w:t>
      </w:r>
      <w:r>
        <w:rPr>
          <w:rFonts w:ascii="方正仿宋_GBK" w:hAnsi="方正仿宋_GBK" w:eastAsia="方正仿宋_GBK" w:cs="方正仿宋_GBK"/>
          <w:sz w:val="32"/>
          <w:szCs w:val="32"/>
          <w:shd w:val="clear" w:color="auto" w:fill="FFFFFF"/>
        </w:rPr>
        <w:t>%，较年初预算数增加8.44万元，增长53.96%，主要原因是年初预算不足，按要求追加预算。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hd w:val="clear" w:color="auto" w:fill="FFFFFF"/>
        <w:spacing w:before="0" w:beforeAutospacing="0" w:after="0" w:afterAutospacing="0" w:line="6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383.20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342.51</w:t>
      </w:r>
      <w:r>
        <w:rPr>
          <w:rFonts w:ascii="方正仿宋_GBK" w:hAnsi="方正仿宋_GBK" w:eastAsia="方正仿宋_GBK" w:cs="方正仿宋_GBK"/>
          <w:sz w:val="32"/>
          <w:szCs w:val="32"/>
          <w:shd w:val="clear" w:color="auto" w:fill="FFFFFF"/>
        </w:rPr>
        <w:t>万元，较上年决算数增加342.51万元，增长100.00%，主要原因是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lang w:bidi="ar"/>
        </w:rPr>
        <w:t>基本工资、津贴补贴、社会保障缴费、绩效工资、养老保险，职业年金、住房公积金等。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40.69</w:t>
      </w:r>
      <w:r>
        <w:rPr>
          <w:rFonts w:ascii="方正仿宋_GBK" w:hAnsi="方正仿宋_GBK" w:eastAsia="方正仿宋_GBK" w:cs="方正仿宋_GBK"/>
          <w:sz w:val="32"/>
          <w:szCs w:val="32"/>
          <w:shd w:val="clear" w:color="auto" w:fill="FFFFFF"/>
        </w:rPr>
        <w:t>万元，较上年决算数增加40.69万元，增长100.00%，主要原因是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lang w:bidi="ar"/>
        </w:rPr>
        <w:t>办公费、会议费、水费、电费、邮电费、差旅费、公务接待费、劳务费、公务用车运行维护费、其他商品和服务支出。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w:t>
      </w:r>
      <w:r>
        <w:rPr>
          <w:rFonts w:hint="default" w:ascii="Times New Roman" w:hAnsi="Times New Roman" w:eastAsia="方正仿宋_GBK"/>
          <w:sz w:val="32"/>
          <w:szCs w:val="32"/>
          <w:shd w:val="clear" w:color="auto" w:fill="FFFFFF"/>
          <w:lang w:bidi="ar"/>
        </w:rPr>
        <w:t>2023年度无国有资本经营预算财政拨款支出。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万元，较年初预算数增加1.00万元，增长100.00%，主要原因是为压缩资金，</w:t>
      </w:r>
      <w:r>
        <w:rPr>
          <w:rFonts w:ascii="方正仿宋_GBK" w:hAnsi="方正仿宋_GBK" w:eastAsia="方正仿宋_GBK" w:cs="方正仿宋_GBK"/>
          <w:sz w:val="32"/>
          <w:szCs w:val="32"/>
        </w:rPr>
        <w:t>年初未预算单位“三公”经费。</w:t>
      </w:r>
      <w:r>
        <w:rPr>
          <w:rFonts w:ascii="方正仿宋_GBK" w:hAnsi="方正仿宋_GBK" w:eastAsia="方正仿宋_GBK" w:cs="方正仿宋_GBK"/>
          <w:sz w:val="32"/>
          <w:szCs w:val="32"/>
          <w:shd w:val="clear" w:color="auto" w:fill="FFFFFF"/>
        </w:rPr>
        <w:t>较上年支出数增加1.00万元，增长100.00%，主要原因是</w:t>
      </w:r>
      <w:r>
        <w:rPr>
          <w:rFonts w:ascii="方正仿宋_GBK" w:hAnsi="方正仿宋_GBK" w:eastAsia="方正仿宋_GBK" w:cs="方正仿宋_GBK"/>
          <w:sz w:val="32"/>
          <w:szCs w:val="32"/>
        </w:rPr>
        <w:t>该单位为新增独立核算与决算单位。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万元，主要是用于部门公务出国（境）的国际旅费、国外城市间交通费、住宿费、伙食费、培训费、公杂费等。费用支出较年初预算数无增减，主要原因是</w:t>
      </w: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w:t>
      </w:r>
      <w:r>
        <w:rPr>
          <w:rFonts w:hint="default" w:ascii="Times New Roman" w:hAnsi="Times New Roman" w:eastAsia="方正仿宋_GBK"/>
          <w:sz w:val="32"/>
          <w:szCs w:val="32"/>
          <w:shd w:val="clear" w:color="auto" w:fill="FFFFFF"/>
          <w:lang w:bidi="ar"/>
        </w:rPr>
        <w:t>202</w:t>
      </w:r>
      <w:r>
        <w:rPr>
          <w:rFonts w:ascii="Times New Roman" w:hAnsi="Times New Roman" w:eastAsia="方正仿宋_GBK"/>
          <w:sz w:val="32"/>
          <w:szCs w:val="32"/>
          <w:shd w:val="clear" w:color="auto" w:fill="FFFFFF"/>
          <w:lang w:bidi="ar"/>
        </w:rPr>
        <w:t>3</w:t>
      </w:r>
      <w:r>
        <w:rPr>
          <w:rFonts w:hint="default" w:ascii="Times New Roman" w:hAnsi="Times New Roman" w:eastAsia="方正仿宋_GBK"/>
          <w:sz w:val="32"/>
          <w:szCs w:val="32"/>
          <w:shd w:val="clear" w:color="auto" w:fill="FFFFFF"/>
          <w:lang w:bidi="ar"/>
        </w:rPr>
        <w:t>年度未发生因公出国（境）支出</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单位2022年度至</w:t>
      </w:r>
      <w:r>
        <w:rPr>
          <w:rFonts w:hint="default" w:ascii="Times New Roman" w:hAnsi="Times New Roman" w:eastAsia="方正仿宋_GBK"/>
          <w:sz w:val="32"/>
          <w:szCs w:val="32"/>
          <w:shd w:val="clear" w:color="auto" w:fill="FFFFFF"/>
          <w:lang w:bidi="ar"/>
        </w:rPr>
        <w:t>202</w:t>
      </w:r>
      <w:r>
        <w:rPr>
          <w:rFonts w:ascii="Times New Roman" w:hAnsi="Times New Roman" w:eastAsia="方正仿宋_GBK"/>
          <w:sz w:val="32"/>
          <w:szCs w:val="32"/>
          <w:shd w:val="clear" w:color="auto" w:fill="FFFFFF"/>
          <w:lang w:bidi="ar"/>
        </w:rPr>
        <w:t>3</w:t>
      </w:r>
      <w:r>
        <w:rPr>
          <w:rFonts w:hint="default" w:ascii="Times New Roman" w:hAnsi="Times New Roman" w:eastAsia="方正仿宋_GBK"/>
          <w:sz w:val="32"/>
          <w:szCs w:val="32"/>
          <w:shd w:val="clear" w:color="auto" w:fill="FFFFFF"/>
          <w:lang w:bidi="ar"/>
        </w:rPr>
        <w:t>年度未发生因公出国（境）支出</w:t>
      </w:r>
      <w:r>
        <w:rPr>
          <w:rFonts w:ascii="Times New Roman" w:hAnsi="Times New Roman" w:eastAsia="方正仿宋_GBK"/>
          <w:sz w:val="32"/>
          <w:szCs w:val="32"/>
          <w:shd w:val="clear" w:color="auto" w:fill="FFFFFF"/>
          <w:lang w:bidi="ar"/>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shd w:val="clear" w:color="auto" w:fill="FFFFFF"/>
          <w:lang w:bidi="ar"/>
        </w:rPr>
        <w:t>公务</w:t>
      </w:r>
      <w:r>
        <w:rPr>
          <w:rFonts w:ascii="Times New Roman" w:hAnsi="Times New Roman" w:eastAsia="方正仿宋_GBK"/>
          <w:sz w:val="32"/>
          <w:szCs w:val="32"/>
          <w:shd w:val="clear" w:color="auto" w:fill="FFFFFF"/>
          <w:lang w:bidi="ar"/>
        </w:rPr>
        <w:t>用</w:t>
      </w:r>
      <w:r>
        <w:rPr>
          <w:rFonts w:hint="default" w:ascii="Times New Roman" w:hAnsi="Times New Roman" w:eastAsia="方正仿宋_GBK"/>
          <w:sz w:val="32"/>
          <w:szCs w:val="32"/>
          <w:shd w:val="clear" w:color="auto" w:fill="FFFFFF"/>
          <w:lang w:bidi="ar"/>
        </w:rPr>
        <w:t>车购置</w:t>
      </w:r>
      <w:r>
        <w:rPr>
          <w:rFonts w:ascii="Times New Roman" w:hAnsi="Times New Roman" w:eastAsia="方正仿宋_GBK"/>
          <w:sz w:val="32"/>
          <w:szCs w:val="32"/>
          <w:shd w:val="clear" w:color="auto" w:fill="FFFFFF"/>
          <w:lang w:bidi="ar"/>
        </w:rPr>
        <w:t>支出（含车辆购置税、牌照费）</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w:t>
      </w:r>
      <w:r>
        <w:rPr>
          <w:rFonts w:hint="default" w:ascii="Times New Roman" w:hAnsi="Times New Roman" w:eastAsia="方正仿宋_GBK"/>
          <w:sz w:val="32"/>
          <w:szCs w:val="32"/>
          <w:shd w:val="clear" w:color="auto" w:fill="FFFFFF"/>
          <w:lang w:bidi="ar"/>
        </w:rPr>
        <w:t>202</w:t>
      </w:r>
      <w:r>
        <w:rPr>
          <w:rFonts w:ascii="Times New Roman" w:hAnsi="Times New Roman" w:eastAsia="方正仿宋_GBK"/>
          <w:sz w:val="32"/>
          <w:szCs w:val="32"/>
          <w:shd w:val="clear" w:color="auto" w:fill="FFFFFF"/>
          <w:lang w:bidi="ar"/>
        </w:rPr>
        <w:t>3</w:t>
      </w:r>
      <w:r>
        <w:rPr>
          <w:rFonts w:hint="default" w:ascii="Times New Roman" w:hAnsi="Times New Roman" w:eastAsia="方正仿宋_GBK"/>
          <w:sz w:val="32"/>
          <w:szCs w:val="32"/>
          <w:shd w:val="clear" w:color="auto" w:fill="FFFFFF"/>
          <w:lang w:bidi="ar"/>
        </w:rPr>
        <w:t>年度未发生公务车购置费支出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单位2022年度至</w:t>
      </w:r>
      <w:r>
        <w:rPr>
          <w:rFonts w:hint="default" w:ascii="Times New Roman" w:hAnsi="Times New Roman" w:eastAsia="方正仿宋_GBK"/>
          <w:sz w:val="32"/>
          <w:szCs w:val="32"/>
          <w:shd w:val="clear" w:color="auto" w:fill="FFFFFF"/>
          <w:lang w:bidi="ar"/>
        </w:rPr>
        <w:t>202</w:t>
      </w:r>
      <w:r>
        <w:rPr>
          <w:rFonts w:ascii="Times New Roman" w:hAnsi="Times New Roman" w:eastAsia="方正仿宋_GBK"/>
          <w:sz w:val="32"/>
          <w:szCs w:val="32"/>
          <w:shd w:val="clear" w:color="auto" w:fill="FFFFFF"/>
          <w:lang w:bidi="ar"/>
        </w:rPr>
        <w:t>3</w:t>
      </w:r>
      <w:r>
        <w:rPr>
          <w:rFonts w:hint="default" w:ascii="Times New Roman" w:hAnsi="Times New Roman" w:eastAsia="方正仿宋_GBK"/>
          <w:sz w:val="32"/>
          <w:szCs w:val="32"/>
          <w:shd w:val="clear" w:color="auto" w:fill="FFFFFF"/>
          <w:lang w:bidi="ar"/>
        </w:rPr>
        <w:t>年度未发生公务车购置费支出</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 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shd w:val="clear" w:color="auto" w:fill="FFFFFF"/>
          <w:lang w:bidi="ar"/>
        </w:rPr>
        <w:t>机要文件交换、市内因公出行、各项工作检查等工作所需车辆的燃料费、维修费、过桥过路费、保险费等。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w:t>
      </w:r>
      <w:r>
        <w:rPr>
          <w:rFonts w:hint="default" w:ascii="Times New Roman" w:hAnsi="Times New Roman" w:eastAsia="方正仿宋_GBK"/>
          <w:sz w:val="32"/>
          <w:szCs w:val="32"/>
          <w:shd w:val="clear" w:color="auto" w:fill="FFFFFF"/>
          <w:lang w:bidi="ar"/>
        </w:rPr>
        <w:t>202</w:t>
      </w:r>
      <w:r>
        <w:rPr>
          <w:rFonts w:ascii="Times New Roman" w:hAnsi="Times New Roman" w:eastAsia="方正仿宋_GBK"/>
          <w:sz w:val="32"/>
          <w:szCs w:val="32"/>
          <w:shd w:val="clear" w:color="auto" w:fill="FFFFFF"/>
          <w:lang w:bidi="ar"/>
        </w:rPr>
        <w:t>3</w:t>
      </w:r>
      <w:r>
        <w:rPr>
          <w:rFonts w:hint="default" w:ascii="Times New Roman" w:hAnsi="Times New Roman" w:eastAsia="方正仿宋_GBK"/>
          <w:sz w:val="32"/>
          <w:szCs w:val="32"/>
          <w:shd w:val="clear" w:color="auto" w:fill="FFFFFF"/>
          <w:lang w:bidi="ar"/>
        </w:rPr>
        <w:t>年度未发生公务车购置费支出</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单位2022年度至</w:t>
      </w:r>
      <w:r>
        <w:rPr>
          <w:rFonts w:hint="default" w:ascii="Times New Roman" w:hAnsi="Times New Roman" w:eastAsia="方正仿宋_GBK"/>
          <w:sz w:val="32"/>
          <w:szCs w:val="32"/>
          <w:shd w:val="clear" w:color="auto" w:fill="FFFFFF"/>
          <w:lang w:bidi="ar"/>
        </w:rPr>
        <w:t>202</w:t>
      </w:r>
      <w:r>
        <w:rPr>
          <w:rFonts w:ascii="Times New Roman" w:hAnsi="Times New Roman" w:eastAsia="方正仿宋_GBK"/>
          <w:sz w:val="32"/>
          <w:szCs w:val="32"/>
          <w:shd w:val="clear" w:color="auto" w:fill="FFFFFF"/>
          <w:lang w:bidi="ar"/>
        </w:rPr>
        <w:t>3</w:t>
      </w:r>
      <w:r>
        <w:rPr>
          <w:rFonts w:hint="default" w:ascii="Times New Roman" w:hAnsi="Times New Roman" w:eastAsia="方正仿宋_GBK"/>
          <w:sz w:val="32"/>
          <w:szCs w:val="32"/>
          <w:shd w:val="clear" w:color="auto" w:fill="FFFFFF"/>
          <w:lang w:bidi="ar"/>
        </w:rPr>
        <w:t>年度未发生公务车购置费支出</w:t>
      </w:r>
      <w:r>
        <w:rPr>
          <w:rFonts w:ascii="Times New Roman" w:hAnsi="Times New Roman" w:eastAsia="方正仿宋_GBK"/>
          <w:sz w:val="32"/>
          <w:szCs w:val="32"/>
          <w:shd w:val="clear" w:color="auto" w:fill="FFFFFF"/>
          <w:lang w:bidi="ar"/>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shd w:val="clear" w:color="auto" w:fill="FFFFFF"/>
          <w:lang w:bidi="ar"/>
        </w:rPr>
        <w:t>接待招商引资、接待县级部门及相关业务单位到我单位学习调研工作，接受相关部门检查指导工作发生的接待支出。</w:t>
      </w:r>
      <w:r>
        <w:rPr>
          <w:rFonts w:ascii="方正仿宋_GBK" w:hAnsi="方正仿宋_GBK" w:eastAsia="方正仿宋_GBK" w:cs="方正仿宋_GBK"/>
          <w:sz w:val="32"/>
          <w:szCs w:val="32"/>
          <w:shd w:val="clear" w:color="auto" w:fill="FFFFFF"/>
        </w:rPr>
        <w:t>费用支出较年初预算数增加1.00万元，增长100.00%，主要原因是为压缩资金，</w:t>
      </w:r>
      <w:r>
        <w:rPr>
          <w:rFonts w:ascii="方正仿宋_GBK" w:hAnsi="方正仿宋_GBK" w:eastAsia="方正仿宋_GBK" w:cs="方正仿宋_GBK"/>
          <w:sz w:val="32"/>
          <w:szCs w:val="32"/>
        </w:rPr>
        <w:t>年初未预算单位“三公”经费，执行中追加预算。</w:t>
      </w:r>
      <w:r>
        <w:rPr>
          <w:rFonts w:ascii="方正仿宋_GBK" w:hAnsi="方正仿宋_GBK" w:eastAsia="方正仿宋_GBK" w:cs="方正仿宋_GBK"/>
          <w:sz w:val="32"/>
          <w:szCs w:val="32"/>
          <w:shd w:val="clear" w:color="auto" w:fill="FFFFFF"/>
        </w:rPr>
        <w:t>较上年支出数增加1.00万元，增长100.00%，主要原因是</w:t>
      </w:r>
      <w:r>
        <w:rPr>
          <w:rFonts w:ascii="方正仿宋_GBK" w:hAnsi="方正仿宋_GBK" w:eastAsia="方正仿宋_GBK" w:cs="方正仿宋_GBK"/>
          <w:sz w:val="32"/>
          <w:szCs w:val="32"/>
        </w:rPr>
        <w:t>该单位为新增独立核算与决算单位。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30.30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万元，较上年决算数增加0.07万元，增长100.00%，主要原因是</w:t>
      </w:r>
      <w:r>
        <w:rPr>
          <w:rFonts w:ascii="方正仿宋_GBK" w:hAnsi="方正仿宋_GBK" w:eastAsia="方正仿宋_GBK" w:cs="方正仿宋_GBK"/>
          <w:sz w:val="32"/>
          <w:szCs w:val="32"/>
        </w:rPr>
        <w:t>该单位为新增独立核算与决算单位。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0"/>
        </w:numPr>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Fonts w:hint="eastAsia" w:ascii="黑体" w:hAnsi="黑体" w:eastAsia="黑体" w:cs="黑体"/>
          <w:b/>
          <w:sz w:val="32"/>
          <w:szCs w:val="32"/>
          <w:shd w:val="clear" w:fill="FFFFFF"/>
          <w:lang w:val="en-US" w:eastAsia="zh-CN" w:bidi="ar-SA"/>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根据预算绩效管理要求，我</w:t>
      </w:r>
      <w:r>
        <w:rPr>
          <w:rFonts w:ascii="Times New Roman" w:hAnsi="Times New Roman" w:eastAsia="方正仿宋_GBK"/>
          <w:sz w:val="32"/>
          <w:szCs w:val="32"/>
          <w:shd w:val="clear" w:color="auto" w:fill="FFFFFF"/>
          <w:lang w:bidi="ar"/>
        </w:rPr>
        <w:t>单位对1</w:t>
      </w:r>
      <w:r>
        <w:rPr>
          <w:rFonts w:hint="default" w:ascii="Times New Roman" w:hAnsi="Times New Roman" w:eastAsia="方正仿宋_GBK"/>
          <w:sz w:val="32"/>
          <w:szCs w:val="32"/>
          <w:shd w:val="clear" w:color="auto" w:fill="FFFFFF"/>
          <w:lang w:bidi="ar"/>
        </w:rPr>
        <w:t>个</w:t>
      </w:r>
      <w:r>
        <w:rPr>
          <w:rFonts w:ascii="Times New Roman" w:hAnsi="Times New Roman" w:eastAsia="方正仿宋_GBK"/>
          <w:sz w:val="32"/>
          <w:szCs w:val="32"/>
          <w:shd w:val="clear" w:color="auto" w:fill="FFFFFF"/>
          <w:lang w:bidi="ar"/>
        </w:rPr>
        <w:t>二级</w:t>
      </w:r>
      <w:r>
        <w:rPr>
          <w:rFonts w:hint="default" w:ascii="Times New Roman" w:hAnsi="Times New Roman" w:eastAsia="方正仿宋_GBK"/>
          <w:sz w:val="32"/>
          <w:szCs w:val="32"/>
          <w:shd w:val="clear" w:color="auto" w:fill="FFFFFF"/>
          <w:lang w:bidi="ar"/>
        </w:rPr>
        <w:t>项目开展了绩效自评，涉及</w:t>
      </w:r>
      <w:r>
        <w:rPr>
          <w:rFonts w:ascii="Times New Roman" w:hAnsi="Times New Roman" w:eastAsia="方正仿宋_GBK"/>
          <w:sz w:val="32"/>
          <w:szCs w:val="32"/>
          <w:shd w:val="clear" w:color="auto" w:fill="FFFFFF"/>
          <w:lang w:bidi="ar"/>
        </w:rPr>
        <w:t>财政拨款项目支出</w:t>
      </w:r>
      <w:r>
        <w:rPr>
          <w:rFonts w:hint="default" w:ascii="Times New Roman" w:hAnsi="Times New Roman" w:eastAsia="方正仿宋_GBK"/>
          <w:sz w:val="32"/>
          <w:szCs w:val="32"/>
          <w:shd w:val="clear" w:color="auto" w:fill="FFFFFF"/>
          <w:lang w:bidi="ar"/>
        </w:rPr>
        <w:t>资金</w:t>
      </w:r>
      <w:r>
        <w:rPr>
          <w:rFonts w:ascii="Times New Roman" w:hAnsi="Times New Roman" w:eastAsia="方正仿宋_GBK"/>
          <w:sz w:val="32"/>
          <w:szCs w:val="32"/>
          <w:shd w:val="clear" w:color="auto" w:fill="FFFFFF"/>
          <w:lang w:bidi="ar"/>
        </w:rPr>
        <w:t>10万</w:t>
      </w:r>
      <w:r>
        <w:rPr>
          <w:rFonts w:hint="default" w:ascii="Times New Roman" w:hAnsi="Times New Roman" w:eastAsia="方正仿宋_GBK"/>
          <w:sz w:val="32"/>
          <w:szCs w:val="32"/>
          <w:shd w:val="clear" w:color="auto" w:fill="FFFFFF"/>
          <w:lang w:bidi="ar"/>
        </w:rPr>
        <w:t>元。</w:t>
      </w:r>
    </w:p>
    <w:p>
      <w:pPr>
        <w:pStyle w:val="11"/>
        <w:autoSpaceDE w:val="0"/>
        <w:ind w:firstLine="640"/>
        <w:rPr>
          <w:rFonts w:ascii="方正仿宋_GBK" w:hAnsi="方正仿宋_GBK" w:eastAsia="方正仿宋_GBK" w:cs="方正仿宋_GBK"/>
          <w:sz w:val="32"/>
          <w:szCs w:val="32"/>
          <w:shd w:val="clear" w:color="auto" w:fill="FFFFFF"/>
          <w:lang w:bidi="ar"/>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3990" w:type="dxa"/>
        <w:tblInd w:w="0" w:type="dxa"/>
        <w:tblLayout w:type="fixed"/>
        <w:tblCellMar>
          <w:top w:w="0" w:type="dxa"/>
          <w:left w:w="0" w:type="dxa"/>
          <w:bottom w:w="0" w:type="dxa"/>
          <w:right w:w="0" w:type="dxa"/>
        </w:tblCellMar>
      </w:tblPr>
      <w:tblGrid>
        <w:gridCol w:w="1563"/>
        <w:gridCol w:w="1114"/>
        <w:gridCol w:w="1516"/>
        <w:gridCol w:w="1705"/>
        <w:gridCol w:w="1131"/>
        <w:gridCol w:w="1268"/>
        <w:gridCol w:w="1173"/>
        <w:gridCol w:w="1228"/>
        <w:gridCol w:w="819"/>
        <w:gridCol w:w="1227"/>
        <w:gridCol w:w="1246"/>
      </w:tblGrid>
      <w:tr>
        <w:tblPrEx>
          <w:tblLayout w:type="fixed"/>
          <w:tblCellMar>
            <w:top w:w="0" w:type="dxa"/>
            <w:left w:w="0" w:type="dxa"/>
            <w:bottom w:w="0" w:type="dxa"/>
            <w:right w:w="0" w:type="dxa"/>
          </w:tblCellMar>
        </w:tblPrEx>
        <w:trPr>
          <w:trHeight w:val="799"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Layout w:type="fixed"/>
          <w:tblCellMar>
            <w:top w:w="0" w:type="dxa"/>
            <w:left w:w="0" w:type="dxa"/>
            <w:bottom w:w="0" w:type="dxa"/>
            <w:right w:w="0" w:type="dxa"/>
          </w:tblCellMar>
        </w:tblPrEx>
        <w:trPr>
          <w:trHeight w:val="499"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下达2022年水利救灾资金预算（第一批）</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50023123T000002753663</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26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lang w:eastAsia="zh-CN" w:bidi="ar"/>
              </w:rPr>
              <w:t>－</w:t>
            </w:r>
            <w:r>
              <w:rPr>
                <w:rFonts w:cs="宋体"/>
                <w:color w:val="000000"/>
                <w:sz w:val="22"/>
                <w:szCs w:val="22"/>
                <w:lang w:bidi="ar"/>
              </w:rPr>
              <w:t>垫江县太平镇人民政府</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周峰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15823748345</w:t>
            </w: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499" w:hRule="atLeast"/>
        </w:trPr>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1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5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7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1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1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1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5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7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1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1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1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5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7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1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1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499" w:hRule="atLeast"/>
        </w:trPr>
        <w:tc>
          <w:tcPr>
            <w:tcW w:w="589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48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2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1602" w:hRule="atLeast"/>
        </w:trPr>
        <w:tc>
          <w:tcPr>
            <w:tcW w:w="58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保障农业生产</w:t>
            </w:r>
          </w:p>
        </w:tc>
        <w:tc>
          <w:tcPr>
            <w:tcW w:w="48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保障农业生产</w:t>
            </w:r>
          </w:p>
        </w:tc>
        <w:tc>
          <w:tcPr>
            <w:tcW w:w="32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保障农业生产，及时救灾</w:t>
            </w: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涉及村居</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14</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水利救灾覆盖率</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资金拨付及时性</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保障农业生产</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项目经费</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1"/>
        <w:autoSpaceDE w:val="0"/>
        <w:ind w:firstLine="640"/>
        <w:rPr>
          <w:rFonts w:ascii="方正仿宋_GBK" w:hAnsi="方正仿宋_GBK" w:eastAsia="方正仿宋_GBK" w:cs="方正仿宋_GBK"/>
          <w:sz w:val="32"/>
          <w:szCs w:val="32"/>
          <w:shd w:val="clear" w:color="auto" w:fill="FFFFFF"/>
          <w:lang w:bidi="ar"/>
        </w:rPr>
        <w:sectPr>
          <w:pgSz w:w="16840" w:h="11915" w:orient="landscape"/>
          <w:pgMar w:top="1803" w:right="1440" w:bottom="1803" w:left="1440" w:header="851" w:footer="992" w:gutter="0"/>
          <w:pgNumType w:fmt="numberInDash"/>
          <w:cols w:space="0" w:num="1"/>
          <w:docGrid w:type="lines" w:linePitch="332" w:charSpace="0"/>
        </w:sect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对下达2022年水利救灾资金预算（第一批）开展了绩效评价，涉及财政拨款项目资金10万元，评价得分100分，评价等次为优，绩效评价发现了支付原始凭证不规范，要件不齐全等主要问题，提出规范支付凭证，严格审核支付手续等下一步工作建议。</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shd w:val="clear" w:color="auto" w:fill="FFFFFF"/>
        <w:snapToGrid w:val="0"/>
        <w:spacing w:line="620" w:lineRule="exact"/>
        <w:ind w:left="638" w:leftChars="266"/>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lang w:bidi="ar"/>
        </w:rPr>
        <w:t>023-74536329</w:t>
      </w:r>
    </w:p>
    <w:p>
      <w:pPr>
        <w:pStyle w:val="12"/>
        <w:shd w:val="clear" w:color="auto" w:fill="FFFFFF"/>
        <w:spacing w:before="0" w:beforeAutospacing="0" w:after="0" w:afterAutospacing="0" w:line="62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p>
    <w:p>
      <w:pPr>
        <w:pStyle w:val="12"/>
        <w:shd w:val="clear" w:color="auto" w:fill="FFFFFF"/>
        <w:spacing w:before="0" w:beforeAutospacing="0" w:after="0" w:afterAutospacing="0" w:line="620" w:lineRule="exact"/>
        <w:ind w:firstLine="480" w:firstLineChars="200"/>
        <w:rPr>
          <w:rFonts w:ascii="Times New Roman" w:hAnsi="Times New Roman" w:eastAsia="方正仿宋_GBK"/>
          <w:sz w:val="32"/>
          <w:szCs w:val="32"/>
          <w:shd w:val="clear" w:color="auto" w:fill="FFFFFF"/>
        </w:rPr>
      </w:pPr>
      <w:r>
        <w:rPr>
          <w:rFonts w:hint="eastAsia" w:ascii="Times New Roman" w:hAnsi="Times New Roman"/>
          <w:shd w:val="clear" w:color="auto" w:fill="FFFFFF"/>
        </w:rPr>
        <w:t xml:space="preserve">   </w:t>
      </w:r>
      <w:r>
        <w:rPr>
          <w:rFonts w:hint="eastAsia" w:ascii="Times New Roman" w:hAnsi="Times New Roman" w:eastAsia="方正仿宋_GBK"/>
          <w:sz w:val="32"/>
          <w:szCs w:val="32"/>
          <w:shd w:val="clear" w:color="auto" w:fill="FFFFFF"/>
        </w:rPr>
        <w:t>1、垫江县太平镇农业服务中心收入支出决算总表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2、垫江县太平镇农业服务中心收入决算表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3、垫江县太平镇农业服务中心支出决算表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4、垫江县太平镇农业服务中心财政拨款收入支出决算总表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5、垫江县太平镇农业服务中心一般公共预算财政拨款支出决算表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6、垫江县太平镇农业服务中心一般公共预算财政拨款基本支出决算表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7、垫江县太平镇农业服务中心政府性基金预算财政拨款收入支出决算表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8、垫江县太平镇农业服务中心国有资本经营预算财政拨款支出决算表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9、垫江县太平镇农业服务中心机构运行信息表</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3988" w:type="dxa"/>
        <w:tblInd w:w="0" w:type="dxa"/>
        <w:tblLayout w:type="fixed"/>
        <w:tblCellMar>
          <w:top w:w="0" w:type="dxa"/>
          <w:left w:w="0" w:type="dxa"/>
          <w:bottom w:w="0" w:type="dxa"/>
          <w:right w:w="0" w:type="dxa"/>
        </w:tblCellMar>
      </w:tblPr>
      <w:tblGrid>
        <w:gridCol w:w="4124"/>
        <w:gridCol w:w="2733"/>
        <w:gridCol w:w="4722"/>
        <w:gridCol w:w="2409"/>
      </w:tblGrid>
      <w:tr>
        <w:tblPrEx>
          <w:tblLayout w:type="fixed"/>
          <w:tblCellMar>
            <w:top w:w="0" w:type="dxa"/>
            <w:left w:w="0" w:type="dxa"/>
            <w:bottom w:w="0" w:type="dxa"/>
            <w:right w:w="0" w:type="dxa"/>
          </w:tblCellMar>
        </w:tblPrEx>
        <w:trPr>
          <w:trHeight w:val="565" w:hRule="atLeast"/>
        </w:trPr>
        <w:tc>
          <w:tcPr>
            <w:tcW w:w="13988" w:type="dxa"/>
            <w:gridSpan w:val="4"/>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垫江县太平镇农业服务中心收入支出决算总表</w:t>
            </w:r>
          </w:p>
        </w:tc>
      </w:tr>
      <w:tr>
        <w:tblPrEx>
          <w:tblLayout w:type="fixed"/>
          <w:tblCellMar>
            <w:top w:w="0" w:type="dxa"/>
            <w:left w:w="0" w:type="dxa"/>
            <w:bottom w:w="0" w:type="dxa"/>
            <w:right w:w="0" w:type="dxa"/>
          </w:tblCellMar>
        </w:tblPrEx>
        <w:trPr>
          <w:trHeight w:val="289" w:hRule="atLeast"/>
        </w:trPr>
        <w:tc>
          <w:tcPr>
            <w:tcW w:w="41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公开01表</w:t>
            </w:r>
          </w:p>
        </w:tc>
      </w:tr>
      <w:tr>
        <w:tblPrEx>
          <w:tblLayout w:type="fixed"/>
          <w:tblCellMar>
            <w:top w:w="0" w:type="dxa"/>
            <w:left w:w="0" w:type="dxa"/>
            <w:bottom w:w="0" w:type="dxa"/>
            <w:right w:w="0" w:type="dxa"/>
          </w:tblCellMar>
        </w:tblPrEx>
        <w:trPr>
          <w:trHeight w:val="289" w:hRule="atLeast"/>
        </w:trPr>
        <w:tc>
          <w:tcPr>
            <w:tcW w:w="41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cs="宋体"/>
                <w:b w:val="0"/>
                <w:color w:val="000000"/>
              </w:rPr>
            </w:pPr>
            <w:r>
              <w:rPr>
                <w:rFonts w:cs="宋体"/>
                <w:b w:val="0"/>
                <w:color w:val="000000"/>
              </w:rPr>
              <w:t>公开单位：垫江县太平镇农业服务中心</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298" w:hRule="atLeast"/>
        </w:trPr>
        <w:tc>
          <w:tcPr>
            <w:tcW w:w="6857"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收入</w:t>
            </w:r>
          </w:p>
        </w:tc>
        <w:tc>
          <w:tcPr>
            <w:tcW w:w="7131"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273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rPr>
              <w:t>功能分类科目</w:t>
            </w:r>
          </w:p>
        </w:tc>
        <w:tc>
          <w:tcPr>
            <w:tcW w:w="240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一、一般公共预算财政拨款收入</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393.20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二、政府性基金预算财政拨款收入</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三、国有资本经营预算财政拨款收入</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四、上级补助收入</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五、事业收入</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六、经营收入</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七、附属单位上缴收入</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八、其他收入</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51.63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306.11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393.20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393.20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使用非财政拨款结余和专用结余</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结余分配</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年初结转和结余</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年末结转和结余</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41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393.20 </w:t>
            </w:r>
          </w:p>
        </w:tc>
        <w:tc>
          <w:tcPr>
            <w:tcW w:w="47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4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393.20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3390"/>
        <w:gridCol w:w="1280"/>
        <w:gridCol w:w="1272"/>
        <w:gridCol w:w="998"/>
        <w:gridCol w:w="999"/>
        <w:gridCol w:w="999"/>
        <w:gridCol w:w="999"/>
        <w:gridCol w:w="999"/>
        <w:gridCol w:w="1262"/>
      </w:tblGrid>
      <w:tr>
        <w:tblPrEx>
          <w:tblLayout w:type="fixed"/>
          <w:tblCellMar>
            <w:top w:w="0" w:type="dxa"/>
            <w:left w:w="0" w:type="dxa"/>
            <w:bottom w:w="0" w:type="dxa"/>
            <w:right w:w="0" w:type="dxa"/>
          </w:tblCellMar>
        </w:tblPrEx>
        <w:trPr>
          <w:trHeight w:val="641" w:hRule="atLeast"/>
        </w:trPr>
        <w:tc>
          <w:tcPr>
            <w:tcW w:w="13988" w:type="dxa"/>
            <w:gridSpan w:val="10"/>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垫江县太平镇农业服务中心收入决算表</w:t>
            </w:r>
          </w:p>
        </w:tc>
      </w:tr>
      <w:tr>
        <w:tblPrEx>
          <w:tblLayout w:type="fixed"/>
          <w:tblCellMar>
            <w:top w:w="0" w:type="dxa"/>
            <w:left w:w="0" w:type="dxa"/>
            <w:bottom w:w="0" w:type="dxa"/>
            <w:right w:w="0" w:type="dxa"/>
          </w:tblCellMar>
        </w:tblPrEx>
        <w:trPr>
          <w:trHeight w:val="328" w:hRule="atLeast"/>
        </w:trPr>
        <w:tc>
          <w:tcPr>
            <w:tcW w:w="51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cs="宋体"/>
                <w:b w:val="0"/>
                <w:color w:val="000000"/>
              </w:rPr>
              <w:t>公开单位：垫江县太平镇农业服务中心</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公开02表</w:t>
            </w:r>
          </w:p>
        </w:tc>
      </w:tr>
      <w:tr>
        <w:tblPrEx>
          <w:tblLayout w:type="fixed"/>
          <w:tblCellMar>
            <w:top w:w="0" w:type="dxa"/>
            <w:left w:w="0" w:type="dxa"/>
            <w:bottom w:w="0" w:type="dxa"/>
            <w:right w:w="0" w:type="dxa"/>
          </w:tblCellMar>
        </w:tblPrEx>
        <w:trPr>
          <w:trHeight w:val="328" w:hRule="atLeast"/>
        </w:trPr>
        <w:tc>
          <w:tcPr>
            <w:tcW w:w="51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31"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财政拨款收入</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上级补助收入</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事业收入</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经营收入</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附属单位上缴收入</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其中：教育收费</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393.20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393.20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51.63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51.63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51.63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51.63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17.27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17.27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8.62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8.62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25.74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25.74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306.11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306.11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2130104</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10.00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3390"/>
        <w:gridCol w:w="1465"/>
        <w:gridCol w:w="1465"/>
        <w:gridCol w:w="1466"/>
        <w:gridCol w:w="1466"/>
        <w:gridCol w:w="1466"/>
        <w:gridCol w:w="1480"/>
      </w:tblGrid>
      <w:tr>
        <w:tblPrEx>
          <w:tblLayout w:type="fixed"/>
          <w:tblCellMar>
            <w:top w:w="0" w:type="dxa"/>
            <w:left w:w="0" w:type="dxa"/>
            <w:bottom w:w="0" w:type="dxa"/>
            <w:right w:w="0" w:type="dxa"/>
          </w:tblCellMar>
        </w:tblPrEx>
        <w:trPr>
          <w:trHeight w:val="65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垫江县太平镇农业服务中心支出决算表</w:t>
            </w:r>
          </w:p>
        </w:tc>
      </w:tr>
      <w:tr>
        <w:tblPrEx>
          <w:tblLayout w:type="fixed"/>
          <w:tblCellMar>
            <w:top w:w="0" w:type="dxa"/>
            <w:left w:w="0" w:type="dxa"/>
            <w:bottom w:w="0" w:type="dxa"/>
            <w:right w:w="0" w:type="dxa"/>
          </w:tblCellMar>
        </w:tblPrEx>
        <w:trPr>
          <w:trHeight w:val="342" w:hRule="atLeast"/>
        </w:trPr>
        <w:tc>
          <w:tcPr>
            <w:tcW w:w="51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 xml:space="preserve">垫江县太平镇农业服务中心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公开03表</w:t>
            </w:r>
          </w:p>
        </w:tc>
      </w:tr>
      <w:tr>
        <w:tblPrEx>
          <w:tblLayout w:type="fixed"/>
          <w:tblCellMar>
            <w:top w:w="0" w:type="dxa"/>
            <w:left w:w="0" w:type="dxa"/>
            <w:bottom w:w="0" w:type="dxa"/>
            <w:right w:w="0" w:type="dxa"/>
          </w:tblCellMar>
        </w:tblPrEx>
        <w:trPr>
          <w:trHeight w:val="342" w:hRule="atLeast"/>
        </w:trPr>
        <w:tc>
          <w:tcPr>
            <w:tcW w:w="51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上缴上级支出</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393.20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383.20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10.00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51.63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51.63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51.63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51.63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17.27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17.27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8.62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8.62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25.74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25.74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11.39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306.11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10.00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2130104</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296.11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10.00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10.00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10.00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10.00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1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24.08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3110"/>
        <w:gridCol w:w="1361"/>
        <w:gridCol w:w="3330"/>
        <w:gridCol w:w="1530"/>
        <w:gridCol w:w="1530"/>
        <w:gridCol w:w="1530"/>
        <w:gridCol w:w="1597"/>
      </w:tblGrid>
      <w:tr>
        <w:tblPrEx>
          <w:tblLayout w:type="fixed"/>
          <w:tblCellMar>
            <w:top w:w="0" w:type="dxa"/>
            <w:left w:w="0" w:type="dxa"/>
            <w:bottom w:w="0" w:type="dxa"/>
            <w:right w:w="0" w:type="dxa"/>
          </w:tblCellMar>
        </w:tblPrEx>
        <w:trPr>
          <w:trHeight w:val="90" w:hRule="atLeast"/>
        </w:trPr>
        <w:tc>
          <w:tcPr>
            <w:tcW w:w="13988" w:type="dxa"/>
            <w:gridSpan w:val="7"/>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垫江县太平镇农业服务中心财政拨款收入支出决算总表</w:t>
            </w:r>
          </w:p>
        </w:tc>
      </w:tr>
      <w:tr>
        <w:tblPrEx>
          <w:tblLayout w:type="fixed"/>
          <w:tblCellMar>
            <w:top w:w="0" w:type="dxa"/>
            <w:left w:w="0" w:type="dxa"/>
            <w:bottom w:w="0" w:type="dxa"/>
            <w:right w:w="0" w:type="dxa"/>
          </w:tblCellMar>
        </w:tblPrEx>
        <w:trPr>
          <w:trHeight w:val="90" w:hRule="atLeast"/>
        </w:trPr>
        <w:tc>
          <w:tcPr>
            <w:tcW w:w="44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垫江县太平镇农业服务中心</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公开04表</w:t>
            </w:r>
          </w:p>
        </w:tc>
      </w:tr>
      <w:tr>
        <w:tblPrEx>
          <w:tblLayout w:type="fixed"/>
          <w:tblCellMar>
            <w:top w:w="0" w:type="dxa"/>
            <w:left w:w="0" w:type="dxa"/>
            <w:bottom w:w="0" w:type="dxa"/>
            <w:right w:w="0" w:type="dxa"/>
          </w:tblCellMar>
        </w:tblPrEx>
        <w:trPr>
          <w:trHeight w:val="90" w:hRule="atLeast"/>
        </w:trPr>
        <w:tc>
          <w:tcPr>
            <w:tcW w:w="44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90" w:hRule="atLeast"/>
        </w:trPr>
        <w:tc>
          <w:tcPr>
            <w:tcW w:w="4471"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     入</w:t>
            </w:r>
          </w:p>
        </w:tc>
        <w:tc>
          <w:tcPr>
            <w:tcW w:w="9517"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w:t>
            </w:r>
          </w:p>
        </w:tc>
        <w:tc>
          <w:tcPr>
            <w:tcW w:w="6187"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一般公共预算财政拨款</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政府性基金预算财政拨款</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393.20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51.63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51.63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306.11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306.11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393.20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393.20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393.20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年初财政拨款结转和结余</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年末财政拨款结转和结余</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一般公共预算财政拨款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政府性基金预算财政拨款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国有资本经营预算财政拨款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393.20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393.20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393.20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 </w:t>
            </w:r>
          </w:p>
        </w:tc>
        <w:tc>
          <w:tcPr>
            <w:tcW w:w="1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644"/>
        <w:gridCol w:w="3391"/>
        <w:gridCol w:w="2977"/>
        <w:gridCol w:w="2977"/>
        <w:gridCol w:w="2999"/>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垫江县太平镇农业服务中心一般公共预算财政拨款支出决算表</w:t>
            </w:r>
          </w:p>
        </w:tc>
      </w:tr>
      <w:tr>
        <w:tblPrEx>
          <w:tblLayout w:type="fixed"/>
          <w:tblCellMar>
            <w:top w:w="0" w:type="dxa"/>
            <w:left w:w="0" w:type="dxa"/>
            <w:bottom w:w="0" w:type="dxa"/>
            <w:right w:w="0" w:type="dxa"/>
          </w:tblCellMar>
        </w:tblPrEx>
        <w:trPr>
          <w:trHeight w:val="255" w:hRule="atLeast"/>
        </w:trPr>
        <w:tc>
          <w:tcPr>
            <w:tcW w:w="50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垫江县太平镇农业服务中心</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公开05表</w:t>
            </w:r>
          </w:p>
        </w:tc>
      </w:tr>
      <w:tr>
        <w:tblPrEx>
          <w:tblLayout w:type="fixed"/>
          <w:tblCellMar>
            <w:top w:w="0" w:type="dxa"/>
            <w:left w:w="0" w:type="dxa"/>
            <w:bottom w:w="0" w:type="dxa"/>
            <w:right w:w="0" w:type="dxa"/>
          </w:tblCellMar>
        </w:tblPrEx>
        <w:trPr>
          <w:trHeight w:val="285" w:hRule="atLeast"/>
        </w:trPr>
        <w:tc>
          <w:tcPr>
            <w:tcW w:w="50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895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164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297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9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164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9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5" w:hRule="atLeast"/>
        </w:trPr>
        <w:tc>
          <w:tcPr>
            <w:tcW w:w="164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9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08"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393.20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383.20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10.00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51.63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51.63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51.63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51.63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17.27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17.27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8.62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8.62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25.74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25.74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306.11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10.00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2130104</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296.11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10.00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10.00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10.00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10.00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c>
          <w:tcPr>
            <w:tcW w:w="2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042"/>
        <w:gridCol w:w="3222"/>
        <w:gridCol w:w="639"/>
        <w:gridCol w:w="562"/>
        <w:gridCol w:w="2158"/>
        <w:gridCol w:w="538"/>
        <w:gridCol w:w="562"/>
        <w:gridCol w:w="4074"/>
        <w:gridCol w:w="1191"/>
      </w:tblGrid>
      <w:tr>
        <w:tblPrEx>
          <w:tblLayout w:type="fixed"/>
          <w:tblCellMar>
            <w:top w:w="0" w:type="dxa"/>
            <w:left w:w="0" w:type="dxa"/>
            <w:bottom w:w="0" w:type="dxa"/>
            <w:right w:w="0" w:type="dxa"/>
          </w:tblCellMar>
        </w:tblPrEx>
        <w:trPr>
          <w:trHeight w:val="590" w:hRule="atLeast"/>
        </w:trPr>
        <w:tc>
          <w:tcPr>
            <w:tcW w:w="13988" w:type="dxa"/>
            <w:gridSpan w:val="9"/>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垫江县太平镇农业服务中心一般公共预算财政拨款基本支出决算表</w:t>
            </w:r>
          </w:p>
        </w:tc>
      </w:tr>
      <w:tr>
        <w:tblPrEx>
          <w:tblLayout w:type="fixed"/>
          <w:tblCellMar>
            <w:top w:w="0" w:type="dxa"/>
            <w:left w:w="0" w:type="dxa"/>
            <w:bottom w:w="0" w:type="dxa"/>
            <w:right w:w="0" w:type="dxa"/>
          </w:tblCellMar>
        </w:tblPrEx>
        <w:trPr>
          <w:trHeight w:val="302" w:hRule="atLeast"/>
        </w:trPr>
        <w:tc>
          <w:tcPr>
            <w:tcW w:w="426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垫江县太平镇农业服务中心</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4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公开06表</w:t>
            </w:r>
          </w:p>
        </w:tc>
      </w:tr>
      <w:tr>
        <w:tblPrEx>
          <w:tblLayout w:type="fixed"/>
          <w:tblCellMar>
            <w:top w:w="0" w:type="dxa"/>
            <w:left w:w="0" w:type="dxa"/>
            <w:bottom w:w="0" w:type="dxa"/>
            <w:right w:w="0" w:type="dxa"/>
          </w:tblCellMar>
        </w:tblPrEx>
        <w:trPr>
          <w:trHeight w:val="302" w:hRule="atLeast"/>
        </w:trPr>
        <w:tc>
          <w:tcPr>
            <w:tcW w:w="426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4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11" w:hRule="atLeast"/>
        </w:trPr>
        <w:tc>
          <w:tcPr>
            <w:tcW w:w="4903" w:type="dxa"/>
            <w:gridSpan w:val="3"/>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w:t>
            </w:r>
          </w:p>
        </w:tc>
        <w:tc>
          <w:tcPr>
            <w:tcW w:w="9085" w:type="dxa"/>
            <w:gridSpan w:val="6"/>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22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407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2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07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工资福利支出</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316.77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40.03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资本性支出</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0.67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30101</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基本工资</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65.20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30201</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1.24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31001</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房屋建筑物</w:t>
            </w:r>
            <w:r>
              <w:rPr>
                <w:rFonts w:hint="eastAsia" w:cs="宋体"/>
                <w:b w:val="0"/>
                <w:color w:val="000000"/>
                <w:sz w:val="22"/>
                <w:szCs w:val="22"/>
                <w:lang w:eastAsia="zh-CN" w:bidi="ar"/>
              </w:rPr>
              <w:t>构建</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30102</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津贴补贴</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11.29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30202</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印刷费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31002</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办公设备购置</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0.67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30103</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奖金</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30203</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咨询费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0.50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31003</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专用设备购置</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30106</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伙食补助费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30204</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手续费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31005</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基础设施建设</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30107</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绩效工资</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173.60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30205</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水费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0.87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31006</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大型修缮</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30108</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机关事业单位基本养老保险缴费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17.27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30206</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电费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1.97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31007</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信息网络及软件购置更新</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30109</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职业年金缴费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8.62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30207</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邮电费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0.56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31008</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物资储备</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30110</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职工基本医疗保险缴费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11.39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30208</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取暖费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31009</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土地补偿</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30111</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公务员医疗补助缴费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30209</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物业管理费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31010</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安置补助</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30112</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其他社会保障缴费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0.33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30211</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差旅费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20.58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31011</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地上附着物和青苗补偿</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30113</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住房公积金</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24.08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30212</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因公出国（境）费用</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31012</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拆迁补偿</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30114</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2.24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30213</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维修（护）费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31013</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公务用车购置</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30199</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其他工资福利支出</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2.76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30214</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租赁费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0.15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31019</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其他交通工具购置</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对个人和家庭的补助</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25.74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30215</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会议费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31021</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文物和陈列品购置</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30301</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离休费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30216</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培训费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0.07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31022</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无形资产购置</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30302</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退休费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30217</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公务接待费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31099</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其他资本性支出</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30303</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退职（役）费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30218</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专用材料费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对企业补助</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30304</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抚恤金</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30224</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被装购置费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31201</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资本金注入</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30305</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生活补助</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23.94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30225</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专用燃料费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31203</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政府投资基金股权投资</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bookmarkStart w:id="0" w:name="_GoBack"/>
            <w:bookmarkEnd w:id="0"/>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30306</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救济费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30226</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劳务费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2.07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31204</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费用补贴</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30307</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医疗费补助</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1.80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30227</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委托业务费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0.56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31205</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利息补贴</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30308</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助学金</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30228</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工会经费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1.56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31299</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其他对企业补助</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30309</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奖励金</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30229</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福利费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3.60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其他支出</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30310</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个人农业生产补贴</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30231</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公务用车运行维护费</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39907</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国家赔偿费用支出</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30311</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代缴社会保险费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30239</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其他交通费用</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39908</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对民间非营利组织和群众性自治组织补贴</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30399</w:t>
            </w: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其他对个人和家庭的补助</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30240</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税金及附加费用</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39909</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经常性</w:t>
            </w:r>
            <w:r>
              <w:rPr>
                <w:rFonts w:cs="宋体"/>
                <w:b w:val="0"/>
                <w:color w:val="000000"/>
                <w:sz w:val="22"/>
                <w:szCs w:val="22"/>
                <w:highlight w:val="none"/>
                <w:lang w:bidi="ar"/>
              </w:rPr>
              <w:t>赠与</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30299</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4.02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39910</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资本性</w:t>
            </w:r>
            <w:r>
              <w:rPr>
                <w:rFonts w:cs="宋体"/>
                <w:b w:val="0"/>
                <w:color w:val="000000"/>
                <w:sz w:val="22"/>
                <w:szCs w:val="22"/>
                <w:highlight w:val="none"/>
                <w:lang w:bidi="ar"/>
              </w:rPr>
              <w:t>赠与</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债务利息及费用支出</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39999</w:t>
            </w: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其他支出</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30701</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国内债务付息</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30702</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国外债务付息</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30703</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国内债务发行费用</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0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2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30704</w:t>
            </w:r>
          </w:p>
        </w:tc>
        <w:tc>
          <w:tcPr>
            <w:tcW w:w="215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国外债务发行费用</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0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21" w:hRule="atLeast"/>
        </w:trPr>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人员经费合计</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342.51 </w:t>
            </w:r>
          </w:p>
        </w:tc>
        <w:tc>
          <w:tcPr>
            <w:tcW w:w="7894"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公用经费合计</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40.69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683"/>
        <w:gridCol w:w="2809"/>
        <w:gridCol w:w="1553"/>
        <w:gridCol w:w="1553"/>
        <w:gridCol w:w="1553"/>
        <w:gridCol w:w="1553"/>
        <w:gridCol w:w="1611"/>
        <w:gridCol w:w="1673"/>
      </w:tblGrid>
      <w:tr>
        <w:tblPrEx>
          <w:tblLayout w:type="fixed"/>
          <w:tblCellMar>
            <w:top w:w="0" w:type="dxa"/>
            <w:left w:w="0" w:type="dxa"/>
            <w:bottom w:w="0" w:type="dxa"/>
            <w:right w:w="0" w:type="dxa"/>
          </w:tblCellMar>
        </w:tblPrEx>
        <w:trPr>
          <w:trHeight w:val="64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垫江县太平镇农业服务中心政府性基金预算财政拨款收入支出决算表</w:t>
            </w:r>
          </w:p>
        </w:tc>
      </w:tr>
      <w:tr>
        <w:tblPrEx>
          <w:tblLayout w:type="fixed"/>
          <w:tblCellMar>
            <w:top w:w="0" w:type="dxa"/>
            <w:left w:w="0" w:type="dxa"/>
            <w:bottom w:w="0" w:type="dxa"/>
            <w:right w:w="0" w:type="dxa"/>
          </w:tblCellMar>
        </w:tblPrEx>
        <w:trPr>
          <w:trHeight w:val="329" w:hRule="atLeast"/>
        </w:trPr>
        <w:tc>
          <w:tcPr>
            <w:tcW w:w="44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垫江县太平镇农业服务中心</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公开07表</w:t>
            </w:r>
          </w:p>
        </w:tc>
      </w:tr>
      <w:tr>
        <w:tblPrEx>
          <w:tblLayout w:type="fixed"/>
          <w:tblCellMar>
            <w:top w:w="0" w:type="dxa"/>
            <w:left w:w="0" w:type="dxa"/>
            <w:bottom w:w="0" w:type="dxa"/>
            <w:right w:w="0" w:type="dxa"/>
          </w:tblCellMar>
        </w:tblPrEx>
        <w:trPr>
          <w:trHeight w:val="329" w:hRule="atLeast"/>
        </w:trPr>
        <w:tc>
          <w:tcPr>
            <w:tcW w:w="44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39" w:hRule="atLeast"/>
        </w:trPr>
        <w:tc>
          <w:tcPr>
            <w:tcW w:w="449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w:t>
            </w:r>
          </w:p>
        </w:tc>
        <w:tc>
          <w:tcPr>
            <w:tcW w:w="471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168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5" w:hRule="atLeast"/>
        </w:trPr>
        <w:tc>
          <w:tcPr>
            <w:tcW w:w="168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45" w:hRule="atLeast"/>
        </w:trPr>
        <w:tc>
          <w:tcPr>
            <w:tcW w:w="168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449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6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714"/>
        <w:gridCol w:w="2784"/>
        <w:gridCol w:w="2977"/>
        <w:gridCol w:w="3410"/>
        <w:gridCol w:w="3103"/>
      </w:tblGrid>
      <w:tr>
        <w:tblPrEx>
          <w:tblLayout w:type="fixed"/>
          <w:tblCellMar>
            <w:top w:w="0" w:type="dxa"/>
            <w:left w:w="0" w:type="dxa"/>
            <w:bottom w:w="0" w:type="dxa"/>
            <w:right w:w="0" w:type="dxa"/>
          </w:tblCellMar>
        </w:tblPrEx>
        <w:trPr>
          <w:trHeight w:val="65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垫江县太平镇农业服务中心国有资本经营预算财政拨款支出决算表</w:t>
            </w:r>
          </w:p>
        </w:tc>
      </w:tr>
      <w:tr>
        <w:tblPrEx>
          <w:tblLayout w:type="fixed"/>
          <w:tblCellMar>
            <w:top w:w="0" w:type="dxa"/>
            <w:left w:w="0" w:type="dxa"/>
            <w:bottom w:w="0" w:type="dxa"/>
            <w:right w:w="0" w:type="dxa"/>
          </w:tblCellMar>
        </w:tblPrEx>
        <w:trPr>
          <w:trHeight w:val="332" w:hRule="atLeast"/>
        </w:trPr>
        <w:tc>
          <w:tcPr>
            <w:tcW w:w="449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垫江县太平镇农业服务中心</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1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公开08表</w:t>
            </w:r>
          </w:p>
        </w:tc>
      </w:tr>
      <w:tr>
        <w:tblPrEx>
          <w:tblLayout w:type="fixed"/>
          <w:tblCellMar>
            <w:top w:w="0" w:type="dxa"/>
            <w:left w:w="0" w:type="dxa"/>
            <w:bottom w:w="0" w:type="dxa"/>
            <w:right w:w="0" w:type="dxa"/>
          </w:tblCellMar>
        </w:tblPrEx>
        <w:trPr>
          <w:trHeight w:val="332" w:hRule="atLeast"/>
        </w:trPr>
        <w:tc>
          <w:tcPr>
            <w:tcW w:w="44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1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22" w:hRule="atLeast"/>
        </w:trPr>
        <w:tc>
          <w:tcPr>
            <w:tcW w:w="449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949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171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78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科目名称</w:t>
            </w:r>
          </w:p>
        </w:tc>
        <w:tc>
          <w:tcPr>
            <w:tcW w:w="297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3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310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171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171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2" w:hRule="atLeast"/>
        </w:trPr>
        <w:tc>
          <w:tcPr>
            <w:tcW w:w="171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1" w:hRule="atLeast"/>
        </w:trPr>
        <w:tc>
          <w:tcPr>
            <w:tcW w:w="449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1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4230"/>
        <w:gridCol w:w="1767"/>
        <w:gridCol w:w="1427"/>
        <w:gridCol w:w="5090"/>
        <w:gridCol w:w="1474"/>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垫江县太平镇农业服务中心机构运行信息表</w:t>
            </w:r>
          </w:p>
        </w:tc>
      </w:tr>
      <w:tr>
        <w:tblPrEx>
          <w:tblLayout w:type="fixed"/>
          <w:tblCellMar>
            <w:top w:w="0" w:type="dxa"/>
            <w:left w:w="0" w:type="dxa"/>
            <w:bottom w:w="0" w:type="dxa"/>
            <w:right w:w="0" w:type="dxa"/>
          </w:tblCellMar>
        </w:tblPrEx>
        <w:trPr>
          <w:trHeight w:val="255"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ascii="Arial" w:hAnsi="Arial" w:cs="Arial"/>
                <w:b w:val="0"/>
                <w:color w:val="000000"/>
                <w:sz w:val="20"/>
                <w:szCs w:val="20"/>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公开09表</w:t>
            </w:r>
          </w:p>
        </w:tc>
      </w:tr>
      <w:tr>
        <w:tblPrEx>
          <w:tblLayout w:type="fixed"/>
          <w:tblCellMar>
            <w:top w:w="0" w:type="dxa"/>
            <w:left w:w="0" w:type="dxa"/>
            <w:bottom w:w="0" w:type="dxa"/>
            <w:right w:w="0" w:type="dxa"/>
          </w:tblCellMar>
        </w:tblPrEx>
        <w:trPr>
          <w:trHeight w:val="285"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垫江县太平镇农业服务中心</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cs="宋体"/>
                <w:b w:val="0"/>
                <w:color w:val="000000"/>
                <w:sz w:val="22"/>
                <w:szCs w:val="22"/>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预算数</w:t>
            </w:r>
          </w:p>
        </w:tc>
        <w:tc>
          <w:tcPr>
            <w:tcW w:w="142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一、“三公”经费支出</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四、机关运行经费</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（一）支出合计</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1.00 </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1.00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（一）行政单位</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（二）参照公务员法管理事业单位</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2．公务用车购置及运行维护费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五、资产信息</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（1）公务用车购置费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（一）车辆数合计（辆）</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（2）公务用车运行维护费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1．副部（省）级及以上领导用车</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3．公务接待费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1.00 </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1.00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2．主要领导干部用车</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（1）国内接待费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1.00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3．机要通信用车</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4．应急保障用车</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（2）国（境）外接待费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5．执法执勤用车</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（二）相关统计数</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6．特种专业技术用车</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1．因公出国（境）团组数（个）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7．离退休干部用车</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2．因公出国（境）人次数（人）</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8．其他用车</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3．公务用车购置数（辆）</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（二）单价100万元（含）以上设备（不含车辆）</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4．公务用车保有量（辆）</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六、政府采购支出信息</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5．国内公务接待批次（个）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40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（一）政府采购支出合计</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其中：外事接待批次（个）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1．政府采购货物支出</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6．国内公务接待人次（人）</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330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2．政府采购工程支出</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其中：外事接待人次（人）</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3．政府采购服务支出</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7．国（境）外公务接待批次（个）</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（二）政府采购授予中小企业合同金额</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8．国（境）外公务接待人次（人）</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其中：授予小微企业合同金额</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二、会议费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三、培训费</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0.07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16838" w:h="11906" w:orient="landscape"/>
      <w:pgMar w:top="1803" w:right="1440" w:bottom="1803" w:left="1440" w:header="0" w:footer="283" w:gutter="0"/>
      <w:pgNumType w:fmt="numberInDash"/>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65"/>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zBhMWNmOWNjYWRjOTliMjk1ZGEwNzM3YmZlMTQifQ=="/>
  </w:docVars>
  <w:rsids>
    <w:rsidRoot w:val="00B03CCD"/>
    <w:rsid w:val="00110067"/>
    <w:rsid w:val="0018064E"/>
    <w:rsid w:val="00550ABE"/>
    <w:rsid w:val="00706D34"/>
    <w:rsid w:val="007B419D"/>
    <w:rsid w:val="007E20BC"/>
    <w:rsid w:val="009113DF"/>
    <w:rsid w:val="009B67B8"/>
    <w:rsid w:val="00B03CCD"/>
    <w:rsid w:val="00C32D12"/>
    <w:rsid w:val="00CE2EBB"/>
    <w:rsid w:val="00F73F90"/>
    <w:rsid w:val="00FF6CB1"/>
    <w:rsid w:val="01474EBF"/>
    <w:rsid w:val="01F3521E"/>
    <w:rsid w:val="03B87EA0"/>
    <w:rsid w:val="03E3214F"/>
    <w:rsid w:val="041D4031"/>
    <w:rsid w:val="044C50BA"/>
    <w:rsid w:val="05BC6D49"/>
    <w:rsid w:val="06194FF1"/>
    <w:rsid w:val="066023EE"/>
    <w:rsid w:val="06A2550B"/>
    <w:rsid w:val="06F80EE2"/>
    <w:rsid w:val="07001CCA"/>
    <w:rsid w:val="072440CC"/>
    <w:rsid w:val="075678DB"/>
    <w:rsid w:val="079D7CC7"/>
    <w:rsid w:val="07B1076B"/>
    <w:rsid w:val="08051BCA"/>
    <w:rsid w:val="086C12F4"/>
    <w:rsid w:val="08705944"/>
    <w:rsid w:val="08BA052C"/>
    <w:rsid w:val="08DB07BA"/>
    <w:rsid w:val="0969353F"/>
    <w:rsid w:val="098305D0"/>
    <w:rsid w:val="0A3317EA"/>
    <w:rsid w:val="0A5C4B69"/>
    <w:rsid w:val="0A86124A"/>
    <w:rsid w:val="0AB54CC0"/>
    <w:rsid w:val="0B0219D4"/>
    <w:rsid w:val="0B9335CE"/>
    <w:rsid w:val="0BF2311A"/>
    <w:rsid w:val="0C7927C4"/>
    <w:rsid w:val="0C9B098C"/>
    <w:rsid w:val="0D673E11"/>
    <w:rsid w:val="0DDA54E4"/>
    <w:rsid w:val="0E3A5F83"/>
    <w:rsid w:val="0E531C1A"/>
    <w:rsid w:val="0F836721"/>
    <w:rsid w:val="0FA25D96"/>
    <w:rsid w:val="0FDC0354"/>
    <w:rsid w:val="107B59E5"/>
    <w:rsid w:val="10EC0126"/>
    <w:rsid w:val="10F70B9A"/>
    <w:rsid w:val="111445C7"/>
    <w:rsid w:val="114278C6"/>
    <w:rsid w:val="1158083A"/>
    <w:rsid w:val="11643A4B"/>
    <w:rsid w:val="11ED0F98"/>
    <w:rsid w:val="11F03528"/>
    <w:rsid w:val="120743C7"/>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E7550F"/>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977FBF"/>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7B52B4"/>
    <w:rsid w:val="31D84415"/>
    <w:rsid w:val="32285F6F"/>
    <w:rsid w:val="32770556"/>
    <w:rsid w:val="329C0913"/>
    <w:rsid w:val="32AA0460"/>
    <w:rsid w:val="3337290D"/>
    <w:rsid w:val="33A46728"/>
    <w:rsid w:val="33E31118"/>
    <w:rsid w:val="33EF7674"/>
    <w:rsid w:val="342D7BC6"/>
    <w:rsid w:val="352930DB"/>
    <w:rsid w:val="35573069"/>
    <w:rsid w:val="355F6038"/>
    <w:rsid w:val="358C217E"/>
    <w:rsid w:val="36C9128A"/>
    <w:rsid w:val="36CB14C7"/>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201968"/>
    <w:rsid w:val="495C4A24"/>
    <w:rsid w:val="497135DF"/>
    <w:rsid w:val="49C43021"/>
    <w:rsid w:val="4A263DF2"/>
    <w:rsid w:val="4A6F6675"/>
    <w:rsid w:val="4B135857"/>
    <w:rsid w:val="4B7951CB"/>
    <w:rsid w:val="4B7C315C"/>
    <w:rsid w:val="4DAC4ACA"/>
    <w:rsid w:val="4DBE01D2"/>
    <w:rsid w:val="4F0C6BA3"/>
    <w:rsid w:val="4F186D58"/>
    <w:rsid w:val="50F06B6E"/>
    <w:rsid w:val="51D21804"/>
    <w:rsid w:val="52234D33"/>
    <w:rsid w:val="522F6E0C"/>
    <w:rsid w:val="52463BA1"/>
    <w:rsid w:val="525E42C8"/>
    <w:rsid w:val="52F163D4"/>
    <w:rsid w:val="531A2DB4"/>
    <w:rsid w:val="53C0244D"/>
    <w:rsid w:val="53C13240"/>
    <w:rsid w:val="53DD4D4E"/>
    <w:rsid w:val="53E578CE"/>
    <w:rsid w:val="541330F0"/>
    <w:rsid w:val="54272666"/>
    <w:rsid w:val="543B029D"/>
    <w:rsid w:val="54861779"/>
    <w:rsid w:val="552256E1"/>
    <w:rsid w:val="554E5773"/>
    <w:rsid w:val="555A3CBC"/>
    <w:rsid w:val="5582012B"/>
    <w:rsid w:val="558E4E05"/>
    <w:rsid w:val="55BE2E85"/>
    <w:rsid w:val="56391F9E"/>
    <w:rsid w:val="56530F5D"/>
    <w:rsid w:val="567700D3"/>
    <w:rsid w:val="56FF7E9E"/>
    <w:rsid w:val="578867FC"/>
    <w:rsid w:val="5842572D"/>
    <w:rsid w:val="58A809B5"/>
    <w:rsid w:val="5A3B59D6"/>
    <w:rsid w:val="5AD134D8"/>
    <w:rsid w:val="5C263CE4"/>
    <w:rsid w:val="5C5D2777"/>
    <w:rsid w:val="5CF66BF3"/>
    <w:rsid w:val="5D290C69"/>
    <w:rsid w:val="5F2D4A41"/>
    <w:rsid w:val="60983655"/>
    <w:rsid w:val="60C74F6C"/>
    <w:rsid w:val="61025A59"/>
    <w:rsid w:val="613D5BBC"/>
    <w:rsid w:val="61536C39"/>
    <w:rsid w:val="62944DD7"/>
    <w:rsid w:val="6319381F"/>
    <w:rsid w:val="63C25DC5"/>
    <w:rsid w:val="63C62057"/>
    <w:rsid w:val="64571EF5"/>
    <w:rsid w:val="64FB113D"/>
    <w:rsid w:val="65535AEB"/>
    <w:rsid w:val="656152C6"/>
    <w:rsid w:val="6587477F"/>
    <w:rsid w:val="658C3A08"/>
    <w:rsid w:val="65C031CA"/>
    <w:rsid w:val="65CE6852"/>
    <w:rsid w:val="66267C04"/>
    <w:rsid w:val="663F505A"/>
    <w:rsid w:val="66EE5541"/>
    <w:rsid w:val="67317098"/>
    <w:rsid w:val="67760392"/>
    <w:rsid w:val="67924660"/>
    <w:rsid w:val="68407834"/>
    <w:rsid w:val="6883293E"/>
    <w:rsid w:val="688412AD"/>
    <w:rsid w:val="68EB1B71"/>
    <w:rsid w:val="692D701C"/>
    <w:rsid w:val="6A7907FF"/>
    <w:rsid w:val="6AAD2300"/>
    <w:rsid w:val="6B474EF5"/>
    <w:rsid w:val="6C0A5AC5"/>
    <w:rsid w:val="6C560CAE"/>
    <w:rsid w:val="6C576495"/>
    <w:rsid w:val="6D903FF5"/>
    <w:rsid w:val="6DA955B8"/>
    <w:rsid w:val="6DE346AB"/>
    <w:rsid w:val="6DE5391A"/>
    <w:rsid w:val="6E3571D4"/>
    <w:rsid w:val="6EFA5BDF"/>
    <w:rsid w:val="6EFD1324"/>
    <w:rsid w:val="6F5A53AC"/>
    <w:rsid w:val="6FAC003D"/>
    <w:rsid w:val="6FE55E12"/>
    <w:rsid w:val="6FFB2E76"/>
    <w:rsid w:val="708F6F7F"/>
    <w:rsid w:val="70D94BD3"/>
    <w:rsid w:val="71C34D91"/>
    <w:rsid w:val="72DB435C"/>
    <w:rsid w:val="72E2613A"/>
    <w:rsid w:val="72F771F4"/>
    <w:rsid w:val="73934AD2"/>
    <w:rsid w:val="750837F0"/>
    <w:rsid w:val="754758CF"/>
    <w:rsid w:val="754B7349"/>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9303</Words>
  <Characters>11286</Characters>
  <Lines>102</Lines>
  <Paragraphs>28</Paragraphs>
  <TotalTime>18</TotalTime>
  <ScaleCrop>false</ScaleCrop>
  <LinksUpToDate>false</LinksUpToDate>
  <CharactersWithSpaces>12335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2024-08-21T07:28:00Z</dcterms:created>
  <dc:creator>Administrator</dc:creator>
  <cp:lastModifiedBy>加贝</cp:lastModifiedBy>
  <cp:lastPrinted>2024-09-11T08:52:00Z</cp:lastPrinted>
  <dcterms:modified xsi:type="dcterms:W3CDTF">2025-07-29T06:20:18Z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