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垫江县太平镇人民政府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autoSpaceDE w:val="0"/>
        <w:snapToGrid w:val="0"/>
        <w:spacing w:line="594" w:lineRule="exact"/>
        <w:ind w:firstLine="643" w:firstLineChars="200"/>
        <w:rPr>
          <w:rFonts w:hint="default" w:ascii="Times New Roman" w:hAnsi="Times New Roman" w:eastAsia="方正楷体_GBK"/>
          <w:b/>
          <w:sz w:val="32"/>
          <w:szCs w:val="32"/>
        </w:rPr>
      </w:pPr>
      <w:r>
        <w:rPr>
          <w:rFonts w:hint="default" w:ascii="Times New Roman" w:hAnsi="Times New Roman" w:eastAsia="方正楷体_GBK"/>
          <w:b/>
          <w:sz w:val="32"/>
          <w:szCs w:val="32"/>
        </w:rPr>
        <w:t>（一）基本情况</w:t>
      </w:r>
    </w:p>
    <w:p>
      <w:pPr>
        <w:widowControl w:val="0"/>
        <w:autoSpaceDE w:val="0"/>
        <w:snapToGrid w:val="0"/>
        <w:spacing w:line="594" w:lineRule="exact"/>
        <w:ind w:right="-324" w:rightChars="-135"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党政办负责处理政府机关日常事务；（2）党群工作办公室负责机关、事业单位和村（社区）党的建设、组织、机构编制、人事等工作；（3）人大办公室负责镇人民代表大会、主席团履行法定职权、组织人大代表视察、调研、评议等工作；（4）经济发展办公室承担促进乡镇、村（社区）经济发展职责、招商引资、科技普及、统计与普查等工作；（5）财政办贯彻财经方针政策，执行财政法规、财经制度，负责财政收支、预决算、总会计、惠农资金兑付、财政资金监督检查、绩效评价、农村财务管理等工作；（6）民政和社会事务办公室负责牵头推动民政、教育、卫生健康、计生、文化体育、优抚、残疾人事业、老龄、社会保障、劳动就业、救济、社会救助、殡葬管理、审核城乡低保、医疗救助对象、区划地名管理等工作；（7）平安建设办公室负责普法教育、防邪、禁毒、综治、信访、维稳、基层民间矛盾纠纷调解、高铁沿线护路</w:t>
      </w:r>
      <w:r>
        <w:rPr>
          <w:rFonts w:hint="eastAsia" w:ascii="Times New Roman" w:hAnsi="Times New Roman" w:eastAsia="方正仿宋_GBK"/>
          <w:sz w:val="32"/>
          <w:szCs w:val="32"/>
          <w:lang w:eastAsia="zh-CN"/>
        </w:rPr>
        <w:t>管理</w:t>
      </w:r>
      <w:r>
        <w:rPr>
          <w:rFonts w:hint="default" w:ascii="Times New Roman" w:hAnsi="Times New Roman" w:eastAsia="方正仿宋_GBK"/>
          <w:sz w:val="32"/>
          <w:szCs w:val="32"/>
        </w:rPr>
        <w:t>等工作；（8）规划建设管理环保办公室负责承担辖区内规划、建设、市政、生态环境保护等综合管理职责、土地复垦、国土管理、耕地保护、市政园林、城镇管理等工作；（9）应急管理办公室负责火灾、水旱灾害、地质灾害等灾害防治、救灾、消防工作和人防、安全生产农村道路、航运安全、职业健康日常监管等工作；（10）综合行政执法办公室负责综合行政执法方面</w:t>
      </w:r>
      <w:r>
        <w:rPr>
          <w:rFonts w:hint="eastAsia" w:ascii="Times New Roman" w:hAnsi="Times New Roman" w:eastAsia="方正仿宋_GBK"/>
          <w:sz w:val="32"/>
          <w:szCs w:val="32"/>
          <w:lang w:eastAsia="zh-CN"/>
        </w:rPr>
        <w:t>法律法规</w:t>
      </w:r>
      <w:r>
        <w:rPr>
          <w:rFonts w:hint="default" w:ascii="Times New Roman" w:hAnsi="Times New Roman" w:eastAsia="方正仿宋_GBK"/>
          <w:sz w:val="32"/>
          <w:szCs w:val="32"/>
        </w:rPr>
        <w:t>和规章的宣传教育、集中行使依法授权或委托的行政执法权、配合县行政主管部门做好行政执法等工作；（11）综合行政执法大队负责配合综合行政执法办公室做好有关农林水利、规划建设、卫生健康、市容环卫、环境保护、文化旅游、民政管理等方面的执法工作；（12）农业服务中心负责农业技术的引进、示范与推广，负责农业公共信息服务和实用技术培训，负责动植物病虫害、农业灾情的监测、预报、防治，负责农业生态环境和农业投入品使用监测，承担农产品、水产种苗、水产品质量等农林水安全监管和公共服务，负责农机、林业、气象、水利、河长制、乡村振兴、扶贫开发、脱贫攻坚、精准扶贫、精准脱贫等工作；（13）文化服务中心负责宣传（含政府网站、网络舆情、网络宣传、网络安全、舆情系统管理）、统战工作，负责宣传思想、精神文明、意识形态、统战、民族、宗教、侨台、工商联、通讯报道、党务政务信息、文化、体育、广播电视、通讯、文化、旅游、风景名胜区管理和设施建设、维护、组织群众文化活动，开展文化宣传、文化广播业务培训、文艺活动、文物宣传保护等工作；（14）劳动就业和社会保障服务所负责劳动就业和社会保障、农村劳务开发管理、养老、医疗、工伤、生育、失业保险、劳动关系协调、离退休人员社会管理服务等工作；（15）退役军人服务站负责退役军人来访接待、政策咨询、就业指导、帮扶救助、权益保障、法制服务、军队转业干部、复员干部、退役士兵（士官）和自主择业退役军人服务管理、待遇保障，组织开展退役军人教育培训、优待抚恤等工作，负责双拥工作，负责烈士及退役军人荣誉奖励申报及纪念活动等工作；（16）镇纪委负责纪检监察、巡视巡察整改</w:t>
      </w:r>
      <w:r>
        <w:rPr>
          <w:rFonts w:hint="eastAsia" w:ascii="Times New Roman" w:hAnsi="Times New Roman" w:eastAsia="方正仿宋_GBK"/>
          <w:sz w:val="32"/>
          <w:szCs w:val="32"/>
          <w:lang w:eastAsia="zh-CN"/>
        </w:rPr>
        <w:t>等</w:t>
      </w:r>
      <w:r>
        <w:rPr>
          <w:rFonts w:hint="default" w:ascii="Times New Roman" w:hAnsi="Times New Roman" w:eastAsia="方正仿宋_GBK"/>
          <w:sz w:val="32"/>
          <w:szCs w:val="32"/>
        </w:rPr>
        <w:t>全面工作；（17）武装</w:t>
      </w:r>
      <w:r>
        <w:rPr>
          <w:rFonts w:hint="eastAsia" w:ascii="Times New Roman" w:hAnsi="Times New Roman" w:eastAsia="方正仿宋_GBK"/>
          <w:sz w:val="32"/>
          <w:szCs w:val="32"/>
          <w:lang w:eastAsia="zh-CN"/>
        </w:rPr>
        <w:t>部</w:t>
      </w:r>
      <w:r>
        <w:rPr>
          <w:rFonts w:hint="default" w:ascii="Times New Roman" w:hAnsi="Times New Roman" w:eastAsia="方正仿宋_GBK"/>
          <w:sz w:val="32"/>
          <w:szCs w:val="32"/>
        </w:rPr>
        <w:t>负责做好武装工作；（18）工会负责做好工会全面工作；（19）妇联负责做好妇联全面工作；（20）团委负责做好团委全面工作；（21）残联负责残联工作。</w:t>
      </w:r>
    </w:p>
    <w:p>
      <w:pPr>
        <w:autoSpaceDE w:val="0"/>
        <w:snapToGrid w:val="0"/>
        <w:spacing w:line="594" w:lineRule="exact"/>
        <w:ind w:firstLine="643" w:firstLineChars="200"/>
        <w:rPr>
          <w:rFonts w:hint="default" w:ascii="Times New Roman" w:hAnsi="Times New Roman" w:eastAsia="方正楷体_GBK"/>
          <w:b/>
          <w:sz w:val="32"/>
          <w:szCs w:val="32"/>
        </w:rPr>
      </w:pPr>
      <w:r>
        <w:rPr>
          <w:rFonts w:hint="default" w:ascii="Times New Roman" w:hAnsi="Times New Roman" w:eastAsia="方正楷体_GBK"/>
          <w:b/>
          <w:sz w:val="32"/>
          <w:szCs w:val="32"/>
        </w:rPr>
        <w:t>（二）机构设置</w:t>
      </w:r>
    </w:p>
    <w:p>
      <w:pPr>
        <w:pStyle w:val="12"/>
        <w:widowControl w:val="0"/>
        <w:shd w:val="clear" w:color="auto" w:fill="FFFFFF"/>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机构情况。调整后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二是太平镇设置5个相当于行政正股级财政全额拨款公益一类事业单位。具体设置分别是：农业服务中心、文化服务中心、劳动就业和社会保障服务所、退役军人服务站、综合行政执法大队。</w:t>
      </w:r>
    </w:p>
    <w:p>
      <w:pPr>
        <w:widowControl w:val="0"/>
        <w:autoSpaceDE w:val="0"/>
        <w:snapToGrid w:val="0"/>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人员情况。</w:t>
      </w:r>
      <w:r>
        <w:rPr>
          <w:rFonts w:hint="default" w:ascii="Times New Roman" w:hAnsi="Times New Roman" w:eastAsia="方正仿宋_GBK"/>
          <w:sz w:val="32"/>
          <w:szCs w:val="32"/>
          <w:shd w:val="clear" w:color="auto" w:fill="FFFFFF"/>
        </w:rPr>
        <w:t>人员编制是：垫江县太平镇机关核定行政编制30名，机关后勤服务人员事业编制1名（按“退一减一”进行核销）；所属事业单位共核定财政全额拨款事业编制32名，其中：农业服务中心14名，文化服务中心3名，劳动就业和社会保障服务所8名，退役军人服务站2名，综合行政执法大队5名。当年行政退休5人，招录1人，事业人员调入1人，调出1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2023年度收入总计5248.63万元，支出总计</w:t>
      </w:r>
      <w:r>
        <w:rPr>
          <w:rFonts w:ascii="方正仿宋_GBK" w:hAnsi="方正仿宋_GBK" w:eastAsia="方正仿宋_GBK" w:cs="方正仿宋_GBK"/>
          <w:sz w:val="32"/>
          <w:szCs w:val="32"/>
        </w:rPr>
        <w:t>5248.63</w:t>
      </w:r>
      <w:r>
        <w:rPr>
          <w:rFonts w:ascii="方正仿宋_GBK" w:hAnsi="方正仿宋_GBK" w:eastAsia="方正仿宋_GBK" w:cs="方正仿宋_GBK"/>
          <w:sz w:val="32"/>
          <w:szCs w:val="32"/>
          <w:shd w:val="clear" w:color="auto" w:fill="FFFFFF"/>
        </w:rPr>
        <w:t xml:space="preserve">万元。收支较上年决算数增加1801.15万元，增长52.25%，主要原因是2023年增加政府性基金预算财政拨款与工商税收增加。 </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2023年度收入合计5243.14万元，较上年决算数增加2063.22万元，增长64.88%，主要原因是本级工商税收增加。其中：财政拨款收入5243.14万元，占100.00%；事业收入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5248.63</w:t>
      </w:r>
      <w:r>
        <w:rPr>
          <w:rFonts w:ascii="方正仿宋_GBK" w:hAnsi="方正仿宋_GBK" w:eastAsia="方正仿宋_GBK" w:cs="方正仿宋_GBK"/>
          <w:sz w:val="32"/>
          <w:szCs w:val="32"/>
          <w:shd w:val="clear" w:color="auto" w:fill="FFFFFF"/>
        </w:rPr>
        <w:t>万元，较上年决算数增加1801.15万元，增长52.25%，主要原因是2023年财政体制改革，加大了农村综合改革、乡村振兴、应急避险搬迁、巴蜀美丽庭院建设、基础设施建设等预算。其中：基本支出</w:t>
      </w:r>
      <w:r>
        <w:rPr>
          <w:rFonts w:ascii="方正仿宋_GBK" w:hAnsi="方正仿宋_GBK" w:eastAsia="方正仿宋_GBK" w:cs="方正仿宋_GBK"/>
          <w:sz w:val="32"/>
          <w:szCs w:val="32"/>
        </w:rPr>
        <w:t>2236.52</w:t>
      </w:r>
      <w:r>
        <w:rPr>
          <w:rFonts w:ascii="方正仿宋_GBK" w:hAnsi="方正仿宋_GBK" w:eastAsia="方正仿宋_GBK" w:cs="方正仿宋_GBK"/>
          <w:sz w:val="32"/>
          <w:szCs w:val="32"/>
          <w:shd w:val="clear" w:color="auto" w:fill="FFFFFF"/>
        </w:rPr>
        <w:t>万元，占42.61%；项目支出</w:t>
      </w:r>
      <w:r>
        <w:rPr>
          <w:rFonts w:ascii="方正仿宋_GBK" w:hAnsi="方正仿宋_GBK" w:eastAsia="方正仿宋_GBK" w:cs="方正仿宋_GBK"/>
          <w:sz w:val="32"/>
          <w:szCs w:val="32"/>
        </w:rPr>
        <w:t>3012.11</w:t>
      </w:r>
      <w:r>
        <w:rPr>
          <w:rFonts w:ascii="方正仿宋_GBK" w:hAnsi="方正仿宋_GBK" w:eastAsia="方正仿宋_GBK" w:cs="方正仿宋_GBK"/>
          <w:sz w:val="32"/>
          <w:szCs w:val="32"/>
          <w:shd w:val="clear" w:color="auto" w:fill="FFFFFF"/>
        </w:rPr>
        <w:t>万元，占57.39%；经营支出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2023年度财政拨款收、支总计5248.63万元。与2022年相比，财政拨款收、支总计各增加1801.15万元，增长52.25%。主要原因是</w:t>
      </w:r>
      <w:r>
        <w:rPr>
          <w:rFonts w:hint="default" w:ascii="Times New Roman" w:hAnsi="Times New Roman" w:eastAsia="方正仿宋_GBK"/>
          <w:sz w:val="32"/>
          <w:szCs w:val="32"/>
          <w:shd w:val="clear" w:color="auto" w:fill="FFFFFF"/>
        </w:rPr>
        <w:t>工商税收</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、非税收入</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、专项补助</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4225.87</w:t>
      </w:r>
      <w:r>
        <w:rPr>
          <w:rFonts w:ascii="方正仿宋_GBK" w:hAnsi="方正仿宋_GBK" w:eastAsia="方正仿宋_GBK" w:cs="方正仿宋_GBK"/>
          <w:sz w:val="32"/>
          <w:szCs w:val="32"/>
          <w:shd w:val="clear" w:color="auto" w:fill="FFFFFF"/>
        </w:rPr>
        <w:t>万元，较上年决算</w:t>
      </w:r>
      <w:bookmarkStart w:id="1" w:name="_GoBack"/>
      <w:bookmarkEnd w:id="1"/>
      <w:r>
        <w:rPr>
          <w:rFonts w:ascii="方正仿宋_GBK" w:hAnsi="方正仿宋_GBK" w:eastAsia="方正仿宋_GBK" w:cs="方正仿宋_GBK"/>
          <w:sz w:val="32"/>
          <w:szCs w:val="32"/>
          <w:shd w:val="clear" w:color="auto" w:fill="FFFFFF"/>
        </w:rPr>
        <w:t>数增加1052.42万元，增长33.16%。主要</w:t>
      </w:r>
      <w:r>
        <w:rPr>
          <w:rFonts w:ascii="方正仿宋_GBK" w:hAnsi="方正仿宋_GBK" w:eastAsia="方正仿宋_GBK" w:cs="方正仿宋_GBK"/>
          <w:sz w:val="32"/>
          <w:szCs w:val="32"/>
          <w:highlight w:val="none"/>
          <w:shd w:val="clear" w:color="auto" w:fill="FFFFFF"/>
        </w:rPr>
        <w:t>原因是</w:t>
      </w:r>
      <w:r>
        <w:rPr>
          <w:rFonts w:hint="default" w:ascii="Times New Roman" w:hAnsi="Times New Roman" w:eastAsia="方正仿宋_GBK"/>
          <w:sz w:val="32"/>
          <w:szCs w:val="32"/>
          <w:shd w:val="clear" w:color="auto" w:fill="FFFFFF"/>
        </w:rPr>
        <w:t>工商税收</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、非税收入</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、专项补助</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。较年初预算数增加1943.28万元，增长85.13%。主要原因是</w:t>
      </w:r>
      <w:r>
        <w:rPr>
          <w:rFonts w:hint="default" w:ascii="方正仿宋_GBK" w:hAnsi="方正仿宋_GBK" w:eastAsia="方正仿宋_GBK" w:cs="方正仿宋_GBK"/>
          <w:sz w:val="32"/>
          <w:szCs w:val="32"/>
          <w:shd w:val="clear" w:color="auto" w:fill="FFFFFF"/>
        </w:rPr>
        <w:t>追加安排年初未预算经费及县财政安排的项目资金增加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4231.36</w:t>
      </w:r>
      <w:r>
        <w:rPr>
          <w:rFonts w:ascii="方正仿宋_GBK" w:hAnsi="方正仿宋_GBK" w:eastAsia="方正仿宋_GBK" w:cs="方正仿宋_GBK"/>
          <w:sz w:val="32"/>
          <w:szCs w:val="32"/>
          <w:shd w:val="clear" w:color="auto" w:fill="FFFFFF"/>
        </w:rPr>
        <w:t>万元，较上年决算数增加790.34万元，增长22.97%。主要原因是2023年财政体制改革，加大了农村综合改革、乡村振兴、应急避险搬迁、巴蜀美丽庭院建设、基础设施建设等预算。较年初预算数增加1948.77万元，增长85.38%。主要原因是</w:t>
      </w:r>
      <w:r>
        <w:rPr>
          <w:rFonts w:hint="default" w:ascii="Times New Roman" w:hAnsi="Times New Roman" w:eastAsia="方正仿宋_GBK"/>
          <w:sz w:val="32"/>
          <w:szCs w:val="32"/>
          <w:shd w:val="clear" w:color="auto" w:fill="FFFFFF"/>
        </w:rPr>
        <w:t>追加安排年初未预算经费及县财政安排的项目资金增加。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hint="default" w:ascii="Times New Roman" w:hAnsi="Times New Roman" w:eastAsia="方正仿宋_GBK"/>
          <w:sz w:val="32"/>
          <w:szCs w:val="32"/>
          <w:shd w:val="clear" w:color="auto" w:fill="FFFFFF"/>
        </w:rPr>
        <w:t>本年度未发生一般公共预算财政拨款结转和结余</w:t>
      </w:r>
      <w:r>
        <w:rPr>
          <w:rFonts w:ascii="Times New Roman" w:hAnsi="Times New Roman" w:eastAsia="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12"/>
        <w:shd w:val="clear" w:color="auto" w:fill="FFFFFF"/>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1700.01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40.18</w:t>
      </w:r>
      <w:r>
        <w:rPr>
          <w:rFonts w:ascii="方正仿宋_GBK" w:hAnsi="方正仿宋_GBK" w:eastAsia="方正仿宋_GBK" w:cs="方正仿宋_GBK"/>
          <w:sz w:val="32"/>
          <w:szCs w:val="32"/>
          <w:shd w:val="clear" w:color="auto" w:fill="FFFFFF"/>
        </w:rPr>
        <w:t>%，较年初预算数增加961.24万元，增长130.11%，</w:t>
      </w:r>
      <w:r>
        <w:rPr>
          <w:rFonts w:ascii="Times New Roman" w:hAnsi="Times New Roman" w:eastAsia="方正仿宋_GBK"/>
          <w:sz w:val="32"/>
          <w:szCs w:val="32"/>
        </w:rPr>
        <w:t>主要原因是人员正常调资以及新进人员和年终考核调标等因素导致人员经费增加经费</w:t>
      </w:r>
      <w:r>
        <w:rPr>
          <w:rFonts w:hint="eastAsia" w:ascii="Times New Roman" w:hAnsi="Times New Roman" w:eastAsia="方正仿宋_GBK"/>
          <w:sz w:val="32"/>
          <w:szCs w:val="32"/>
        </w:rPr>
        <w:t>，</w:t>
      </w:r>
      <w:r>
        <w:rPr>
          <w:rFonts w:ascii="Times New Roman" w:hAnsi="Times New Roman" w:eastAsia="方正仿宋_GBK"/>
          <w:sz w:val="32"/>
          <w:szCs w:val="32"/>
        </w:rPr>
        <w:t>加大对</w:t>
      </w:r>
      <w:r>
        <w:rPr>
          <w:rFonts w:hint="eastAsia" w:ascii="Times New Roman" w:hAnsi="Times New Roman" w:eastAsia="方正仿宋_GBK"/>
          <w:sz w:val="32"/>
          <w:szCs w:val="32"/>
        </w:rPr>
        <w:t>人大及政协委员活动经费、信访稳定</w:t>
      </w:r>
      <w:r>
        <w:rPr>
          <w:rFonts w:ascii="Times New Roman" w:hAnsi="Times New Roman" w:eastAsia="方正仿宋_GBK"/>
          <w:sz w:val="32"/>
          <w:szCs w:val="32"/>
        </w:rPr>
        <w:t>、</w:t>
      </w:r>
      <w:r>
        <w:rPr>
          <w:rFonts w:hint="eastAsia" w:eastAsia="方正仿宋_GBK"/>
          <w:sz w:val="32"/>
          <w:szCs w:val="32"/>
        </w:rPr>
        <w:t>招商引资、党建</w:t>
      </w:r>
      <w:r>
        <w:rPr>
          <w:rFonts w:ascii="Times New Roman" w:hAnsi="Times New Roman" w:eastAsia="方正仿宋_GBK"/>
          <w:sz w:val="32"/>
          <w:szCs w:val="32"/>
        </w:rPr>
        <w:t>等专项支出</w:t>
      </w:r>
      <w:r>
        <w:rPr>
          <w:rFonts w:hint="eastAsia" w:ascii="Times New Roman" w:hAnsi="Times New Roman" w:eastAsia="方正仿宋_GBK"/>
          <w:sz w:val="32"/>
          <w:szCs w:val="32"/>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%，较年初预算数增加26.81万元，增长100.00%，</w:t>
      </w:r>
      <w:r>
        <w:rPr>
          <w:rFonts w:hint="default" w:ascii="Times New Roman" w:hAnsi="Times New Roman" w:eastAsia="方正仿宋_GBK"/>
          <w:sz w:val="32"/>
          <w:szCs w:val="32"/>
        </w:rPr>
        <w:t>主要原因是</w:t>
      </w:r>
      <w:r>
        <w:rPr>
          <w:rFonts w:ascii="Times New Roman" w:hAnsi="Times New Roman" w:eastAsia="方正仿宋_GBK"/>
          <w:sz w:val="32"/>
          <w:szCs w:val="32"/>
        </w:rPr>
        <w:t>增加平安建设以及道路交通安全专项支出。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69.94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%，较年初预算数增加16.98万元，增长32.06%，主要原因是公共图书馆、群众文化活动等支出增加。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590.95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13.97</w:t>
      </w:r>
      <w:r>
        <w:rPr>
          <w:rFonts w:ascii="方正仿宋_GBK" w:hAnsi="方正仿宋_GBK" w:eastAsia="方正仿宋_GBK" w:cs="方正仿宋_GBK"/>
          <w:sz w:val="32"/>
          <w:szCs w:val="32"/>
          <w:shd w:val="clear" w:color="auto" w:fill="FFFFFF"/>
        </w:rPr>
        <w:t>%，较年初预算数增加154.80万元，增长35.49%，主要原因是退休人员增加，导致健康休养费以及一次性退休补贴增加、增加对残疾人事业发展、养老服务中心基础设施建设以及退役军人等专项支出。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97.04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%，较年初预算数增加40.16万元，增长70.60%，主要原因是</w:t>
      </w:r>
      <w:r>
        <w:rPr>
          <w:rFonts w:ascii="方正仿宋_GBK" w:hAnsi="方正仿宋_GBK" w:eastAsia="方正仿宋_GBK" w:cs="方正仿宋_GBK"/>
          <w:sz w:val="32"/>
          <w:szCs w:val="32"/>
        </w:rPr>
        <w:t>支付2022年疫情防控经费、行政人员医疗基数调标增加缴费标准。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%，较年初预算数增加6.00万元，增长6000.00%，主要原因是</w:t>
      </w:r>
      <w:r>
        <w:rPr>
          <w:rFonts w:ascii="方正仿宋_GBK" w:hAnsi="方正仿宋_GBK" w:eastAsia="方正仿宋_GBK" w:cs="方正仿宋_GBK"/>
          <w:sz w:val="32"/>
          <w:szCs w:val="32"/>
        </w:rPr>
        <w:t>增加森林防火站检查建设。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139.25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%，较年初预算数增加50.42万元，增长56.76%，主要原因是市政维修维护、场镇保洁专项增加。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1111.08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26.26</w:t>
      </w:r>
      <w:r>
        <w:rPr>
          <w:rFonts w:ascii="方正仿宋_GBK" w:hAnsi="方正仿宋_GBK" w:eastAsia="方正仿宋_GBK" w:cs="方正仿宋_GBK"/>
          <w:sz w:val="32"/>
          <w:szCs w:val="32"/>
          <w:shd w:val="clear" w:color="auto" w:fill="FFFFFF"/>
        </w:rPr>
        <w:t>%，较年初预算数增加292.53万元，增长35.74%，主要原因是森林防火、乡村振兴、农村综合改革、防汛抗旱等方面支出增加。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111.63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%，较年初预算数增加111.63万元，增长100.00%，主要原因是</w:t>
      </w:r>
      <w:r>
        <w:rPr>
          <w:rFonts w:hint="default" w:ascii="Times New Roman" w:hAnsi="Times New Roman" w:eastAsia="方正仿宋_GBK"/>
          <w:sz w:val="32"/>
          <w:szCs w:val="32"/>
          <w:shd w:val="clear" w:color="auto" w:fill="FFFFFF"/>
          <w:lang w:bidi="ar"/>
        </w:rPr>
        <w:t>年初未预算修建农村公路项目</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农村公路建设和维护专项。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93.30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%，较年初预算数增加93.30万元，增长100.00%，主要原因是</w:t>
      </w:r>
      <w:r>
        <w:rPr>
          <w:rFonts w:hint="default" w:ascii="Times New Roman" w:hAnsi="Times New Roman" w:eastAsia="方正仿宋_GBK"/>
          <w:sz w:val="32"/>
          <w:szCs w:val="32"/>
          <w:shd w:val="clear" w:color="auto" w:fill="FFFFFF"/>
          <w:lang w:bidi="ar"/>
        </w:rPr>
        <w:t>年初未预算</w:t>
      </w:r>
      <w:r>
        <w:rPr>
          <w:rFonts w:ascii="Times New Roman" w:hAnsi="Times New Roman" w:eastAsia="方正仿宋_GBK"/>
          <w:sz w:val="32"/>
          <w:szCs w:val="32"/>
          <w:shd w:val="clear" w:color="auto" w:fill="FFFFFF"/>
          <w:lang w:bidi="ar"/>
        </w:rPr>
        <w:t>中小企业扶持项目。</w:t>
      </w:r>
    </w:p>
    <w:p>
      <w:pPr>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住房保障支出117.94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%，较年初预算数增加28.06万元，增长31.22%，主要原因是</w:t>
      </w:r>
      <w:r>
        <w:rPr>
          <w:rFonts w:hint="default" w:ascii="Times New Roman" w:hAnsi="Times New Roman" w:eastAsia="方正仿宋_GBK"/>
          <w:sz w:val="32"/>
          <w:szCs w:val="32"/>
          <w:shd w:val="clear" w:color="auto" w:fill="FFFFFF"/>
          <w:lang w:bidi="ar"/>
        </w:rPr>
        <w:t>年初预算提取住房公积金的基数增加以及职工正常调资补缴住房公积金单位部分追加。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灾害防治及应急管理支出167.29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%，较年初预算数增加166.82万元，增长35493.62%，主要原因是</w:t>
      </w:r>
      <w:r>
        <w:rPr>
          <w:rFonts w:hint="default" w:ascii="Times New Roman" w:hAnsi="Times New Roman" w:eastAsia="方正仿宋_GBK"/>
          <w:sz w:val="32"/>
          <w:szCs w:val="32"/>
          <w:shd w:val="clear" w:color="auto" w:fill="FFFFFF"/>
          <w:lang w:bidi="ar"/>
        </w:rPr>
        <w:t>在预算执行中增加了灾害防治、自然灾害救助、地质灾害</w:t>
      </w:r>
      <w:r>
        <w:rPr>
          <w:rFonts w:ascii="Times New Roman" w:hAnsi="Times New Roman" w:eastAsia="方正仿宋_GBK"/>
          <w:sz w:val="32"/>
          <w:szCs w:val="32"/>
          <w:shd w:val="clear" w:color="auto" w:fill="FFFFFF"/>
          <w:lang w:bidi="ar"/>
        </w:rPr>
        <w:t>避险搬迁</w:t>
      </w:r>
      <w:r>
        <w:rPr>
          <w:rFonts w:hint="default" w:ascii="Times New Roman" w:hAnsi="Times New Roman" w:eastAsia="方正仿宋_GBK"/>
          <w:sz w:val="32"/>
          <w:szCs w:val="32"/>
          <w:shd w:val="clear" w:color="auto" w:fill="FFFFFF"/>
          <w:lang w:bidi="ar"/>
        </w:rPr>
        <w:t>等专项资金支出</w:t>
      </w:r>
      <w:r>
        <w:rPr>
          <w:rFonts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2236.52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1797.98</w:t>
      </w:r>
      <w:r>
        <w:rPr>
          <w:rFonts w:ascii="方正仿宋_GBK" w:hAnsi="方正仿宋_GBK" w:eastAsia="方正仿宋_GBK" w:cs="方正仿宋_GBK"/>
          <w:sz w:val="32"/>
          <w:szCs w:val="32"/>
          <w:shd w:val="clear" w:color="auto" w:fill="FFFFFF"/>
        </w:rPr>
        <w:t>万元，较上年决算数增加239.16万元，增长15.34%，主要原因是人员工资</w:t>
      </w:r>
      <w:r>
        <w:rPr>
          <w:rFonts w:hint="eastAsia" w:ascii="方正仿宋_GBK" w:hAnsi="方正仿宋_GBK" w:eastAsia="方正仿宋_GBK" w:cs="方正仿宋_GBK"/>
          <w:sz w:val="32"/>
          <w:szCs w:val="32"/>
          <w:shd w:val="clear" w:color="auto" w:fill="FFFFFF"/>
          <w:lang w:eastAsia="zh-CN"/>
        </w:rPr>
        <w:t>调整</w:t>
      </w:r>
      <w:r>
        <w:rPr>
          <w:rFonts w:ascii="方正仿宋_GBK" w:hAnsi="方正仿宋_GBK" w:eastAsia="方正仿宋_GBK" w:cs="方正仿宋_GBK"/>
          <w:sz w:val="32"/>
          <w:szCs w:val="32"/>
          <w:shd w:val="clear" w:color="auto" w:fill="FFFFFF"/>
        </w:rPr>
        <w:t>标准以及</w:t>
      </w:r>
      <w:r>
        <w:rPr>
          <w:rFonts w:hint="default" w:ascii="Times New Roman" w:hAnsi="Times New Roman" w:eastAsia="方正仿宋_GBK"/>
          <w:sz w:val="32"/>
          <w:szCs w:val="32"/>
          <w:shd w:val="clear" w:color="auto" w:fill="FFFFFF"/>
        </w:rPr>
        <w:t>当年行政招录1人，事业人员调入1人</w:t>
      </w:r>
      <w:r>
        <w:rPr>
          <w:rFonts w:ascii="Times New Roman" w:hAnsi="Times New Roman" w:eastAsia="方正仿宋_GBK"/>
          <w:sz w:val="32"/>
          <w:szCs w:val="32"/>
          <w:shd w:val="clear" w:color="auto" w:fill="FFFFFF"/>
        </w:rPr>
        <w:t>追加预算，同时将临时人员工资、西部志愿者及</w:t>
      </w:r>
      <w:r>
        <w:rPr>
          <w:rFonts w:hint="eastAsia" w:ascii="Times New Roman" w:hAnsi="Times New Roman" w:eastAsia="方正仿宋_GBK"/>
          <w:sz w:val="32"/>
          <w:szCs w:val="32"/>
          <w:highlight w:val="none"/>
          <w:shd w:val="clear" w:color="auto" w:fill="FFFFFF"/>
          <w:lang w:eastAsia="zh-CN"/>
        </w:rPr>
        <w:t>“三支一扶”</w:t>
      </w:r>
      <w:r>
        <w:rPr>
          <w:rFonts w:ascii="Times New Roman" w:hAnsi="Times New Roman" w:eastAsia="方正仿宋_GBK"/>
          <w:sz w:val="32"/>
          <w:szCs w:val="32"/>
          <w:shd w:val="clear" w:color="auto" w:fill="FFFFFF"/>
        </w:rPr>
        <w:t>人员工资核算入人员经费。</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基本工资、津贴补贴、奖金、社会保障缴费、绩效工资、养老保险，职业年金、住房公积金等。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438.54</w:t>
      </w:r>
      <w:r>
        <w:rPr>
          <w:rFonts w:ascii="方正仿宋_GBK" w:hAnsi="方正仿宋_GBK" w:eastAsia="方正仿宋_GBK" w:cs="方正仿宋_GBK"/>
          <w:sz w:val="32"/>
          <w:szCs w:val="32"/>
          <w:shd w:val="clear" w:color="auto" w:fill="FFFFFF"/>
        </w:rPr>
        <w:t>万元，较上年决算数减少5.18万元，下降1.17%，主要原因是提倡节约，压缩支出。公用经费用途主要包括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1017.27</w:t>
      </w:r>
      <w:r>
        <w:rPr>
          <w:rFonts w:ascii="方正仿宋_GBK" w:hAnsi="方正仿宋_GBK" w:eastAsia="方正仿宋_GBK" w:cs="方正仿宋_GBK"/>
          <w:sz w:val="32"/>
          <w:szCs w:val="32"/>
          <w:shd w:val="clear" w:color="auto" w:fill="FFFFFF"/>
        </w:rPr>
        <w:t>万元，较上年决算数增加1010.83万元，增长15696.12%，主要原因是年初未预算巴蜀美丽庭院建设专项以及应急避险搬迁专项经费，在预算执行过程中追加预算。本年支出</w:t>
      </w:r>
      <w:r>
        <w:rPr>
          <w:rFonts w:ascii="方正仿宋_GBK" w:hAnsi="方正仿宋_GBK" w:eastAsia="方正仿宋_GBK" w:cs="方正仿宋_GBK"/>
          <w:sz w:val="32"/>
          <w:szCs w:val="32"/>
        </w:rPr>
        <w:t>1017.27</w:t>
      </w:r>
      <w:r>
        <w:rPr>
          <w:rFonts w:ascii="方正仿宋_GBK" w:hAnsi="方正仿宋_GBK" w:eastAsia="方正仿宋_GBK" w:cs="方正仿宋_GBK"/>
          <w:sz w:val="32"/>
          <w:szCs w:val="32"/>
          <w:shd w:val="clear" w:color="auto" w:fill="FFFFFF"/>
        </w:rPr>
        <w:t>万元，较上年决算数增加1010.83万元，增长15696.12%，主要原因是</w:t>
      </w:r>
      <w:r>
        <w:rPr>
          <w:rFonts w:hint="default" w:ascii="Times New Roman" w:hAnsi="Times New Roman" w:eastAsia="方正仿宋_GBK"/>
          <w:sz w:val="32"/>
          <w:szCs w:val="32"/>
          <w:shd w:val="clear" w:color="auto" w:fill="FFFFFF"/>
          <w:lang w:bidi="ar"/>
        </w:rPr>
        <w:t>按上级部门要求将</w:t>
      </w:r>
      <w:r>
        <w:rPr>
          <w:rFonts w:ascii="方正仿宋_GBK" w:hAnsi="方正仿宋_GBK" w:eastAsia="方正仿宋_GBK" w:cs="方正仿宋_GBK"/>
          <w:sz w:val="32"/>
          <w:szCs w:val="32"/>
          <w:shd w:val="clear" w:color="auto" w:fill="FFFFFF"/>
        </w:rPr>
        <w:t>巴蜀美丽庭院建设以及应急避险搬迁等专项经费</w:t>
      </w:r>
      <w:r>
        <w:rPr>
          <w:rFonts w:hint="default" w:ascii="Times New Roman" w:hAnsi="Times New Roman" w:eastAsia="方正仿宋_GBK"/>
          <w:sz w:val="32"/>
          <w:szCs w:val="32"/>
          <w:shd w:val="clear" w:color="auto" w:fill="FFFFFF"/>
          <w:lang w:bidi="ar"/>
        </w:rPr>
        <w:t>纳入政府性基金</w:t>
      </w:r>
      <w:r>
        <w:rPr>
          <w:rFonts w:hint="eastAsia" w:ascii="Times New Roman" w:hAnsi="Times New Roman" w:eastAsia="方正仿宋_GBK"/>
          <w:sz w:val="32"/>
          <w:szCs w:val="32"/>
          <w:shd w:val="clear" w:color="auto" w:fill="FFFFFF"/>
          <w:lang w:eastAsia="zh-CN" w:bidi="ar"/>
        </w:rPr>
        <w:t>财</w:t>
      </w:r>
      <w:r>
        <w:rPr>
          <w:rFonts w:hint="default" w:ascii="Times New Roman" w:hAnsi="Times New Roman" w:eastAsia="方正仿宋_GBK"/>
          <w:sz w:val="32"/>
          <w:szCs w:val="32"/>
          <w:shd w:val="clear" w:color="auto" w:fill="FFFFFF"/>
          <w:lang w:bidi="ar"/>
        </w:rPr>
        <w:t>政拨款支出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本部门2023年度无国有资本经营预算财政拨款支出。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25.28</w:t>
      </w:r>
      <w:r>
        <w:rPr>
          <w:rFonts w:ascii="方正仿宋_GBK" w:hAnsi="方正仿宋_GBK" w:eastAsia="方正仿宋_GBK" w:cs="方正仿宋_GBK"/>
          <w:sz w:val="32"/>
          <w:szCs w:val="32"/>
          <w:shd w:val="clear" w:color="auto" w:fill="FFFFFF"/>
        </w:rPr>
        <w:t>万元，较年初预算数增加18.28万元，增长261.14%，主要原因是执行过程中预算不足，按要求追加预算。较上年支出数无增减，主要原因是</w:t>
      </w:r>
      <w:r>
        <w:rPr>
          <w:rFonts w:hint="default" w:ascii="Times New Roman" w:hAnsi="Times New Roman" w:eastAsia="方正仿宋_GBK"/>
          <w:sz w:val="32"/>
          <w:szCs w:val="32"/>
          <w:shd w:val="clear" w:color="auto" w:fill="FFFFFF"/>
          <w:lang w:bidi="ar"/>
        </w:rPr>
        <w:t>厉行节约，减少</w:t>
      </w:r>
      <w:r>
        <w:rPr>
          <w:rFonts w:hint="eastAsia" w:ascii="Times New Roman" w:hAnsi="Times New Roman" w:eastAsia="方正仿宋_GBK"/>
          <w:sz w:val="32"/>
          <w:szCs w:val="32"/>
          <w:highlight w:val="none"/>
          <w:shd w:val="clear" w:color="auto" w:fill="FFFFFF"/>
          <w:lang w:eastAsia="zh-CN" w:bidi="ar"/>
        </w:rPr>
        <w:t>“三公”经费</w:t>
      </w:r>
      <w:r>
        <w:rPr>
          <w:rFonts w:hint="default" w:ascii="Times New Roman" w:hAnsi="Times New Roman" w:eastAsia="方正仿宋_GBK"/>
          <w:sz w:val="32"/>
          <w:szCs w:val="32"/>
          <w:shd w:val="clear" w:color="auto" w:fill="FFFFFF"/>
          <w:lang w:bidi="ar"/>
        </w:rPr>
        <w:t>支出</w:t>
      </w:r>
      <w:r>
        <w:rPr>
          <w:rFonts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12"/>
        <w:shd w:val="clear" w:color="auto" w:fill="FFFFFF"/>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7.57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lang w:bidi="ar"/>
        </w:rPr>
        <w:t>机要文件交换、市内因公出行、各项工作检查等工作所需车辆的燃料费、维修费、过桥过路费、保险费等。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费用支出较年初预算数增加4.57万元，增长152.33%，主要原因是</w:t>
      </w:r>
      <w:r>
        <w:rPr>
          <w:rFonts w:hint="eastAsia" w:ascii="方正仿宋_GBK" w:hAnsi="方正仿宋_GBK" w:eastAsia="方正仿宋_GBK" w:cs="方正仿宋_GBK"/>
          <w:sz w:val="32"/>
          <w:szCs w:val="32"/>
          <w:shd w:val="clear" w:color="auto" w:fill="FFFFFF"/>
        </w:rPr>
        <w:t>执行过程中预算不足，按要求追加预算。</w:t>
      </w:r>
      <w:r>
        <w:rPr>
          <w:rFonts w:ascii="方正仿宋_GBK" w:hAnsi="方正仿宋_GBK" w:eastAsia="方正仿宋_GBK" w:cs="方正仿宋_GBK"/>
          <w:sz w:val="32"/>
          <w:szCs w:val="32"/>
          <w:shd w:val="clear" w:color="auto" w:fill="FFFFFF"/>
        </w:rPr>
        <w:t>较上年支出数减少0.01万元，下降0.13%，主要原因是</w:t>
      </w:r>
      <w:r>
        <w:rPr>
          <w:rFonts w:ascii="Times New Roman" w:hAnsi="Times New Roman" w:eastAsia="方正仿宋_GBK"/>
          <w:sz w:val="32"/>
          <w:szCs w:val="32"/>
          <w:shd w:val="clear" w:color="auto" w:fill="FFFFFF"/>
          <w:lang w:bidi="ar"/>
        </w:rPr>
        <w:t>严格落实公车使用规定，严禁公车私用，公车运行维护成本下降。</w:t>
      </w:r>
    </w:p>
    <w:p>
      <w:pPr>
        <w:pStyle w:val="12"/>
        <w:shd w:val="clear" w:color="auto" w:fill="FFFFFF"/>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17.71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lang w:bidi="ar"/>
        </w:rPr>
        <w:t>接待招商引资、接待县级部门及相关业务单位到我单位学习调研工作，接受相关部门检查指导工作发生的接待支出。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费用支出较年初预算数增加13.71万元，增长342.75%，主要原因是</w:t>
      </w:r>
      <w:r>
        <w:rPr>
          <w:rFonts w:hint="eastAsia" w:ascii="方正仿宋_GBK" w:hAnsi="方正仿宋_GBK" w:eastAsia="方正仿宋_GBK" w:cs="方正仿宋_GBK"/>
          <w:sz w:val="32"/>
          <w:szCs w:val="32"/>
          <w:shd w:val="clear" w:color="auto" w:fill="FFFFFF"/>
        </w:rPr>
        <w:t>执行过程中预算不足，按要求追加预算。</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zCs w:val="32"/>
          <w:shd w:val="clear" w:color="auto" w:fill="FFFFFF"/>
          <w:lang w:bidi="ar"/>
        </w:rPr>
        <w:t>严把支出关，严格执行中央“三项规定”精神和</w:t>
      </w:r>
      <w:bookmarkStart w:id="0" w:name="OLE_LINK1"/>
      <w:r>
        <w:rPr>
          <w:rFonts w:ascii="Times New Roman" w:hAnsi="Times New Roman" w:eastAsia="方正仿宋_GBK"/>
          <w:sz w:val="32"/>
          <w:szCs w:val="32"/>
          <w:shd w:val="clear" w:color="auto" w:fill="FFFFFF"/>
          <w:lang w:bidi="ar"/>
        </w:rPr>
        <w:t>厉行节约</w:t>
      </w:r>
      <w:bookmarkEnd w:id="0"/>
      <w:r>
        <w:rPr>
          <w:rFonts w:ascii="Times New Roman" w:hAnsi="Times New Roman" w:eastAsia="方正仿宋_GBK"/>
          <w:sz w:val="32"/>
          <w:szCs w:val="32"/>
          <w:shd w:val="clear" w:color="auto" w:fill="FFFFFF"/>
          <w:lang w:bidi="ar"/>
        </w:rPr>
        <w:t>要求，强化公务接待支出管理。</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3189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55.52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3.78</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万元，较上年决算数减少13.54万元，下降86.85%，主要原因是</w:t>
      </w:r>
      <w:r>
        <w:rPr>
          <w:rFonts w:ascii="仿宋_GB2312" w:hAnsi="仿宋" w:eastAsia="仿宋_GB2312" w:cs="仿宋"/>
          <w:color w:val="000000"/>
          <w:sz w:val="32"/>
          <w:szCs w:val="32"/>
        </w:rPr>
        <w:t>各项会议以线上会议或利用微信群、QQ群、广播等方式传达各项精神为主</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万元，较上年决算数减少0.44万元，下降16.86%，主要原因是厉行节约，提倡自学与线上学习为主。</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350.53</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lang w:bidi="ar"/>
        </w:rPr>
        <w:t>办公费、公务</w:t>
      </w:r>
      <w:r>
        <w:rPr>
          <w:rFonts w:hint="eastAsia" w:ascii="Times New Roman" w:hAnsi="Times New Roman" w:eastAsia="方正仿宋_GBK"/>
          <w:sz w:val="32"/>
          <w:szCs w:val="32"/>
          <w:shd w:val="clear" w:color="auto" w:fill="FFFFFF"/>
          <w:lang w:eastAsia="zh-CN" w:bidi="ar"/>
        </w:rPr>
        <w:t>用</w:t>
      </w:r>
      <w:r>
        <w:rPr>
          <w:rFonts w:hint="default" w:ascii="Times New Roman" w:hAnsi="Times New Roman" w:eastAsia="方正仿宋_GBK"/>
          <w:sz w:val="32"/>
          <w:szCs w:val="32"/>
          <w:shd w:val="clear" w:color="auto" w:fill="FFFFFF"/>
          <w:lang w:bidi="ar"/>
        </w:rPr>
        <w:t>车运行维护费、信息网络购置更新费等</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机关运行经费较上年支出数增加250.51万元，增长250.46%，主要原因是2023年工商税收收入增加，增加机关运行经费。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261.58万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sz w:val="32"/>
          <w:szCs w:val="32"/>
        </w:rPr>
        <w:t>购太平镇牡丹村农机社会化服务项目。</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2"/>
        <w:autoSpaceDE w:val="0"/>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bidi="ar"/>
        </w:rPr>
        <w:sectPr>
          <w:footerReference r:id="rId3" w:type="default"/>
          <w:pgSz w:w="11915" w:h="16840"/>
          <w:pgMar w:top="1440" w:right="1803" w:bottom="1440" w:left="1803" w:header="851" w:footer="992" w:gutter="0"/>
          <w:pgNumType w:fmt="numberInDash"/>
          <w:cols w:space="0" w:num="1"/>
          <w:docGrid w:type="lines" w:linePitch="332" w:charSpace="0"/>
        </w:sect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根据预算绩效管理要求，我部门对部门整体和86个二级项目开展了绩效自评，涉及财政拨款项目支出资金2818.62万元。</w:t>
      </w:r>
    </w:p>
    <w:tbl>
      <w:tblPr>
        <w:tblStyle w:val="7"/>
        <w:tblW w:w="13988" w:type="dxa"/>
        <w:tblInd w:w="0" w:type="dxa"/>
        <w:tblLayout w:type="fixed"/>
        <w:tblCellMar>
          <w:top w:w="0" w:type="dxa"/>
          <w:left w:w="0" w:type="dxa"/>
          <w:bottom w:w="0" w:type="dxa"/>
          <w:right w:w="0" w:type="dxa"/>
        </w:tblCellMar>
      </w:tblPr>
      <w:tblGrid>
        <w:gridCol w:w="2480"/>
        <w:gridCol w:w="1371"/>
        <w:gridCol w:w="1139"/>
        <w:gridCol w:w="1155"/>
        <w:gridCol w:w="1085"/>
        <w:gridCol w:w="1292"/>
        <w:gridCol w:w="1401"/>
        <w:gridCol w:w="962"/>
        <w:gridCol w:w="874"/>
        <w:gridCol w:w="1295"/>
        <w:gridCol w:w="934"/>
      </w:tblGrid>
      <w:tr>
        <w:tblPrEx>
          <w:tblLayout w:type="fixed"/>
          <w:tblCellMar>
            <w:top w:w="0" w:type="dxa"/>
            <w:left w:w="0" w:type="dxa"/>
            <w:bottom w:w="0" w:type="dxa"/>
            <w:right w:w="0" w:type="dxa"/>
          </w:tblCellMar>
        </w:tblPrEx>
        <w:trPr>
          <w:trHeight w:val="7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2023年度部门整体绩效自评表</w:t>
            </w:r>
          </w:p>
        </w:tc>
      </w:tr>
      <w:tr>
        <w:tblPrEx>
          <w:tblLayout w:type="fixed"/>
          <w:tblCellMar>
            <w:top w:w="0" w:type="dxa"/>
            <w:left w:w="0" w:type="dxa"/>
            <w:bottom w:w="0" w:type="dxa"/>
            <w:right w:w="0" w:type="dxa"/>
          </w:tblCellMar>
        </w:tblPrEx>
        <w:trPr>
          <w:trHeight w:val="4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项目名称：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垫江县太平镇人民政府整体监控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项目编码：</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50023100023P000077</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6"/>
                <w:szCs w:val="16"/>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6"/>
                <w:szCs w:val="16"/>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项目主管部门：</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717</w:t>
            </w:r>
            <w:r>
              <w:rPr>
                <w:rFonts w:hint="eastAsia" w:cs="宋体"/>
                <w:color w:val="000000"/>
                <w:sz w:val="16"/>
                <w:szCs w:val="16"/>
                <w:lang w:eastAsia="zh-CN" w:bidi="ar"/>
              </w:rPr>
              <w:t>－</w:t>
            </w:r>
            <w:r>
              <w:rPr>
                <w:rFonts w:cs="宋体"/>
                <w:color w:val="000000"/>
                <w:sz w:val="16"/>
                <w:szCs w:val="16"/>
                <w:lang w:bidi="ar"/>
              </w:rPr>
              <w:t>垫江县太平镇人民政府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财政归口处室：</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014</w:t>
            </w:r>
            <w:r>
              <w:rPr>
                <w:rFonts w:hint="eastAsia" w:cs="宋体"/>
                <w:color w:val="000000"/>
                <w:sz w:val="16"/>
                <w:szCs w:val="16"/>
                <w:lang w:eastAsia="zh-CN" w:bidi="ar"/>
              </w:rPr>
              <w:t>－</w:t>
            </w:r>
            <w:r>
              <w:rPr>
                <w:rFonts w:cs="宋体"/>
                <w:color w:val="000000"/>
                <w:sz w:val="16"/>
                <w:szCs w:val="16"/>
                <w:lang w:bidi="ar"/>
              </w:rPr>
              <w:t>会计管理核算中心</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古朝琼</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联系电话：</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13896603807</w:t>
            </w: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lang w:bidi="ar"/>
              </w:rPr>
              <w:t>资金情况</w:t>
            </w:r>
          </w:p>
        </w:tc>
      </w:tr>
      <w:tr>
        <w:tblPrEx>
          <w:tblLayout w:type="fixed"/>
          <w:tblCellMar>
            <w:top w:w="0" w:type="dxa"/>
            <w:left w:w="0" w:type="dxa"/>
            <w:bottom w:w="0" w:type="dxa"/>
            <w:right w:w="0" w:type="dxa"/>
          </w:tblCellMar>
        </w:tblPrEx>
        <w:trPr>
          <w:trHeight w:val="499" w:hRule="atLeast"/>
        </w:trPr>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Layout w:type="fixed"/>
          <w:tblCellMar>
            <w:top w:w="0" w:type="dxa"/>
            <w:left w:w="0" w:type="dxa"/>
            <w:bottom w:w="0" w:type="dxa"/>
            <w:right w:w="0" w:type="dxa"/>
          </w:tblCellMar>
        </w:tblPrEx>
        <w:trPr>
          <w:trHeight w:val="499" w:hRule="atLeast"/>
        </w:trPr>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r>
              <w:rPr>
                <w:rFonts w:cs="宋体"/>
                <w:color w:val="000000"/>
                <w:sz w:val="18"/>
                <w:szCs w:val="18"/>
                <w:lang w:bidi="ar"/>
              </w:rPr>
              <w:t>年度总金额</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29,925,920.00 </w:t>
            </w:r>
          </w:p>
        </w:tc>
        <w:tc>
          <w:tcPr>
            <w:tcW w:w="1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2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1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29,925,920.00 </w:t>
            </w:r>
          </w:p>
        </w:tc>
        <w:tc>
          <w:tcPr>
            <w:tcW w:w="1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2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1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22,925,920.00 </w:t>
            </w:r>
          </w:p>
        </w:tc>
        <w:tc>
          <w:tcPr>
            <w:tcW w:w="1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2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42,313,615.87 </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42,313,615.87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61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602" w:hRule="atLeast"/>
        </w:trPr>
        <w:tc>
          <w:tcPr>
            <w:tcW w:w="6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cs="宋体"/>
                <w:color w:val="000000"/>
                <w:sz w:val="16"/>
                <w:szCs w:val="16"/>
                <w:lang w:bidi="ar"/>
              </w:rPr>
              <w:t>组织群众文化活动，繁荣文化旅游事业</w:t>
            </w:r>
            <w:r>
              <w:rPr>
                <w:rFonts w:hint="eastAsia" w:cs="宋体"/>
                <w:color w:val="000000"/>
                <w:sz w:val="16"/>
                <w:szCs w:val="16"/>
                <w:lang w:eastAsia="zh-CN" w:bidi="ar"/>
              </w:rPr>
              <w:t>；</w:t>
            </w:r>
            <w:r>
              <w:rPr>
                <w:rFonts w:cs="宋体"/>
                <w:color w:val="000000"/>
                <w:sz w:val="16"/>
                <w:szCs w:val="16"/>
                <w:lang w:bidi="ar"/>
              </w:rPr>
              <w:t>完成党委、政府机关文秘、会务、档案、保密、后勤服务，牵头协调办理人大代表和</w:t>
            </w:r>
            <w:r>
              <w:rPr>
                <w:rFonts w:hint="eastAsia" w:cs="宋体"/>
                <w:color w:val="000000"/>
                <w:sz w:val="16"/>
                <w:szCs w:val="16"/>
                <w:highlight w:val="none"/>
                <w:lang w:eastAsia="zh-CN" w:bidi="ar"/>
              </w:rPr>
              <w:t>政协委员提案</w:t>
            </w:r>
            <w:r>
              <w:rPr>
                <w:rFonts w:cs="宋体"/>
                <w:color w:val="000000"/>
                <w:sz w:val="16"/>
                <w:szCs w:val="16"/>
                <w:lang w:bidi="ar"/>
              </w:rPr>
              <w:t>、</w:t>
            </w:r>
            <w:r>
              <w:rPr>
                <w:rFonts w:hint="eastAsia" w:cs="宋体"/>
                <w:color w:val="000000"/>
                <w:sz w:val="16"/>
                <w:szCs w:val="16"/>
                <w:lang w:eastAsia="zh-CN" w:bidi="ar"/>
              </w:rPr>
              <w:t>议</w:t>
            </w:r>
            <w:r>
              <w:rPr>
                <w:rFonts w:cs="宋体"/>
                <w:color w:val="000000"/>
                <w:sz w:val="16"/>
                <w:szCs w:val="16"/>
                <w:lang w:bidi="ar"/>
              </w:rPr>
              <w:t>案、建议、意见</w:t>
            </w:r>
            <w:r>
              <w:rPr>
                <w:rFonts w:hint="eastAsia" w:cs="宋体"/>
                <w:color w:val="000000"/>
                <w:sz w:val="16"/>
                <w:szCs w:val="16"/>
                <w:lang w:eastAsia="zh-CN" w:bidi="ar"/>
              </w:rPr>
              <w:t>。</w:t>
            </w:r>
            <w:r>
              <w:rPr>
                <w:rFonts w:cs="宋体"/>
                <w:color w:val="000000"/>
                <w:sz w:val="16"/>
                <w:szCs w:val="16"/>
                <w:lang w:bidi="ar"/>
              </w:rPr>
              <w:t>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员的业务指导</w:t>
            </w:r>
            <w:r>
              <w:rPr>
                <w:rFonts w:hint="eastAsia" w:cs="宋体"/>
                <w:color w:val="000000"/>
                <w:sz w:val="16"/>
                <w:szCs w:val="16"/>
                <w:lang w:eastAsia="zh-CN" w:bidi="ar"/>
              </w:rPr>
              <w:t>；</w:t>
            </w:r>
            <w:r>
              <w:rPr>
                <w:rFonts w:cs="宋体"/>
                <w:color w:val="000000"/>
                <w:sz w:val="16"/>
                <w:szCs w:val="16"/>
                <w:lang w:bidi="ar"/>
              </w:rPr>
              <w:t>实现财政收支平衡，如期完成预决算、百分百兑现惠农资金兑付，财政票据合法合规，杜绝一切</w:t>
            </w:r>
            <w:r>
              <w:rPr>
                <w:rFonts w:hint="eastAsia" w:cs="宋体"/>
                <w:color w:val="000000"/>
                <w:sz w:val="16"/>
                <w:szCs w:val="16"/>
                <w:lang w:eastAsia="zh-CN" w:bidi="ar"/>
              </w:rPr>
              <w:t>不合</w:t>
            </w:r>
            <w:r>
              <w:rPr>
                <w:rFonts w:cs="宋体"/>
                <w:color w:val="000000"/>
                <w:sz w:val="16"/>
                <w:szCs w:val="16"/>
                <w:lang w:bidi="ar"/>
              </w:rPr>
              <w:t>规开支</w:t>
            </w:r>
            <w:r>
              <w:rPr>
                <w:rFonts w:hint="eastAsia" w:cs="宋体"/>
                <w:color w:val="000000"/>
                <w:sz w:val="16"/>
                <w:szCs w:val="16"/>
                <w:lang w:eastAsia="zh-CN" w:bidi="ar"/>
              </w:rPr>
              <w:t>。</w:t>
            </w:r>
            <w:r>
              <w:rPr>
                <w:rFonts w:cs="宋体"/>
                <w:color w:val="000000"/>
                <w:sz w:val="16"/>
                <w:szCs w:val="16"/>
                <w:lang w:bidi="ar"/>
              </w:rPr>
              <w:t>完成公共服务中心和村（社区）便民服务中心的监督和管理</w:t>
            </w:r>
            <w:r>
              <w:rPr>
                <w:rFonts w:hint="eastAsia" w:cs="宋体"/>
                <w:color w:val="000000"/>
                <w:sz w:val="16"/>
                <w:szCs w:val="16"/>
                <w:lang w:eastAsia="zh-CN" w:bidi="ar"/>
              </w:rPr>
              <w:t>；</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16"/>
                <w:szCs w:val="16"/>
              </w:rPr>
            </w:pPr>
          </w:p>
        </w:tc>
        <w:tc>
          <w:tcPr>
            <w:tcW w:w="3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cs="宋体"/>
                <w:color w:val="000000"/>
                <w:sz w:val="16"/>
                <w:szCs w:val="16"/>
                <w:lang w:bidi="ar"/>
              </w:rPr>
              <w:t>在</w:t>
            </w:r>
            <w:r>
              <w:rPr>
                <w:rFonts w:hint="eastAsia" w:cs="宋体"/>
                <w:color w:val="000000"/>
                <w:sz w:val="16"/>
                <w:szCs w:val="16"/>
                <w:highlight w:val="none"/>
                <w:lang w:eastAsia="zh-CN" w:bidi="ar"/>
              </w:rPr>
              <w:t>县委、县政府</w:t>
            </w:r>
            <w:r>
              <w:rPr>
                <w:rFonts w:cs="宋体"/>
                <w:color w:val="000000"/>
                <w:sz w:val="16"/>
                <w:szCs w:val="16"/>
                <w:lang w:bidi="ar"/>
              </w:rPr>
              <w:t>及镇党委</w:t>
            </w:r>
            <w:r>
              <w:rPr>
                <w:rFonts w:hint="eastAsia" w:cs="宋体"/>
                <w:color w:val="000000"/>
                <w:sz w:val="16"/>
                <w:szCs w:val="16"/>
                <w:lang w:eastAsia="zh-CN" w:bidi="ar"/>
              </w:rPr>
              <w:t>、</w:t>
            </w:r>
            <w:r>
              <w:rPr>
                <w:rFonts w:cs="宋体"/>
                <w:color w:val="000000"/>
                <w:sz w:val="16"/>
                <w:szCs w:val="16"/>
                <w:lang w:bidi="ar"/>
              </w:rPr>
              <w:t>政府领导下，全镇按时组织群众文化活动，繁荣文化旅游事业</w:t>
            </w:r>
            <w:r>
              <w:rPr>
                <w:rFonts w:hint="eastAsia" w:cs="宋体"/>
                <w:color w:val="000000"/>
                <w:sz w:val="16"/>
                <w:szCs w:val="16"/>
                <w:lang w:eastAsia="zh-CN" w:bidi="ar"/>
              </w:rPr>
              <w:t>；</w:t>
            </w:r>
            <w:r>
              <w:rPr>
                <w:rFonts w:cs="宋体"/>
                <w:color w:val="000000"/>
                <w:sz w:val="16"/>
                <w:szCs w:val="16"/>
                <w:lang w:bidi="ar"/>
              </w:rPr>
              <w:t>完成党委、政府机关文秘、会务、档案、保密、后勤服务，牵头协调办理人大代表和</w:t>
            </w:r>
            <w:r>
              <w:rPr>
                <w:rFonts w:hint="eastAsia" w:cs="宋体"/>
                <w:color w:val="000000"/>
                <w:sz w:val="16"/>
                <w:szCs w:val="16"/>
                <w:highlight w:val="none"/>
                <w:lang w:eastAsia="zh-CN" w:bidi="ar"/>
              </w:rPr>
              <w:t>政协委员提案</w:t>
            </w:r>
            <w:r>
              <w:rPr>
                <w:rFonts w:cs="宋体"/>
                <w:color w:val="000000"/>
                <w:sz w:val="16"/>
                <w:szCs w:val="16"/>
                <w:lang w:bidi="ar"/>
              </w:rPr>
              <w:t>、</w:t>
            </w:r>
            <w:r>
              <w:rPr>
                <w:rFonts w:hint="eastAsia" w:cs="宋体"/>
                <w:color w:val="000000"/>
                <w:sz w:val="16"/>
                <w:szCs w:val="16"/>
                <w:lang w:eastAsia="zh-CN" w:bidi="ar"/>
              </w:rPr>
              <w:t>议</w:t>
            </w:r>
            <w:r>
              <w:rPr>
                <w:rFonts w:cs="宋体"/>
                <w:color w:val="000000"/>
                <w:sz w:val="16"/>
                <w:szCs w:val="16"/>
                <w:lang w:bidi="ar"/>
              </w:rPr>
              <w:t>案、建议、意见。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员的业务指导</w:t>
            </w:r>
            <w:r>
              <w:rPr>
                <w:rFonts w:hint="eastAsia" w:cs="宋体"/>
                <w:color w:val="000000"/>
                <w:sz w:val="16"/>
                <w:szCs w:val="16"/>
                <w:lang w:eastAsia="zh-CN" w:bidi="ar"/>
              </w:rPr>
              <w:t>；</w:t>
            </w:r>
            <w:r>
              <w:rPr>
                <w:rFonts w:cs="宋体"/>
                <w:color w:val="000000"/>
                <w:sz w:val="16"/>
                <w:szCs w:val="16"/>
                <w:lang w:bidi="ar"/>
              </w:rPr>
              <w:t>实现财政收支平衡，如期完成预决算、百分百兑现惠农资金兑付，财政票据合法合规，杜绝一切</w:t>
            </w:r>
            <w:r>
              <w:rPr>
                <w:rFonts w:hint="eastAsia" w:cs="宋体"/>
                <w:color w:val="000000"/>
                <w:sz w:val="16"/>
                <w:szCs w:val="16"/>
                <w:lang w:eastAsia="zh-CN" w:bidi="ar"/>
              </w:rPr>
              <w:t>不合</w:t>
            </w:r>
            <w:r>
              <w:rPr>
                <w:rFonts w:cs="宋体"/>
                <w:color w:val="000000"/>
                <w:sz w:val="16"/>
                <w:szCs w:val="16"/>
                <w:lang w:bidi="ar"/>
              </w:rPr>
              <w:t>规开支</w:t>
            </w:r>
            <w:r>
              <w:rPr>
                <w:rFonts w:hint="eastAsia" w:cs="宋体"/>
                <w:color w:val="000000"/>
                <w:sz w:val="16"/>
                <w:szCs w:val="16"/>
                <w:lang w:eastAsia="zh-CN" w:bidi="ar"/>
              </w:rPr>
              <w:t>。</w:t>
            </w:r>
            <w:r>
              <w:rPr>
                <w:rFonts w:cs="宋体"/>
                <w:color w:val="000000"/>
                <w:sz w:val="16"/>
                <w:szCs w:val="16"/>
                <w:lang w:bidi="ar"/>
              </w:rPr>
              <w:t>完成公共服务中心和村（社区）便民服务中心的监督和管理。</w:t>
            </w:r>
            <w:r>
              <w:rPr>
                <w:rFonts w:cs="宋体"/>
                <w:color w:val="000000"/>
                <w:sz w:val="16"/>
                <w:szCs w:val="16"/>
                <w:lang w:bidi="ar"/>
              </w:rPr>
              <w:br w:type="textWrapping"/>
            </w:r>
            <w:r>
              <w:rPr>
                <w:rFonts w:cs="宋体"/>
                <w:color w:val="000000"/>
                <w:sz w:val="16"/>
                <w:szCs w:val="16"/>
                <w:lang w:bidi="ar"/>
              </w:rPr>
              <w:t>　</w:t>
            </w:r>
            <w:r>
              <w:rPr>
                <w:rFonts w:cs="宋体"/>
                <w:color w:val="000000"/>
                <w:sz w:val="16"/>
                <w:szCs w:val="16"/>
                <w:lang w:bidi="ar"/>
              </w:rPr>
              <w:br w:type="textWrapping"/>
            </w:r>
            <w:r>
              <w:rPr>
                <w:rFonts w:cs="宋体"/>
                <w:color w:val="000000"/>
                <w:sz w:val="16"/>
                <w:szCs w:val="16"/>
                <w:lang w:bidi="ar"/>
              </w:rPr>
              <w:t>　</w:t>
            </w: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计量单位</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全年完成值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偏离度（%）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得分系数（%）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指标权重</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指标得分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是否核心指标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说明</w:t>
            </w: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城区绿化面积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平方米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123400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123400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党建培训人次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到市、进京非访、集访次数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30" w:firstLineChars="100"/>
              <w:textAlignment w:val="center"/>
              <w:rPr>
                <w:rFonts w:hint="default" w:cs="宋体"/>
                <w:color w:val="000000"/>
                <w:sz w:val="16"/>
                <w:szCs w:val="16"/>
              </w:rPr>
            </w:pPr>
            <w:r>
              <w:rPr>
                <w:rFonts w:hint="eastAsia" w:cs="宋体"/>
                <w:color w:val="000000"/>
                <w:sz w:val="13"/>
                <w:szCs w:val="13"/>
                <w:lang w:eastAsia="zh-CN" w:bidi="ar"/>
              </w:rPr>
              <w:t>抚恤</w:t>
            </w:r>
            <w:r>
              <w:rPr>
                <w:rFonts w:cs="宋体"/>
                <w:color w:val="000000"/>
                <w:sz w:val="13"/>
                <w:szCs w:val="13"/>
                <w:lang w:bidi="ar"/>
              </w:rPr>
              <w:t>、民政、计生等困难群众补助人数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2552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2552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较大森林火险发生次数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年生活垃圾处理量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吨</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4500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重大安全事故发生次数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社区网格员覆盖率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辖区河道水质</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类</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一般公共预算收入完成率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应公开的政务信息公开率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征兵完成率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全年预算支出执行率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三季度预算执行进度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疫情防控处置率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3"/>
                <w:szCs w:val="13"/>
                <w:lang w:bidi="ar"/>
              </w:rPr>
              <w:t>预决算按时公开率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辖区农民人均纯收入增长量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农村卫生厕所改厕覆盖率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80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80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辖区干部满意率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辖区群众满意度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2"/>
        <w:autoSpaceDE w:val="0"/>
        <w:spacing w:before="0" w:beforeAutospacing="0" w:after="0" w:afterAutospacing="0" w:line="600" w:lineRule="exact"/>
        <w:sectPr>
          <w:pgSz w:w="16838" w:h="11917" w:orient="landscape"/>
          <w:pgMar w:top="1803" w:right="1440" w:bottom="1803" w:left="1440" w:header="850" w:footer="992" w:gutter="0"/>
          <w:pgNumType w:fmt="numberInDash"/>
          <w:cols w:space="0" w:num="1"/>
          <w:rtlGutter w:val="0"/>
          <w:docGrid w:type="lines" w:linePitch="332" w:charSpace="0"/>
        </w:sectPr>
      </w:pPr>
      <w:r>
        <w:rPr>
          <w:rFonts w:hint="eastAsia"/>
        </w:rPr>
        <w:t xml:space="preserve"> </w:t>
      </w:r>
    </w:p>
    <w:tbl>
      <w:tblPr>
        <w:tblStyle w:val="7"/>
        <w:tblpPr w:leftFromText="180" w:rightFromText="180" w:vertAnchor="text" w:horzAnchor="page" w:tblpX="1466" w:tblpY="29"/>
        <w:tblOverlap w:val="never"/>
        <w:tblW w:w="13988" w:type="dxa"/>
        <w:tblInd w:w="0" w:type="dxa"/>
        <w:tblLayout w:type="fixed"/>
        <w:tblCellMar>
          <w:top w:w="0" w:type="dxa"/>
          <w:left w:w="0" w:type="dxa"/>
          <w:bottom w:w="0" w:type="dxa"/>
          <w:right w:w="0" w:type="dxa"/>
        </w:tblCellMar>
      </w:tblPr>
      <w:tblGrid>
        <w:gridCol w:w="3116"/>
        <w:gridCol w:w="1247"/>
        <w:gridCol w:w="1244"/>
        <w:gridCol w:w="1300"/>
        <w:gridCol w:w="1012"/>
        <w:gridCol w:w="1117"/>
        <w:gridCol w:w="1210"/>
        <w:gridCol w:w="843"/>
        <w:gridCol w:w="756"/>
        <w:gridCol w:w="1119"/>
        <w:gridCol w:w="1024"/>
      </w:tblGrid>
      <w:tr>
        <w:tblPrEx>
          <w:tblLayout w:type="fixed"/>
          <w:tblCellMar>
            <w:top w:w="0" w:type="dxa"/>
            <w:left w:w="0" w:type="dxa"/>
            <w:bottom w:w="0" w:type="dxa"/>
            <w:right w:w="0" w:type="dxa"/>
          </w:tblCellMar>
        </w:tblPrEx>
        <w:trPr>
          <w:trHeight w:val="7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4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元旦春节慰问金经费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50023122T000000118262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邹卓希</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15909322315</w:t>
            </w: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9" w:hRule="atLeast"/>
        </w:trPr>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24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12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24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12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24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12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69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966" w:hRule="atLeast"/>
        </w:trPr>
        <w:tc>
          <w:tcPr>
            <w:tcW w:w="69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2022年，慰问生活困难党员、老党员100余人</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2022年，慰问生活困难党员、老党员100余人</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慰问生活困难党员、老党员101人</w:t>
            </w: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慰问人数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慰问金发放及时率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慰问生活困难党员、老党员春节愉快</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生活困难党员、老党员满意度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生活困难党员、老党员慰问费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3.13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3.13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tbl>
      <w:tblPr>
        <w:tblStyle w:val="7"/>
        <w:tblW w:w="13988" w:type="dxa"/>
        <w:tblInd w:w="0" w:type="dxa"/>
        <w:tblLayout w:type="fixed"/>
        <w:tblCellMar>
          <w:top w:w="0" w:type="dxa"/>
          <w:left w:w="0" w:type="dxa"/>
          <w:bottom w:w="0" w:type="dxa"/>
          <w:right w:w="0" w:type="dxa"/>
        </w:tblCellMar>
      </w:tblPr>
      <w:tblGrid>
        <w:gridCol w:w="2024"/>
        <w:gridCol w:w="1361"/>
        <w:gridCol w:w="1358"/>
        <w:gridCol w:w="1420"/>
        <w:gridCol w:w="1024"/>
        <w:gridCol w:w="1300"/>
        <w:gridCol w:w="1321"/>
        <w:gridCol w:w="1018"/>
        <w:gridCol w:w="824"/>
        <w:gridCol w:w="1221"/>
        <w:gridCol w:w="1117"/>
      </w:tblGrid>
      <w:tr>
        <w:tblPrEx>
          <w:tblLayout w:type="fixed"/>
          <w:tblCellMar>
            <w:top w:w="0" w:type="dxa"/>
            <w:left w:w="0" w:type="dxa"/>
            <w:bottom w:w="0" w:type="dxa"/>
            <w:right w:w="0" w:type="dxa"/>
          </w:tblCellMar>
        </w:tblPrEx>
        <w:trPr>
          <w:trHeight w:val="7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4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服务群众专项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50023123T000003060189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邹卓希</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15909322315</w:t>
            </w: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9" w:hRule="atLeast"/>
        </w:trPr>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3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3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3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3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3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3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6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1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598" w:hRule="atLeast"/>
        </w:trPr>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保障14个村（社区）正常运转</w:t>
            </w:r>
          </w:p>
        </w:tc>
        <w:tc>
          <w:tcPr>
            <w:tcW w:w="46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c>
          <w:tcPr>
            <w:tcW w:w="31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保障14个村（社区）正常运转</w:t>
            </w:r>
          </w:p>
        </w:tc>
      </w:tr>
      <w:tr>
        <w:tblPrEx>
          <w:tblLayout w:type="fixed"/>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村委会补助标准</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村委会数量</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社区补助标准</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社区数量</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补助发放及时率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村（社区）服务水平</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提升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服务群众满意度</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费用补助</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1"/>
        <w:autoSpaceDE w:val="0"/>
        <w:ind w:firstLine="0" w:firstLineChars="0"/>
        <w:rPr>
          <w:rFonts w:ascii="方正仿宋_GBK" w:hAnsi="方正仿宋_GBK" w:eastAsia="方正仿宋_GBK" w:cs="方正仿宋_GBK"/>
          <w:sz w:val="32"/>
          <w:szCs w:val="32"/>
          <w:shd w:val="clear" w:color="auto" w:fill="FFFFFF"/>
          <w:lang w:bidi="ar"/>
        </w:rPr>
        <w:sectPr>
          <w:pgSz w:w="16838" w:h="11917" w:orient="landscape"/>
          <w:pgMar w:top="1803" w:right="1440" w:bottom="1803" w:left="1440" w:header="850" w:footer="992" w:gutter="0"/>
          <w:pgNumType w:fmt="numberInDash"/>
          <w:cols w:space="0" w:num="1"/>
          <w:rtlGutter w:val="0"/>
          <w:docGrid w:type="lines" w:linePitch="332" w:charSpace="0"/>
        </w:sectPr>
      </w:pPr>
    </w:p>
    <w:p>
      <w:pPr>
        <w:pStyle w:val="12"/>
        <w:autoSpaceDE w:val="0"/>
        <w:spacing w:before="0" w:beforeAutospacing="0" w:after="0" w:afterAutospacing="0" w:line="600"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对元旦春节慰问金经费开展了绩效评价，涉及财政拨款项目资金3.13元，评价得分100分，评价等次为优，绩效评价发现了资金支付账号收集不准确，导致部分慰问金支付较慢等主要问题，提出在今后工作中要提前收集并核对好慰问人员账号及基本情况等下一步工作建议。</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对服务群众专项开展了绩效评价，涉及财政拨款项目资金40万元，评价得分100分，评价等次为优，绩效评价发现了资金未及时支付，导致村（社区）工作开展困难等主要问题，提出在今后工作中要提前安排好资金，尽早支付到村（社区）等下一步工作建议。</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6"/>
        <w:shd w:val="clear" w:color="auto" w:fill="FFFFFF"/>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594"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决</w:t>
      </w:r>
      <w:r>
        <w:rPr>
          <w:rFonts w:ascii="方正仿宋_GBK" w:hAnsi="方正仿宋_GBK" w:eastAsia="方正仿宋_GBK" w:cs="方正仿宋_GBK"/>
          <w:sz w:val="32"/>
          <w:szCs w:val="32"/>
          <w:shd w:val="clear" w:color="auto" w:fill="FFFFFF"/>
        </w:rPr>
        <w:t>算公开信息反馈和联系方式：</w:t>
      </w:r>
      <w:r>
        <w:rPr>
          <w:rFonts w:hint="default" w:ascii="Times New Roman" w:hAnsi="Times New Roman" w:eastAsia="方正仿宋_GBK"/>
          <w:sz w:val="32"/>
          <w:szCs w:val="32"/>
          <w:shd w:val="clear" w:color="auto" w:fill="FFFFFF"/>
          <w:lang w:bidi="ar"/>
        </w:rPr>
        <w:t xml:space="preserve">   023-74536329</w:t>
      </w:r>
    </w:p>
    <w:p>
      <w:pPr>
        <w:pStyle w:val="12"/>
        <w:shd w:val="clear" w:color="auto" w:fill="FFFFFF"/>
        <w:spacing w:before="0" w:beforeAutospacing="0" w:after="0" w:afterAutospacing="0"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594"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1、垫江县太平镇人民政府收入支出决算总表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2、垫江县太平镇人民政府收入决算表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3、垫江县太平镇人民政府支出决算表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4、垫江县太平镇人民政府财政拨款收入支出决算总表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5、垫江县太平镇人民政府一般公共预算财政拨款支出决算表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6、垫江县太平镇人民政府一般公共预算财政拨款基本支出决算表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7、垫江县太平镇人民政府政府性基金预算财政拨款收入支出决算表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8、垫江县太平镇人民政府国有资本经营预算财政拨款支出决算表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9、垫江县太平镇人民政府机构运行信息表</w:t>
      </w:r>
    </w:p>
    <w:p>
      <w:pPr>
        <w:shd w:val="clear" w:color="auto" w:fill="FFFFFF"/>
        <w:snapToGrid w:val="0"/>
        <w:spacing w:line="594" w:lineRule="exact"/>
        <w:ind w:firstLine="640" w:firstLineChars="200"/>
        <w:rPr>
          <w:rFonts w:hint="default" w:ascii="Times New Roman" w:hAnsi="Times New Roman" w:eastAsia="方正仿宋_GBK"/>
          <w:sz w:val="32"/>
          <w:szCs w:val="32"/>
          <w:shd w:val="clear" w:color="auto" w:fill="FFFFFF"/>
          <w:lang w:bidi="ar"/>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7" w:h="16838"/>
          <w:pgMar w:top="1440" w:right="1803" w:bottom="1440" w:left="1803" w:header="850" w:footer="992" w:gutter="0"/>
          <w:pgNumType w:fmt="numberInDash"/>
          <w:cols w:space="0" w:num="1"/>
          <w:rtlGutter w:val="0"/>
          <w:docGrid w:type="lines" w:linePitch="332" w:charSpace="0"/>
        </w:sectPr>
      </w:pPr>
    </w:p>
    <w:p>
      <w:pPr>
        <w:rPr>
          <w:rFonts w:hint="default" w:cs="宋体"/>
          <w:sz w:val="21"/>
          <w:szCs w:val="21"/>
        </w:rPr>
      </w:pPr>
    </w:p>
    <w:tbl>
      <w:tblPr>
        <w:tblStyle w:val="7"/>
        <w:tblW w:w="13988" w:type="dxa"/>
        <w:tblInd w:w="0" w:type="dxa"/>
        <w:tblLayout w:type="fixed"/>
        <w:tblCellMar>
          <w:top w:w="0" w:type="dxa"/>
          <w:left w:w="0" w:type="dxa"/>
          <w:bottom w:w="0" w:type="dxa"/>
          <w:right w:w="0" w:type="dxa"/>
        </w:tblCellMar>
      </w:tblPr>
      <w:tblGrid>
        <w:gridCol w:w="4126"/>
        <w:gridCol w:w="2736"/>
        <w:gridCol w:w="4728"/>
        <w:gridCol w:w="2398"/>
      </w:tblGrid>
      <w:tr>
        <w:tblPrEx>
          <w:tblLayout w:type="fixed"/>
          <w:tblCellMar>
            <w:top w:w="0" w:type="dxa"/>
            <w:left w:w="0" w:type="dxa"/>
            <w:bottom w:w="0" w:type="dxa"/>
            <w:right w:w="0" w:type="dxa"/>
          </w:tblCellMar>
        </w:tblPrEx>
        <w:trPr>
          <w:trHeight w:val="565" w:hRule="atLeast"/>
        </w:trPr>
        <w:tc>
          <w:tcPr>
            <w:tcW w:w="13988"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垫江县太平镇人民政府收入支出决算总表</w:t>
            </w:r>
          </w:p>
        </w:tc>
      </w:tr>
      <w:tr>
        <w:tblPrEx>
          <w:tblLayout w:type="fixed"/>
          <w:tblCellMar>
            <w:top w:w="0" w:type="dxa"/>
            <w:left w:w="0" w:type="dxa"/>
            <w:bottom w:w="0" w:type="dxa"/>
            <w:right w:w="0" w:type="dxa"/>
          </w:tblCellMar>
        </w:tblPrEx>
        <w:trPr>
          <w:trHeight w:val="289" w:hRule="atLeast"/>
        </w:trPr>
        <w:tc>
          <w:tcPr>
            <w:tcW w:w="4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4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公开部门：垫江县太平镇人民政府</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686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7126"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39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4,225.87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1,137.65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5,243.14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5,248.63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4020"/>
        <w:gridCol w:w="1195"/>
        <w:gridCol w:w="1187"/>
        <w:gridCol w:w="913"/>
        <w:gridCol w:w="913"/>
        <w:gridCol w:w="913"/>
        <w:gridCol w:w="913"/>
        <w:gridCol w:w="913"/>
        <w:gridCol w:w="1231"/>
      </w:tblGrid>
      <w:tr>
        <w:tblPrEx>
          <w:tblLayout w:type="fixed"/>
          <w:tblCellMar>
            <w:top w:w="0" w:type="dxa"/>
            <w:left w:w="0" w:type="dxa"/>
            <w:bottom w:w="0" w:type="dxa"/>
            <w:right w:w="0" w:type="dxa"/>
          </w:tblCellMar>
        </w:tblPrEx>
        <w:trPr>
          <w:trHeight w:val="641" w:hRule="atLeast"/>
        </w:trPr>
        <w:tc>
          <w:tcPr>
            <w:tcW w:w="13988"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垫江县太平镇人民政府收入决算表</w:t>
            </w:r>
          </w:p>
        </w:tc>
      </w:tr>
      <w:tr>
        <w:tblPrEx>
          <w:tblLayout w:type="fixed"/>
          <w:tblCellMar>
            <w:top w:w="0" w:type="dxa"/>
            <w:left w:w="0" w:type="dxa"/>
            <w:bottom w:w="0" w:type="dxa"/>
            <w:right w:w="0" w:type="dxa"/>
          </w:tblCellMar>
        </w:tblPrEx>
        <w:trPr>
          <w:trHeight w:val="328" w:hRule="atLeast"/>
        </w:trPr>
        <w:tc>
          <w:tcPr>
            <w:tcW w:w="58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公开部门：垫江县太平镇人民政府</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8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5,243.14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5,243.14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1,696.27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1,696.27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590.95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590.95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172.83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172.83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48.04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48.04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97.04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97.04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1,137.65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1,137.65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1,109.33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1,109.33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353.40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353.40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117.94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117.94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4020"/>
        <w:gridCol w:w="1358"/>
        <w:gridCol w:w="1358"/>
        <w:gridCol w:w="1358"/>
        <w:gridCol w:w="1358"/>
        <w:gridCol w:w="1359"/>
        <w:gridCol w:w="1387"/>
      </w:tblGrid>
      <w:tr>
        <w:tblPrEx>
          <w:tblLayout w:type="fixed"/>
          <w:tblCellMar>
            <w:top w:w="0" w:type="dxa"/>
            <w:left w:w="0" w:type="dxa"/>
            <w:bottom w:w="0" w:type="dxa"/>
            <w:right w:w="0" w:type="dxa"/>
          </w:tblCellMar>
        </w:tblPrEx>
        <w:trPr>
          <w:trHeight w:val="65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垫江县太平镇人民政府支出决算表</w:t>
            </w:r>
          </w:p>
        </w:tc>
      </w:tr>
      <w:tr>
        <w:tblPrEx>
          <w:tblLayout w:type="fixed"/>
          <w:tblCellMar>
            <w:top w:w="0" w:type="dxa"/>
            <w:left w:w="0" w:type="dxa"/>
            <w:bottom w:w="0" w:type="dxa"/>
            <w:right w:w="0" w:type="dxa"/>
          </w:tblCellMar>
        </w:tblPrEx>
        <w:trPr>
          <w:trHeight w:val="342" w:hRule="atLeast"/>
        </w:trPr>
        <w:tc>
          <w:tcPr>
            <w:tcW w:w="58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 xml:space="preserve">垫江县太平镇人民政府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8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5,248.63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2,236.52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3,012.11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1,700.01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775.01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650.47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590.95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477.87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113.08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172.83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11.88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48.04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97.04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9.49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1,137.65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1,036.33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1,111.08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473.37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637.71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353.40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498.81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331.81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117.94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3110"/>
        <w:gridCol w:w="1362"/>
        <w:gridCol w:w="3330"/>
        <w:gridCol w:w="1533"/>
        <w:gridCol w:w="1533"/>
        <w:gridCol w:w="1533"/>
        <w:gridCol w:w="1587"/>
      </w:tblGrid>
      <w:tr>
        <w:tblPrEx>
          <w:tblLayout w:type="fixed"/>
          <w:tblCellMar>
            <w:top w:w="0" w:type="dxa"/>
            <w:left w:w="0" w:type="dxa"/>
            <w:bottom w:w="0" w:type="dxa"/>
            <w:right w:w="0" w:type="dxa"/>
          </w:tblCellMar>
        </w:tblPrEx>
        <w:trPr>
          <w:trHeight w:val="90" w:hRule="atLeast"/>
        </w:trPr>
        <w:tc>
          <w:tcPr>
            <w:tcW w:w="13988"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垫江县太平镇人民政府财政拨款收入支出决算总表</w:t>
            </w:r>
          </w:p>
        </w:tc>
      </w:tr>
      <w:tr>
        <w:tblPrEx>
          <w:tblLayout w:type="fixed"/>
          <w:tblCellMar>
            <w:top w:w="0" w:type="dxa"/>
            <w:left w:w="0" w:type="dxa"/>
            <w:bottom w:w="0" w:type="dxa"/>
            <w:right w:w="0" w:type="dxa"/>
          </w:tblCellMar>
        </w:tblPrEx>
        <w:trPr>
          <w:trHeight w:val="90" w:hRule="atLeast"/>
        </w:trPr>
        <w:tc>
          <w:tcPr>
            <w:tcW w:w="44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4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47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516"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6186"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4,225.87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1,137.65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139.25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5,243.14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4,231.36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5,248.63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4,231.36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1,017.27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489"/>
        <w:gridCol w:w="4020"/>
        <w:gridCol w:w="2821"/>
        <w:gridCol w:w="2822"/>
        <w:gridCol w:w="2836"/>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垫江县太平镇人民政府一般公共预算财政拨款支出决算表</w:t>
            </w:r>
          </w:p>
        </w:tc>
      </w:tr>
      <w:tr>
        <w:tblPrEx>
          <w:tblLayout w:type="fixed"/>
          <w:tblCellMar>
            <w:top w:w="0" w:type="dxa"/>
            <w:left w:w="0" w:type="dxa"/>
            <w:bottom w:w="0" w:type="dxa"/>
            <w:right w:w="0" w:type="dxa"/>
          </w:tblCellMar>
        </w:tblPrEx>
        <w:trPr>
          <w:trHeight w:val="255" w:hRule="atLeast"/>
        </w:trPr>
        <w:tc>
          <w:tcPr>
            <w:tcW w:w="550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50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50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479"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82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82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8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50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4,231.36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2,236.52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1,994.84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775.01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1,575.48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650.47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650.27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650.27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17.74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8.56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8.56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7.49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7.49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477.87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113.08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172.83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160.95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11.88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160.95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160.95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277.62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277.62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126.98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126.98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100.58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100.58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37.45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37.45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36.45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36.45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48.04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9.49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25.10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139.25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473.37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637.71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353.40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36.96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36.96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22.38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22.38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18.38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18.38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31.43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31.43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676.06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498.81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509.06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331.81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104.63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104.63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81.06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23.58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23.58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5.33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152.15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152.15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99.60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52.55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52.55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r>
      <w:tr>
        <w:tblPrEx>
          <w:tblLayout w:type="fixed"/>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568"/>
        <w:gridCol w:w="3262"/>
        <w:gridCol w:w="853"/>
        <w:gridCol w:w="1074"/>
        <w:gridCol w:w="1679"/>
        <w:gridCol w:w="646"/>
        <w:gridCol w:w="568"/>
        <w:gridCol w:w="4129"/>
        <w:gridCol w:w="1209"/>
      </w:tblGrid>
      <w:tr>
        <w:tblPrEx>
          <w:tblLayout w:type="fixed"/>
          <w:tblCellMar>
            <w:top w:w="0" w:type="dxa"/>
            <w:left w:w="0" w:type="dxa"/>
            <w:bottom w:w="0" w:type="dxa"/>
            <w:right w:w="0" w:type="dxa"/>
          </w:tblCellMar>
        </w:tblPrEx>
        <w:trPr>
          <w:trHeight w:val="590" w:hRule="atLeast"/>
        </w:trPr>
        <w:tc>
          <w:tcPr>
            <w:tcW w:w="13988"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垫江县太平镇人民政府一般公共预算财政拨款基本支出决算表</w:t>
            </w:r>
          </w:p>
        </w:tc>
      </w:tr>
      <w:tr>
        <w:tblPrEx>
          <w:tblLayout w:type="fixed"/>
          <w:tblCellMar>
            <w:top w:w="0" w:type="dxa"/>
            <w:left w:w="0" w:type="dxa"/>
            <w:bottom w:w="0" w:type="dxa"/>
            <w:right w:w="0" w:type="dxa"/>
          </w:tblCellMar>
        </w:tblPrEx>
        <w:trPr>
          <w:trHeight w:val="302" w:hRule="atLeast"/>
        </w:trPr>
        <w:tc>
          <w:tcPr>
            <w:tcW w:w="38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38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4683"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9305"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2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412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1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1,503.00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437.39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286.82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20.32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hint="eastAsia" w:cs="宋体"/>
                <w:b w:val="0"/>
                <w:color w:val="000000"/>
                <w:sz w:val="22"/>
                <w:szCs w:val="22"/>
                <w:lang w:eastAsia="zh-CN" w:bidi="ar"/>
              </w:rPr>
              <w:t>构建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135.43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260.30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393.70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3.07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126.98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17.53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50.05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25.94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3.52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116.91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9.76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0.78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38.75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294.99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0.29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0.77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10.82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280.79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19.43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1.64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61.83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7.57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23.46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102.32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383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1,797.98 </w:t>
            </w:r>
          </w:p>
        </w:tc>
        <w:tc>
          <w:tcPr>
            <w:tcW w:w="8096"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438.54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543"/>
        <w:gridCol w:w="3810"/>
        <w:gridCol w:w="1410"/>
        <w:gridCol w:w="1410"/>
        <w:gridCol w:w="1410"/>
        <w:gridCol w:w="1410"/>
        <w:gridCol w:w="1468"/>
        <w:gridCol w:w="1527"/>
      </w:tblGrid>
      <w:tr>
        <w:tblPrEx>
          <w:tblLayout w:type="fixed"/>
          <w:tblCellMar>
            <w:top w:w="0" w:type="dxa"/>
            <w:left w:w="0" w:type="dxa"/>
            <w:bottom w:w="0" w:type="dxa"/>
            <w:right w:w="0" w:type="dxa"/>
          </w:tblCellMar>
        </w:tblPrEx>
        <w:trPr>
          <w:trHeight w:val="64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垫江县太平镇人民政府政府性基金预算财政拨款收入支出决算表</w:t>
            </w:r>
          </w:p>
        </w:tc>
      </w:tr>
      <w:tr>
        <w:tblPrEx>
          <w:tblLayout w:type="fixed"/>
          <w:tblCellMar>
            <w:top w:w="0" w:type="dxa"/>
            <w:left w:w="0" w:type="dxa"/>
            <w:bottom w:w="0" w:type="dxa"/>
            <w:right w:w="0" w:type="dxa"/>
          </w:tblCellMar>
        </w:tblPrEx>
        <w:trPr>
          <w:trHeight w:val="329" w:hRule="atLeast"/>
        </w:trPr>
        <w:tc>
          <w:tcPr>
            <w:tcW w:w="5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5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5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288"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5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城乡社区支出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21208</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2120804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21213</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2121399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其他支出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2296003</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715"/>
        <w:gridCol w:w="2784"/>
        <w:gridCol w:w="2979"/>
        <w:gridCol w:w="3410"/>
        <w:gridCol w:w="3100"/>
      </w:tblGrid>
      <w:tr>
        <w:tblPrEx>
          <w:tblLayout w:type="fixed"/>
          <w:tblCellMar>
            <w:top w:w="0" w:type="dxa"/>
            <w:left w:w="0" w:type="dxa"/>
            <w:bottom w:w="0" w:type="dxa"/>
            <w:right w:w="0" w:type="dxa"/>
          </w:tblCellMar>
        </w:tblPrEx>
        <w:trPr>
          <w:trHeight w:val="65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垫江县太平镇人民政府国有资本经营预算财政拨款支出决算表</w:t>
            </w:r>
          </w:p>
        </w:tc>
      </w:tr>
      <w:tr>
        <w:tblPrEx>
          <w:tblLayout w:type="fixed"/>
          <w:tblCellMar>
            <w:top w:w="0" w:type="dxa"/>
            <w:left w:w="0" w:type="dxa"/>
            <w:bottom w:w="0" w:type="dxa"/>
            <w:right w:w="0" w:type="dxa"/>
          </w:tblCellMar>
        </w:tblPrEx>
        <w:trPr>
          <w:trHeight w:val="332" w:hRule="atLeast"/>
        </w:trPr>
        <w:tc>
          <w:tcPr>
            <w:tcW w:w="44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4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48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7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3990"/>
        <w:gridCol w:w="1850"/>
        <w:gridCol w:w="1509"/>
        <w:gridCol w:w="5090"/>
        <w:gridCol w:w="1549"/>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垫江县太平镇人民政府机构运行信息表</w:t>
            </w:r>
          </w:p>
        </w:tc>
      </w:tr>
      <w:tr>
        <w:tblPrEx>
          <w:tblLayout w:type="fixed"/>
          <w:tblCellMar>
            <w:top w:w="0" w:type="dxa"/>
            <w:left w:w="0" w:type="dxa"/>
            <w:bottom w:w="0" w:type="dxa"/>
            <w:right w:w="0" w:type="dxa"/>
          </w:tblCellMar>
        </w:tblPrEx>
        <w:trPr>
          <w:trHeight w:val="255" w:hRule="atLeast"/>
        </w:trPr>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8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15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5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350.53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25.28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25.28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350.53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17.71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17.71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17.71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w:t>
            </w:r>
            <w:r>
              <w:rPr>
                <w:rFonts w:hint="eastAsia" w:cs="宋体"/>
                <w:b w:val="0"/>
                <w:color w:val="000000"/>
                <w:sz w:val="22"/>
                <w:szCs w:val="22"/>
                <w:lang w:eastAsia="zh-CN" w:bidi="ar"/>
              </w:rPr>
              <w:t>数</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522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3,189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2.05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2.17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172A27"/>
    <w:rsid w:val="00172A27"/>
    <w:rsid w:val="002E5443"/>
    <w:rsid w:val="00385DCD"/>
    <w:rsid w:val="00550ABE"/>
    <w:rsid w:val="0064542E"/>
    <w:rsid w:val="007B419D"/>
    <w:rsid w:val="008328F2"/>
    <w:rsid w:val="00945F4A"/>
    <w:rsid w:val="0099683C"/>
    <w:rsid w:val="009B67B8"/>
    <w:rsid w:val="00B03CCD"/>
    <w:rsid w:val="00B64042"/>
    <w:rsid w:val="00C44E1F"/>
    <w:rsid w:val="00D84CC0"/>
    <w:rsid w:val="00E76362"/>
    <w:rsid w:val="00F73F90"/>
    <w:rsid w:val="01474EBF"/>
    <w:rsid w:val="01A261EB"/>
    <w:rsid w:val="01F3521E"/>
    <w:rsid w:val="0296334F"/>
    <w:rsid w:val="03625919"/>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284D52"/>
    <w:rsid w:val="163A6CEE"/>
    <w:rsid w:val="173708E3"/>
    <w:rsid w:val="17C374FC"/>
    <w:rsid w:val="189079DC"/>
    <w:rsid w:val="189B0D0B"/>
    <w:rsid w:val="18B43F7C"/>
    <w:rsid w:val="194A1770"/>
    <w:rsid w:val="198F59B4"/>
    <w:rsid w:val="19B906A4"/>
    <w:rsid w:val="1B451C42"/>
    <w:rsid w:val="1B6F15B6"/>
    <w:rsid w:val="1BAA2EDC"/>
    <w:rsid w:val="1C5C0973"/>
    <w:rsid w:val="1CA55E64"/>
    <w:rsid w:val="1D014A01"/>
    <w:rsid w:val="1D022362"/>
    <w:rsid w:val="1D1B04B0"/>
    <w:rsid w:val="1D9D686A"/>
    <w:rsid w:val="1DBD6767"/>
    <w:rsid w:val="1DC52125"/>
    <w:rsid w:val="1DD26311"/>
    <w:rsid w:val="1E033452"/>
    <w:rsid w:val="1E374ACB"/>
    <w:rsid w:val="1ECF0A66"/>
    <w:rsid w:val="1EF67CA4"/>
    <w:rsid w:val="1F020D3A"/>
    <w:rsid w:val="1F2C5189"/>
    <w:rsid w:val="1F4B0B02"/>
    <w:rsid w:val="1FBB35CD"/>
    <w:rsid w:val="1FCD26AF"/>
    <w:rsid w:val="20642787"/>
    <w:rsid w:val="21556F04"/>
    <w:rsid w:val="22403BD3"/>
    <w:rsid w:val="24A8341D"/>
    <w:rsid w:val="24B92327"/>
    <w:rsid w:val="24C14514"/>
    <w:rsid w:val="25023802"/>
    <w:rsid w:val="2533755C"/>
    <w:rsid w:val="25791755"/>
    <w:rsid w:val="26396DF4"/>
    <w:rsid w:val="268123ED"/>
    <w:rsid w:val="27167136"/>
    <w:rsid w:val="276D4DD7"/>
    <w:rsid w:val="27B23302"/>
    <w:rsid w:val="29310A5F"/>
    <w:rsid w:val="29C37A35"/>
    <w:rsid w:val="29FB095A"/>
    <w:rsid w:val="2A076083"/>
    <w:rsid w:val="2A73162E"/>
    <w:rsid w:val="2B167953"/>
    <w:rsid w:val="2B200583"/>
    <w:rsid w:val="2B38379D"/>
    <w:rsid w:val="2B8209DE"/>
    <w:rsid w:val="2C6762A3"/>
    <w:rsid w:val="2D6A502B"/>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A50334"/>
    <w:rsid w:val="36C9128A"/>
    <w:rsid w:val="37841E99"/>
    <w:rsid w:val="37BF1123"/>
    <w:rsid w:val="383C3F15"/>
    <w:rsid w:val="38BE4696"/>
    <w:rsid w:val="3939115E"/>
    <w:rsid w:val="39B82A39"/>
    <w:rsid w:val="39C42CA8"/>
    <w:rsid w:val="39DC4FD6"/>
    <w:rsid w:val="39F03D7A"/>
    <w:rsid w:val="39F33306"/>
    <w:rsid w:val="3A2C1C67"/>
    <w:rsid w:val="3A432C2C"/>
    <w:rsid w:val="3B1705E5"/>
    <w:rsid w:val="3B18334B"/>
    <w:rsid w:val="3B36794F"/>
    <w:rsid w:val="3C566AD6"/>
    <w:rsid w:val="3C6A5B02"/>
    <w:rsid w:val="3D2757A1"/>
    <w:rsid w:val="3D3D4FC4"/>
    <w:rsid w:val="3D750B0D"/>
    <w:rsid w:val="3DDF3AB1"/>
    <w:rsid w:val="3E1D0952"/>
    <w:rsid w:val="3E42660A"/>
    <w:rsid w:val="3E7555B1"/>
    <w:rsid w:val="3E787ED9"/>
    <w:rsid w:val="3EEC37F3"/>
    <w:rsid w:val="3F032E93"/>
    <w:rsid w:val="3F0527E5"/>
    <w:rsid w:val="3F694D83"/>
    <w:rsid w:val="3F885DCC"/>
    <w:rsid w:val="3FCD675E"/>
    <w:rsid w:val="4004000C"/>
    <w:rsid w:val="40525F69"/>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2C5136"/>
    <w:rsid w:val="495C4A24"/>
    <w:rsid w:val="497135DF"/>
    <w:rsid w:val="4A263DF2"/>
    <w:rsid w:val="4A6F6675"/>
    <w:rsid w:val="4B135857"/>
    <w:rsid w:val="4B7951CB"/>
    <w:rsid w:val="4B7C315C"/>
    <w:rsid w:val="4DAC4ACA"/>
    <w:rsid w:val="4DBE01D2"/>
    <w:rsid w:val="4F0C6BA3"/>
    <w:rsid w:val="4F186D58"/>
    <w:rsid w:val="4FEA65B7"/>
    <w:rsid w:val="50831B7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C348D"/>
    <w:rsid w:val="56530F5D"/>
    <w:rsid w:val="567700D3"/>
    <w:rsid w:val="56FF7E9E"/>
    <w:rsid w:val="578867FC"/>
    <w:rsid w:val="57904E54"/>
    <w:rsid w:val="5842572D"/>
    <w:rsid w:val="58515210"/>
    <w:rsid w:val="5A3B59D6"/>
    <w:rsid w:val="5A520F1F"/>
    <w:rsid w:val="5AD134D8"/>
    <w:rsid w:val="5C263CE4"/>
    <w:rsid w:val="5C5D2777"/>
    <w:rsid w:val="5CF66BF3"/>
    <w:rsid w:val="5D290C69"/>
    <w:rsid w:val="5F280FC7"/>
    <w:rsid w:val="5F2D4A41"/>
    <w:rsid w:val="602D67C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67614E"/>
    <w:rsid w:val="6883293E"/>
    <w:rsid w:val="688412AD"/>
    <w:rsid w:val="68EB1B71"/>
    <w:rsid w:val="69475C96"/>
    <w:rsid w:val="6A287B42"/>
    <w:rsid w:val="6AAD2300"/>
    <w:rsid w:val="6AB168A8"/>
    <w:rsid w:val="6B474EF5"/>
    <w:rsid w:val="6BBF53FD"/>
    <w:rsid w:val="6C00671D"/>
    <w:rsid w:val="6C560CAE"/>
    <w:rsid w:val="6C576495"/>
    <w:rsid w:val="6D903FF5"/>
    <w:rsid w:val="6DA955B8"/>
    <w:rsid w:val="6DE346AB"/>
    <w:rsid w:val="6DE5391A"/>
    <w:rsid w:val="6E2206A1"/>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17147</Words>
  <Characters>24854</Characters>
  <Lines>239</Lines>
  <Paragraphs>67</Paragraphs>
  <TotalTime>49</TotalTime>
  <ScaleCrop>false</ScaleCrop>
  <LinksUpToDate>false</LinksUpToDate>
  <CharactersWithSpaces>28019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2024-08-21T07:56:00Z</dcterms:created>
  <dc:creator>Administrator</dc:creator>
  <cp:lastModifiedBy>加贝</cp:lastModifiedBy>
  <dcterms:modified xsi:type="dcterms:W3CDTF">2025-07-29T06:31:04Z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