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垫江县太平镇产业融合发展服务中心</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围绕城市化功能区的发展定位，推动产城融合现代化新城的规划建设，为相关产业发展、延伸、升级以及融合提供政策咨询、市场信息、技术帮扶等服务，承担与产业发展相适应的基础设施建设和配套服务业集聚融合相关工作，负责组织实施产业发展与乡村振兴战略融合相关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太平镇人民政府下设6个相当于行政正股级财政全额拨款公益一类事业单位。具体设置分别是：农业服务中心、文化服务中心、劳动就业和社会保障服务所、退役军人服务站、综合行政执法大队、产业融合发展中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人民政府所属事业单位共核定财政全额拨款事业编制34名，其中：农业服务中心15名，文化服务中心3名，劳动就业和社会保障服务所7名，退役军人服务站2名，综合行政执法大队5名，产业融合发展中心2名。年末实有人数2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1.总体情况。2024年度收入总计43.51万元，支出总计43.51万元。收、支与2023年度相比，增加43.51万元，增长100.00%，主要原因是该单位为2024年新增独立核算与决算单位。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43.51万元，与2023年度相比，增加43.51万元，增长100.00%，主要原因是该单位为2024年新增独立核算与决算单位。其中：财政拨款收入43.51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43.51万元，与2023年度相比，增加43.51万元，增长100.00%，主要原因是该单位为2024年新增独立核算与决算单位。其中：基本支出43.51万元，占100.00%；项目支出0.00万元，占0.00%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4.结转结余情况。2024年度年末结转和结余0.00万元，与2023年度相比，无增减，主要原因是该单位为2024年无结转和结余。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2024年度财政拨款收、支总计43.51万元。与2023年相比，财政拨款收、支总计各增加43.51万元，增长100.00%。主要原因是该单位为2024年新增独立核算与决算单位。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43.51万元，与2023年度相比，增加43.51万元，增长100.00%。主要原因是该单位为2024年新增独立核算与决算单位。较年初预算数减少14.25万元，下降24.67%。主要原因是机构改革，将编制人员调入其他事业站。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43.51万元，与2023年度相比，增加43.51万元，增长100.00%。主要原因是该单位为2024年新增独立核算与决算单位。较年初预算数减少14.25万元，下降24.67%。主要原因是机构改革将编制人员调入其他事业站，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3.结转结余情况。2024年度年末一般公共预算财政拨款结转和结余0.00万元，与2023年度相比，无增减，主要原因是本年度无结转和结余。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（1）社会保障与就业支出6.48万元，占14.90%，较年初预算数增加1.25万元，增长23.90%，主要原因是机构改革将编制人员调入其他事业站，导致支出减少。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（2）卫生健康支出0.64万元，占1.48%，较年初预算数减少1.54万元，下降70.64%，主要原因是机构改革将编制人员调入其他事业站，导致支出减少。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（3）农林水支出31.43万元，占72.25%，较年初预算数减少16.30万元，下降34.15%，主要原因是机构改革将编制人员调入其他事业站，导致支出减少。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）住房保障支出4.95万元，占11.37%，较年初预算数增加2.33万元，增长88.93%，主要原因是为其他事业站指标不足时代支付</w:t>
      </w:r>
      <w:r>
        <w:rPr>
          <w:rFonts w:hint="eastAsia" w:ascii="Times New Roman" w:hAnsi="Times New Roman" w:eastAsia="方正仿宋_GBK" w:cs="Times New Roman"/>
          <w:sz w:val="32"/>
          <w:szCs w:val="32"/>
          <w:highlight w:val="none"/>
          <w:lang w:eastAsia="zh-CN"/>
        </w:rPr>
        <w:t>住房公积金</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2024年度一般公共财政拨款基本支出43.51万元。其中：人员经费39.75万元，与2023年度相比，增加39.75万元，增长100.00%，主要原因是该单位为2024年新增独立核算与决算单位。人员经费用途主要包括</w:t>
      </w:r>
      <w:r>
        <w:rPr>
          <w:rFonts w:hint="default" w:ascii="Times New Roman" w:hAnsi="Times New Roman" w:eastAsia="方正仿宋_GBK" w:cs="Times New Roman"/>
          <w:sz w:val="32"/>
          <w:szCs w:val="32"/>
        </w:rPr>
        <w:t>基本工资、津贴补贴、社会保障缴费、绩效工资、养老保险，职业年金、住房公积金等</w:t>
      </w:r>
      <w:r>
        <w:rPr>
          <w:rFonts w:hint="default" w:ascii="Times New Roman" w:hAnsi="Times New Roman" w:eastAsia="方正仿宋_GBK" w:cs="Times New Roman"/>
          <w:sz w:val="32"/>
          <w:szCs w:val="32"/>
        </w:rPr>
        <w:t>。公用经费3.76万元，与2023年度相比，增加3.76万元，增长100.00%，主要原因是该单位为2024年新增独立核算与决算单位。公用经费用途主要包括</w:t>
      </w:r>
      <w:r>
        <w:rPr>
          <w:rFonts w:hint="default" w:ascii="Times New Roman" w:hAnsi="Times New Roman" w:eastAsia="方正仿宋_GBK" w:cs="Times New Roman"/>
          <w:sz w:val="32"/>
          <w:szCs w:val="32"/>
        </w:rPr>
        <w:t>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2024年度国有资本经营预算财政拨本年支出0.00万元，基本支出0.00万元，项目支出0.00万元。本单位202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2024年度“三公”经费支出共计0.00万元，较年初预算数无增减，主要原因是按年初预算执行。较上年支出数无增减，主要原因是2023年度至2024年度无“三公”经费支出。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2024年度本单位因公出国（境）费用0.00万元，主要是用于部门公务出国（境）的国际旅费、国外城市间交通费、住宿费、伙食费、培训费、公杂费等。费用支出较年初预算数无增减，主要原因是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年度未发生因公出国（境）支出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w:t>
      </w: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rPr>
        <w:t>用</w:t>
      </w:r>
      <w:r>
        <w:rPr>
          <w:rFonts w:hint="default" w:ascii="Times New Roman" w:hAnsi="Times New Roman" w:eastAsia="方正仿宋_GBK" w:cs="Times New Roman"/>
          <w:sz w:val="32"/>
          <w:szCs w:val="32"/>
        </w:rPr>
        <w:t>车购置</w:t>
      </w:r>
      <w:r>
        <w:rPr>
          <w:rFonts w:hint="default" w:ascii="Times New Roman" w:hAnsi="Times New Roman" w:eastAsia="方正仿宋_GBK" w:cs="Times New Roman"/>
          <w:sz w:val="32"/>
          <w:szCs w:val="32"/>
        </w:rPr>
        <w:t>支出（含车辆购置税、牌照费）。费用支出较年初预算数无增减，主要原因是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年度未发生公务车购置费支出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公务车运行维护费0.00万元，主要用于</w:t>
      </w:r>
      <w:r>
        <w:rPr>
          <w:rFonts w:hint="default" w:ascii="Times New Roman" w:hAnsi="Times New Roman" w:eastAsia="方正仿宋_GBK" w:cs="Times New Roman"/>
          <w:sz w:val="32"/>
          <w:szCs w:val="32"/>
        </w:rPr>
        <w:t>机要文件交换、市内因公出行、各项工作检查等工作所需车辆的燃料费、维修费、过桥过路费、保险费等。</w:t>
      </w:r>
      <w:r>
        <w:rPr>
          <w:rFonts w:hint="default" w:ascii="Times New Roman" w:hAnsi="Times New Roman" w:eastAsia="方正仿宋_GBK" w:cs="Times New Roman"/>
          <w:sz w:val="32"/>
          <w:szCs w:val="32"/>
        </w:rPr>
        <w:t>费用支出较年初预算数无增减，主要原因是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运行维护费用</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rPr>
        <w:t>单位2023年度至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t>年度未发生公务车</w:t>
      </w:r>
      <w:r>
        <w:rPr>
          <w:rFonts w:hint="default" w:ascii="Times New Roman" w:hAnsi="Times New Roman" w:eastAsia="方正仿宋_GBK" w:cs="Times New Roman"/>
          <w:sz w:val="32"/>
          <w:szCs w:val="32"/>
        </w:rPr>
        <w:t>运行维护费</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公务接待费0.00万元，主要用于接待招商引资、接待县级部门及相关业务单位到我单位学习调研工作，接受相关部门检查指导工作发生的接待支出。费用支出较年初预算数无增减，主要原因是</w:t>
      </w:r>
      <w:r>
        <w:rPr>
          <w:rFonts w:hint="default" w:ascii="Times New Roman" w:hAnsi="Times New Roman" w:eastAsia="方正仿宋_GBK" w:cs="Times New Roman"/>
          <w:sz w:val="32"/>
          <w:szCs w:val="32"/>
        </w:rPr>
        <w:t>按年初预算执行</w:t>
      </w:r>
      <w:r>
        <w:rPr>
          <w:rFonts w:hint="default" w:ascii="Times New Roman" w:hAnsi="Times New Roman" w:eastAsia="方正仿宋_GBK" w:cs="Times New Roman"/>
          <w:sz w:val="32"/>
          <w:szCs w:val="32"/>
        </w:rPr>
        <w:t>。较上年支出数无增减，主要原因是</w:t>
      </w:r>
      <w:r>
        <w:rPr>
          <w:rFonts w:hint="default" w:ascii="Times New Roman" w:hAnsi="Times New Roman" w:eastAsia="方正仿宋_GBK" w:cs="Times New Roman"/>
          <w:sz w:val="32"/>
          <w:szCs w:val="32"/>
        </w:rPr>
        <w:t>2024年度公务接待费在本级列支。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本年度会议费支出0.00万元，与2023年度相比，无增减，主要原因是2024年度无会议费。本年度培训费支出0.00万元，与2023年度相比，无变化，主要原因是2024年度无培训费。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2024年度本单位机关运行经费支出0.00万元，机关运行经费较上年支出数无增减，主要原因是按照部门决算列报口径，我单位不在机关运行经费统计范围之内。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根据预算绩效管理要求，我单位无项目收入与支出，因此无二级项目绩效自评。</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rPr>
        <w:t>023-74536329</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pPr>
        <w:pStyle w:val="12"/>
        <w:autoSpaceDE w:val="0"/>
        <w:spacing w:line="594" w:lineRule="exact"/>
        <w:ind w:firstLine="643"/>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垫江县太平镇产业融合发展服务中心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43.51</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6.48</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0.64</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31.43</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4.95</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43.51</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43.51</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43.51</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43.51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垫江县太平镇产业融合发展服务中心</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4.98</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0.64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0.64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31.43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bookmarkStart w:id="0" w:name="_GoBack"/>
      <w:bookmarkEnd w:id="0"/>
    </w:p>
    <w:p>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6.48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4.98</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4.98</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1.51</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1.51</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0.64</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0.64</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0.64</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31.43</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31.43</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4.95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4.95</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4.95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6.48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31.43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4.95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43.51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eastAsia" w:ascii="Times New Roman" w:hAnsi="Times New Roman" w:eastAsia="宋体"/>
                <w:color w:val="000000"/>
                <w:sz w:val="18"/>
                <w:szCs w:val="18"/>
                <w:lang w:eastAsia="zh-CN"/>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43.51</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6.48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6.48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6.48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6.48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4.98</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4.98</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1.51</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1.51</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0.64</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0.64</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0.64</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0.64</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0.64</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0.64</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31.43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31.43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31.43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31.43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31.43</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31.43</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4.95</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4.95</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4.95</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4.95</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4.95</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4.95</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39.75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7.49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eastAsia="宋体" w:cs="宋体"/>
                <w:color w:val="000000"/>
                <w:sz w:val="18"/>
                <w:szCs w:val="18"/>
                <w:lang w:val="en-US" w:eastAsia="zh-CN"/>
              </w:rPr>
            </w:pPr>
            <w:r>
              <w:rPr>
                <w:rFonts w:cs="宋体"/>
                <w:color w:val="000000"/>
                <w:sz w:val="18"/>
                <w:szCs w:val="18"/>
              </w:rPr>
              <w:t>房屋建筑物</w:t>
            </w:r>
            <w:r>
              <w:rPr>
                <w:rFonts w:hint="eastAsia" w:cs="宋体"/>
                <w:color w:val="000000"/>
                <w:sz w:val="18"/>
                <w:szCs w:val="18"/>
                <w:highlight w:val="none"/>
                <w:lang w:val="en-US" w:eastAsia="zh-CN"/>
              </w:rPr>
              <w:t>购置建设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0.74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18.45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4.98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1.51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0.07</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3.19</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4.95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0.48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0.45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0.25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0.26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0.05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经常性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资本性</w:t>
            </w:r>
            <w:r>
              <w:rPr>
                <w:rFonts w:hint="eastAsia" w:cs="宋体"/>
                <w:color w:val="000000"/>
                <w:sz w:val="18"/>
                <w:szCs w:val="18"/>
                <w:highlight w:val="none"/>
                <w:lang w:eastAsia="zh-CN"/>
              </w:rPr>
              <w:t>赠予</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39.75</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3.76</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8"/>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垫江县太平镇产业融合发展服务中心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垫江县太平镇产业融合发展服务中心</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（二）相关统计</w:t>
            </w:r>
            <w:r>
              <w:rPr>
                <w:rFonts w:hint="eastAsia" w:cs="宋体"/>
                <w:b/>
                <w:bCs/>
                <w:color w:val="000000"/>
                <w:kern w:val="2"/>
                <w:sz w:val="16"/>
                <w:szCs w:val="16"/>
                <w:highlight w:val="none"/>
                <w:lang w:eastAsia="zh-CN"/>
              </w:rPr>
              <w:t>数据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3.19</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eastAsia" w:eastAsia="宋体"/>
                        <w:lang w:eastAsia="zh-CN"/>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72AA7"/>
    <w:rsid w:val="001D3BB7"/>
    <w:rsid w:val="002053A3"/>
    <w:rsid w:val="002B254B"/>
    <w:rsid w:val="0036569E"/>
    <w:rsid w:val="00466C9B"/>
    <w:rsid w:val="00477D74"/>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80DCD"/>
    <w:rsid w:val="00CD308D"/>
    <w:rsid w:val="00CF2ACF"/>
    <w:rsid w:val="00F73F90"/>
    <w:rsid w:val="00FB4B3B"/>
    <w:rsid w:val="01367BBE"/>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125B10"/>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7F6666"/>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8277C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A807F3"/>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1F210F"/>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651770"/>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3242E4"/>
    <w:rsid w:val="67924660"/>
    <w:rsid w:val="68407834"/>
    <w:rsid w:val="6883293E"/>
    <w:rsid w:val="688412AD"/>
    <w:rsid w:val="68EB1B71"/>
    <w:rsid w:val="69466D4A"/>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spacing w:line="425" w:lineRule="atLeast"/>
      <w:ind w:firstLine="420" w:firstLineChars="200"/>
      <w:textAlignment w:val="baseline"/>
    </w:pPr>
    <w:rPr>
      <w:rFonts w:ascii="Calibri" w:hAnsi="Calibri"/>
      <w:color w:val="000000"/>
      <w:szCs w:val="2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8603</Words>
  <Characters>10638</Characters>
  <Lines>94</Lines>
  <Paragraphs>26</Paragraphs>
  <TotalTime>15</TotalTime>
  <ScaleCrop>false</ScaleCrop>
  <LinksUpToDate>false</LinksUpToDate>
  <CharactersWithSpaces>10639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2025-09-17T08:45:46Z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