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垫江县太平镇劳动就业和社会保障服务所2024年度决算公开说明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劳动就业和社会保障服务所负责劳动就业和社会保障、农村劳务开发管理、养老、医疗、工伤、生育、失业保险、劳动关系协调、离退休人员社会管理服务等工作。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太平镇人民政府下设5个相当于行政正股级财政全额拨款公益一类事业单位。具体设置分别是：农业服务中心、文化服务中心、劳动就业和社会保障服务所、退役军人服务站、综合行政执法大队、产业融合发展中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编制是：垫江县太平镇人民政府所属事业单位共核定财政全额拨款事业编制34名，其中：农业服务中心15名，文化服务中心3名，劳动就业和社会保障服务所7名，退役军人服务站2名，综合行政执法大队5名，产业融合发展中心2名。年末实有人数7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1.总体情况。2024年度收入总计167.82万元，支出总计167.82万元。收、支与2023年度相比，减少32.33万元，下降16.15%，主要原因是2024年度调整编制，人员减少导致财政拨款减少。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2.收入情况。2024年度收入合计167.82万元，与2023年度相比，减少32.33万元，下降16.15%，主要原因是2024</w:t>
      </w:r>
      <w:r>
        <w:rPr>
          <w:rFonts w:hint="eastAsia" w:ascii="Times New Roman" w:hAnsi="Times New Roman" w:eastAsia="方正仿宋_GBK" w:cs="Times New Roman"/>
          <w:sz w:val="32"/>
          <w:szCs w:val="32"/>
          <w:highlight w:val="none"/>
          <w:lang w:eastAsia="zh-CN"/>
        </w:rPr>
        <w:t>年度</w:t>
      </w:r>
      <w:r>
        <w:rPr>
          <w:rFonts w:hint="default" w:ascii="Times New Roman" w:hAnsi="Times New Roman" w:eastAsia="方正仿宋_GBK" w:cs="Times New Roman"/>
          <w:sz w:val="32"/>
          <w:szCs w:val="32"/>
        </w:rPr>
        <w:t>调整编制，人员减少导致财政拨款收入减少。其中：财政拨款收入167.82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167.82万元，与2023年度相比，减少32.33万元，下降16.15%，主要原因是2024年度调整编制，人员减少导致财政拨款支出减少。其中：基本支出163.65万元，占97.51%；项目支出4.17万元，占2.49%；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4.结转结余情况。2024年度年末结转和结余0.00万元，与2023年度相比，无增减，主要原因是2024年度与2023年度未发生结转结余。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2024年度财政拨款收、支总计167.82万元。与2023年相比，财政拨款收、支总计各减少32.33万元，下降16.15%。主要原因是2024年度调整编制，人员减少导致财政拨款减少。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167.82万元，与2023年度相比，减少32.33万元，下降16.15%。主要原因是2023年未调整编制，将社保所2个编制调入其他事业站，导致收入减少。较年初预算数增加36.77万元，增长28.06%。主要原因是事业人员养老与职业年金调标</w:t>
      </w:r>
      <w:r>
        <w:rPr>
          <w:rFonts w:hint="eastAsia" w:ascii="Times New Roman" w:hAnsi="Times New Roman" w:eastAsia="方正仿宋_GBK" w:cs="Times New Roman"/>
          <w:sz w:val="32"/>
          <w:szCs w:val="32"/>
          <w:highlight w:val="none"/>
          <w:lang w:eastAsia="zh-CN"/>
        </w:rPr>
        <w:t>补缴</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167.82万元，与2023年度相比，减少32.33万元，下降16.15%。主要原因是2023年未调整编制，将社保所2个编制调入其他事业站，导致支出减少。较年初预算数增加36.77万元，增长28.06%。主要原因是事业人员养老与职业年金调标</w:t>
      </w:r>
      <w:r>
        <w:rPr>
          <w:rFonts w:hint="eastAsia" w:ascii="Times New Roman" w:hAnsi="Times New Roman" w:eastAsia="方正仿宋_GBK" w:cs="Times New Roman"/>
          <w:sz w:val="32"/>
          <w:szCs w:val="32"/>
          <w:highlight w:val="none"/>
          <w:lang w:eastAsia="zh-CN"/>
        </w:rPr>
        <w:t>补缴</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3.结转结余情况。2024年度年末一般公共预算财政拨款结转和结余0.00万元，与2023年度相比，无增减，主要原因是2023年度至2024年度未发生结转结余。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（1）社会保障与就业支出152.96万元，占91.15%，较年初预算数增加33.76万元，增长28.32%，主要原因是年初对事业人员补缴养老保险与调标部分无预算，执行中追加。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（2）卫生健康支出5.39万元，占3.21%，较年初预算数无增减，主要原因是支出按预算执行。</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（3）住房保障支出9.47万元，占5.64%，较年初预算数增加3.00万元，增长46.37%，主要原因是年初预算不足，执行中追加经费。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163.65万元。其中：人员经费155.56万元，与2023年度相比，减少13.88万元，下降8.19%，主要原因是2024年度无补发其他年度事业人员往年超额绩效。人员经费用途主要包括基本工资、津贴补贴、社会保障缴费、绩效工资、养老保险，职业年金、住房公积金等。公用经费8.08万元，与2023年度相比，减少11.09万元，下降57.85%，主要原因是压缩经费，减少公用经费支出。公用经费用途主要包括办公费、会议费、水费、电费、邮电费、差旅费、公务接待费、劳务费、公务用车运行维护费、其他商品和服务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2024年度国有资本经营预算财政拨本年支出0.00万元，基本支出0.00万元，项目支出0.00万元。本单位2024年度无国有资本经营预算财政拨款支出。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2024年度“三公”经费支出共计0.00万元，较年初预算数无增减，主要原因是按年初预算执行。较上年支出数无增减，主要原因是2023年度至2024年度无“三公”经费支出。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主要是用于部门公务出国（境）的国际旅费、国外城市间交通费、住宿费、伙食费、培训费、公杂费等。费用支出较年初预算数无增减，主要原因是本单位2024年度未发生因公出国（境）支出。较上年支出数无增减，主要原因是本单位2023年度至2024年度未发生因公出国（境）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主要用于公务用车购置支出（含车辆购置税、牌照费）。费用支出较年初预算数无增减，主要原因是本单位2024年度未发生公务车购置费支出。较上年支出数无增减，主要原因是本单位2023年度至2024年度未发生公务车购置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主要用于机要文件交换、市内因公出行、各项工作检查等工作所需车辆的燃料费、维修费、过桥过路费、保险费等。费用支出较年初预算数无增减，主要原因是本单位2024年度未发生公务车运行维护费用支出。较上年支出数无增减，主要原因是本单位2023年度至2024年度未发生公务车运行维护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主要用于接待招商引资、接待县级部门及相关业务单位到我单位学习调研工作，接受相关部门检查指导工作发生的接待支出。费用支出较年初预算数无增减，主要原因是按年初预算执行。较上年支出数无增减，主要原因是2024年度公务接待费在本级列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本年度会议费支出0.00万元，与2023年度相比，无增减，主要原因是2024年度无会议费。本年度培训费支出0.00万元，与2023年度相比，无变化，主要原因是2024年度无培训费。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2024年度本单位机关运行经费支出0.00万元，机关运行经费较上年支出数无增减，主要原因是按照部门决算列报口径，我单位不在机关运行经费统计范围之内。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根据预算绩效管理要求，我单位对1个二级项目开展了绩效自评，涉及财政拨款项目支出资金4.17万元</w:t>
      </w:r>
      <w:r>
        <w:rPr>
          <w:rFonts w:hint="eastAsia" w:ascii="Times New Roman" w:hAnsi="Times New Roman" w:eastAsia="方正仿宋_GBK" w:cs="Times New Roman"/>
          <w:sz w:val="32"/>
          <w:szCs w:val="32"/>
          <w:lang w:eastAsia="zh-CN"/>
        </w:rPr>
        <w:t>。</w:t>
      </w: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p>
      <w:pPr>
        <w:spacing w:line="594" w:lineRule="exact"/>
        <w:jc w:val="center"/>
        <w:textAlignment w:val="center"/>
        <w:rPr>
          <w:rFonts w:hint="default" w:ascii="微软雅黑" w:hAnsi="微软雅黑" w:eastAsia="微软雅黑" w:cs="微软雅黑"/>
          <w:b/>
          <w:color w:val="000000"/>
          <w:sz w:val="40"/>
          <w:szCs w:val="40"/>
          <w:lang w:bidi="ar"/>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8622" w:type="dxa"/>
        <w:jc w:val="center"/>
        <w:tblInd w:w="0" w:type="dxa"/>
        <w:tblLayout w:type="fixed"/>
        <w:tblCellMar>
          <w:top w:w="0" w:type="dxa"/>
          <w:left w:w="0" w:type="dxa"/>
          <w:bottom w:w="0" w:type="dxa"/>
          <w:right w:w="0" w:type="dxa"/>
        </w:tblCellMar>
      </w:tblPr>
      <w:tblGrid>
        <w:gridCol w:w="1243"/>
        <w:gridCol w:w="787"/>
        <w:gridCol w:w="787"/>
        <w:gridCol w:w="633"/>
        <w:gridCol w:w="711"/>
        <w:gridCol w:w="814"/>
        <w:gridCol w:w="565"/>
        <w:gridCol w:w="331"/>
        <w:gridCol w:w="745"/>
        <w:gridCol w:w="681"/>
        <w:gridCol w:w="1325"/>
      </w:tblGrid>
      <w:tr>
        <w:tblPrEx>
          <w:tblLayout w:type="fixed"/>
          <w:tblCellMar>
            <w:top w:w="0" w:type="dxa"/>
            <w:left w:w="0" w:type="dxa"/>
            <w:bottom w:w="0" w:type="dxa"/>
            <w:right w:w="0" w:type="dxa"/>
          </w:tblCellMar>
        </w:tblPrEx>
        <w:trPr>
          <w:trHeight w:val="807" w:hRule="atLeast"/>
          <w:jc w:val="center"/>
        </w:trPr>
        <w:tc>
          <w:tcPr>
            <w:tcW w:w="862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800" w:firstLineChars="200"/>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4" w:hRule="atLeast"/>
          <w:jc w:val="center"/>
        </w:trPr>
        <w:tc>
          <w:tcPr>
            <w:tcW w:w="862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项目名称：</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高校毕业生“三支一扶”计划补助资金</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项目编码：</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50023122T000002048719</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自评总分：</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80.00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rPr>
                <w:rFonts w:hint="default" w:cs="宋体"/>
                <w:b/>
                <w:color w:val="000000"/>
                <w:sz w:val="22"/>
                <w:szCs w:val="2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项目主管部门：</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财政归口处室：</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部门联系人：</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eastAsia" w:eastAsia="宋体" w:cs="宋体"/>
                <w:color w:val="000000"/>
                <w:sz w:val="22"/>
                <w:szCs w:val="22"/>
                <w:lang w:eastAsia="zh-CN"/>
              </w:rPr>
            </w:pPr>
            <w:r>
              <w:rPr>
                <w:rFonts w:cs="宋体"/>
                <w:color w:val="000000"/>
                <w:sz w:val="22"/>
                <w:szCs w:val="22"/>
                <w:lang w:bidi="ar"/>
              </w:rPr>
              <w:t>周</w:t>
            </w:r>
            <w:r>
              <w:rPr>
                <w:rFonts w:hint="eastAsia" w:cs="宋体"/>
                <w:color w:val="000000"/>
                <w:sz w:val="22"/>
                <w:szCs w:val="22"/>
                <w:lang w:val="en-US" w:eastAsia="zh-CN" w:bidi="ar"/>
              </w:rPr>
              <w:t>老师</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联系电话：</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ind w:firstLine="440" w:firstLineChars="200"/>
              <w:jc w:val="center"/>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605" w:hRule="atLeast"/>
          <w:jc w:val="center"/>
        </w:trPr>
        <w:tc>
          <w:tcPr>
            <w:tcW w:w="862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trHeight w:val="504" w:hRule="atLeast"/>
          <w:jc w:val="center"/>
        </w:trPr>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年初预算数</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全年（调整）预算数</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全年执行数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执行率权重</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年度总金额</w:t>
            </w:r>
          </w:p>
        </w:tc>
        <w:tc>
          <w:tcPr>
            <w:tcW w:w="7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78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6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0.00</w:t>
            </w:r>
          </w:p>
        </w:tc>
        <w:tc>
          <w:tcPr>
            <w:tcW w:w="71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8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cs="宋体"/>
                <w:color w:val="000000"/>
                <w:sz w:val="22"/>
                <w:szCs w:val="22"/>
              </w:rPr>
            </w:pPr>
            <w:r>
              <w:rPr>
                <w:rFonts w:cs="宋体"/>
                <w:color w:val="000000"/>
                <w:sz w:val="22"/>
                <w:szCs w:val="22"/>
                <w:lang w:bidi="ar"/>
              </w:rPr>
              <w:t>41,721.00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41,721.00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其中：财政拨款</w:t>
            </w:r>
          </w:p>
        </w:tc>
        <w:tc>
          <w:tcPr>
            <w:tcW w:w="7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78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6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0.00</w:t>
            </w:r>
          </w:p>
        </w:tc>
        <w:tc>
          <w:tcPr>
            <w:tcW w:w="71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8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cs="宋体"/>
                <w:color w:val="000000"/>
                <w:sz w:val="22"/>
                <w:szCs w:val="22"/>
              </w:rPr>
            </w:pPr>
            <w:r>
              <w:rPr>
                <w:rFonts w:cs="宋体"/>
                <w:color w:val="000000"/>
                <w:sz w:val="22"/>
                <w:szCs w:val="22"/>
                <w:lang w:bidi="ar"/>
              </w:rPr>
              <w:t>41,721.00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41,721.00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10.00</w:t>
            </w: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一般公共预算</w:t>
            </w:r>
          </w:p>
        </w:tc>
        <w:tc>
          <w:tcPr>
            <w:tcW w:w="7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78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6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0.00</w:t>
            </w:r>
          </w:p>
        </w:tc>
        <w:tc>
          <w:tcPr>
            <w:tcW w:w="71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8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cs="宋体"/>
                <w:color w:val="000000"/>
                <w:sz w:val="22"/>
                <w:szCs w:val="22"/>
              </w:rPr>
            </w:pPr>
            <w:r>
              <w:rPr>
                <w:rFonts w:cs="宋体"/>
                <w:color w:val="000000"/>
                <w:sz w:val="22"/>
                <w:szCs w:val="22"/>
                <w:lang w:bidi="ar"/>
              </w:rPr>
              <w:t>41,721.00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41,721.00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0" w:firstLineChars="200"/>
              <w:jc w:val="center"/>
              <w:rPr>
                <w:rFonts w:hint="default" w:cs="宋体"/>
                <w:color w:val="000000"/>
                <w:sz w:val="22"/>
                <w:szCs w:val="22"/>
              </w:rPr>
            </w:pPr>
          </w:p>
        </w:tc>
      </w:tr>
      <w:tr>
        <w:tblPrEx>
          <w:tblLayout w:type="fixed"/>
          <w:tblCellMar>
            <w:top w:w="0" w:type="dxa"/>
            <w:left w:w="0" w:type="dxa"/>
            <w:bottom w:w="0" w:type="dxa"/>
            <w:right w:w="0" w:type="dxa"/>
          </w:tblCellMar>
        </w:tblPrEx>
        <w:trPr>
          <w:trHeight w:val="605" w:hRule="atLeast"/>
          <w:jc w:val="center"/>
        </w:trPr>
        <w:tc>
          <w:tcPr>
            <w:tcW w:w="862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504" w:hRule="atLeast"/>
          <w:jc w:val="center"/>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年初绩效目标</w:t>
            </w:r>
          </w:p>
        </w:tc>
        <w:tc>
          <w:tcPr>
            <w:tcW w:w="242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484" w:hRule="atLeast"/>
          <w:jc w:val="center"/>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594" w:lineRule="exact"/>
              <w:ind w:firstLine="440" w:firstLineChars="200"/>
              <w:jc w:val="center"/>
              <w:textAlignment w:val="top"/>
              <w:rPr>
                <w:rFonts w:hint="default" w:cs="宋体"/>
                <w:color w:val="000000"/>
                <w:sz w:val="22"/>
                <w:szCs w:val="22"/>
              </w:rPr>
            </w:pPr>
            <w:r>
              <w:rPr>
                <w:rFonts w:cs="宋体"/>
                <w:color w:val="000000"/>
                <w:sz w:val="22"/>
                <w:szCs w:val="22"/>
                <w:lang w:bidi="ar"/>
              </w:rPr>
              <w:t>完成</w:t>
            </w:r>
            <w:r>
              <w:rPr>
                <w:rFonts w:hint="eastAsia" w:cs="宋体"/>
                <w:color w:val="000000"/>
                <w:sz w:val="22"/>
                <w:szCs w:val="22"/>
                <w:highlight w:val="none"/>
                <w:lang w:eastAsia="zh-CN" w:bidi="ar"/>
              </w:rPr>
              <w:t>党委、政府</w:t>
            </w:r>
            <w:r>
              <w:rPr>
                <w:rFonts w:cs="宋体"/>
                <w:color w:val="000000"/>
                <w:sz w:val="22"/>
                <w:szCs w:val="22"/>
                <w:lang w:bidi="ar"/>
              </w:rPr>
              <w:t>安排工作</w:t>
            </w:r>
          </w:p>
        </w:tc>
        <w:tc>
          <w:tcPr>
            <w:tcW w:w="24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594" w:lineRule="exact"/>
              <w:ind w:firstLine="440" w:firstLineChars="200"/>
              <w:jc w:val="center"/>
              <w:textAlignment w:val="top"/>
              <w:rPr>
                <w:rFonts w:hint="default" w:cs="宋体"/>
                <w:color w:val="000000"/>
                <w:sz w:val="22"/>
                <w:szCs w:val="22"/>
              </w:rPr>
            </w:pPr>
            <w:r>
              <w:rPr>
                <w:rFonts w:cs="宋体"/>
                <w:color w:val="000000"/>
                <w:sz w:val="22"/>
                <w:szCs w:val="22"/>
                <w:lang w:bidi="ar"/>
              </w:rPr>
              <w:t>完成</w:t>
            </w:r>
            <w:r>
              <w:rPr>
                <w:rFonts w:hint="eastAsia" w:cs="宋体"/>
                <w:color w:val="000000"/>
                <w:sz w:val="22"/>
                <w:szCs w:val="22"/>
                <w:highlight w:val="none"/>
                <w:lang w:eastAsia="zh-CN" w:bidi="ar"/>
              </w:rPr>
              <w:t>党委、政府</w:t>
            </w:r>
            <w:r>
              <w:rPr>
                <w:rFonts w:cs="宋体"/>
                <w:color w:val="000000"/>
                <w:sz w:val="22"/>
                <w:szCs w:val="22"/>
                <w:lang w:bidi="ar"/>
              </w:rPr>
              <w:t>安排工作</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594" w:lineRule="exact"/>
              <w:jc w:val="center"/>
              <w:textAlignment w:val="top"/>
              <w:rPr>
                <w:rFonts w:hint="default" w:cs="宋体"/>
                <w:color w:val="000000"/>
                <w:sz w:val="22"/>
                <w:szCs w:val="22"/>
              </w:rPr>
            </w:pPr>
            <w:r>
              <w:rPr>
                <w:rFonts w:cs="宋体"/>
                <w:color w:val="000000"/>
                <w:sz w:val="22"/>
                <w:szCs w:val="22"/>
                <w:lang w:bidi="ar"/>
              </w:rPr>
              <w:t>完成</w:t>
            </w:r>
            <w:r>
              <w:rPr>
                <w:rFonts w:hint="eastAsia" w:cs="宋体"/>
                <w:color w:val="000000"/>
                <w:sz w:val="22"/>
                <w:szCs w:val="22"/>
                <w:highlight w:val="none"/>
                <w:lang w:eastAsia="zh-CN" w:bidi="ar"/>
              </w:rPr>
              <w:t>党委、政府</w:t>
            </w:r>
            <w:r>
              <w:rPr>
                <w:rFonts w:cs="宋体"/>
                <w:color w:val="000000"/>
                <w:sz w:val="22"/>
                <w:szCs w:val="22"/>
                <w:lang w:bidi="ar"/>
              </w:rPr>
              <w:t>安排工作</w:t>
            </w:r>
          </w:p>
        </w:tc>
      </w:tr>
      <w:tr>
        <w:tblPrEx>
          <w:tblLayout w:type="fixed"/>
          <w:tblCellMar>
            <w:top w:w="0" w:type="dxa"/>
            <w:left w:w="0" w:type="dxa"/>
            <w:bottom w:w="0" w:type="dxa"/>
            <w:right w:w="0" w:type="dxa"/>
          </w:tblCellMar>
        </w:tblPrEx>
        <w:trPr>
          <w:trHeight w:val="605" w:hRule="atLeast"/>
          <w:jc w:val="center"/>
        </w:trPr>
        <w:tc>
          <w:tcPr>
            <w:tcW w:w="862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指标名称</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计量单位</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指标性质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指标值</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全年完成值</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偏离度（%）</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得分系数（%）</w:t>
            </w: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指标权重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是否核心指标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cs="宋体"/>
                <w:color w:val="000000"/>
                <w:sz w:val="20"/>
                <w:szCs w:val="20"/>
              </w:rPr>
            </w:pPr>
            <w:r>
              <w:rPr>
                <w:rFonts w:hint="eastAsia" w:cs="宋体"/>
                <w:color w:val="000000"/>
                <w:sz w:val="20"/>
                <w:szCs w:val="20"/>
                <w:highlight w:val="none"/>
                <w:lang w:eastAsia="zh-CN" w:bidi="ar"/>
              </w:rPr>
              <w:t>“三支一扶”</w:t>
            </w:r>
            <w:r>
              <w:rPr>
                <w:rFonts w:cs="宋体"/>
                <w:color w:val="000000"/>
                <w:sz w:val="20"/>
                <w:szCs w:val="20"/>
                <w:lang w:bidi="ar"/>
              </w:rPr>
              <w:t>人员数量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人</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20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cs="宋体"/>
                <w:color w:val="000000"/>
                <w:sz w:val="20"/>
                <w:szCs w:val="20"/>
              </w:rPr>
            </w:pPr>
            <w:r>
              <w:rPr>
                <w:rFonts w:hint="eastAsia" w:cs="宋体"/>
                <w:color w:val="000000"/>
                <w:sz w:val="20"/>
                <w:szCs w:val="20"/>
                <w:highlight w:val="none"/>
                <w:lang w:eastAsia="zh-CN" w:bidi="ar"/>
              </w:rPr>
              <w:t>“三支一扶”</w:t>
            </w:r>
            <w:r>
              <w:rPr>
                <w:rFonts w:cs="宋体"/>
                <w:color w:val="000000"/>
                <w:sz w:val="20"/>
                <w:szCs w:val="20"/>
                <w:lang w:bidi="ar"/>
              </w:rPr>
              <w:t>人员工作完成质量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hint="eastAsia" w:cs="宋体"/>
                <w:color w:val="000000"/>
                <w:sz w:val="20"/>
                <w:szCs w:val="20"/>
                <w:highlight w:val="none"/>
                <w:lang w:eastAsia="zh-CN" w:bidi="ar"/>
              </w:rPr>
              <w:t>“三支一扶”</w:t>
            </w:r>
            <w:r>
              <w:rPr>
                <w:rFonts w:cs="宋体"/>
                <w:color w:val="000000"/>
                <w:sz w:val="20"/>
                <w:szCs w:val="20"/>
                <w:lang w:bidi="ar"/>
              </w:rPr>
              <w:t>人员补助发放及时性</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保障</w:t>
            </w:r>
            <w:r>
              <w:rPr>
                <w:rFonts w:hint="eastAsia" w:cs="宋体"/>
                <w:color w:val="000000"/>
                <w:sz w:val="20"/>
                <w:szCs w:val="20"/>
                <w:highlight w:val="none"/>
                <w:lang w:eastAsia="zh-CN" w:bidi="ar"/>
              </w:rPr>
              <w:t>“三支一扶”</w:t>
            </w:r>
            <w:r>
              <w:rPr>
                <w:rFonts w:cs="宋体"/>
                <w:color w:val="000000"/>
                <w:sz w:val="20"/>
                <w:szCs w:val="20"/>
                <w:lang w:bidi="ar"/>
              </w:rPr>
              <w:t>人员生活</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定性</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好</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20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both"/>
              <w:textAlignment w:val="center"/>
              <w:rPr>
                <w:rFonts w:hint="default" w:cs="宋体"/>
                <w:color w:val="000000"/>
                <w:sz w:val="20"/>
                <w:szCs w:val="20"/>
              </w:rPr>
            </w:pPr>
            <w:r>
              <w:rPr>
                <w:rFonts w:cs="宋体"/>
                <w:color w:val="000000"/>
                <w:sz w:val="20"/>
                <w:szCs w:val="20"/>
                <w:lang w:bidi="ar"/>
              </w:rPr>
              <w:t>服务对象满意度</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96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96</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r>
      <w:tr>
        <w:tblPrEx>
          <w:tblLayout w:type="fixed"/>
          <w:tblCellMar>
            <w:top w:w="0" w:type="dxa"/>
            <w:left w:w="0" w:type="dxa"/>
            <w:bottom w:w="0" w:type="dxa"/>
            <w:right w:w="0" w:type="dxa"/>
          </w:tblCellMar>
        </w:tblPrEx>
        <w:trPr>
          <w:trHeight w:val="504"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both"/>
              <w:textAlignment w:val="center"/>
              <w:rPr>
                <w:rFonts w:hint="default" w:cs="宋体"/>
                <w:color w:val="000000"/>
                <w:sz w:val="20"/>
                <w:szCs w:val="20"/>
              </w:rPr>
            </w:pPr>
            <w:r>
              <w:rPr>
                <w:rFonts w:cs="宋体"/>
                <w:color w:val="000000"/>
                <w:sz w:val="20"/>
                <w:szCs w:val="20"/>
                <w:lang w:bidi="ar"/>
              </w:rPr>
              <w:t>工作补助</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元</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120000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4.17</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0</w:t>
            </w: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textAlignment w:val="center"/>
              <w:rPr>
                <w:rFonts w:hint="default" w:cs="宋体"/>
                <w:color w:val="000000"/>
                <w:sz w:val="20"/>
                <w:szCs w:val="20"/>
              </w:rPr>
            </w:pPr>
            <w:r>
              <w:rPr>
                <w:rFonts w:cs="宋体"/>
                <w:color w:val="000000"/>
                <w:sz w:val="20"/>
                <w:szCs w:val="20"/>
                <w:lang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400" w:firstLineChars="200"/>
              <w:jc w:val="center"/>
              <w:rPr>
                <w:rFonts w:hint="default" w:cs="宋体"/>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both"/>
              <w:textAlignment w:val="center"/>
              <w:rPr>
                <w:rFonts w:hint="default" w:cs="宋体"/>
                <w:color w:val="000000"/>
                <w:sz w:val="20"/>
                <w:szCs w:val="20"/>
              </w:rPr>
            </w:pPr>
            <w:r>
              <w:rPr>
                <w:rFonts w:cs="宋体"/>
                <w:color w:val="000000"/>
                <w:sz w:val="20"/>
                <w:szCs w:val="20"/>
                <w:lang w:bidi="ar"/>
              </w:rPr>
              <w:t>剩余工资在本级专项资金中支出</w:t>
            </w:r>
          </w:p>
        </w:tc>
      </w:tr>
    </w:tbl>
    <w:p>
      <w:pPr>
        <w:pStyle w:val="11"/>
        <w:autoSpaceDE w:val="0"/>
        <w:spacing w:line="594" w:lineRule="exact"/>
        <w:ind w:firstLine="0" w:firstLineChars="0"/>
        <w:rPr>
          <w:rFonts w:ascii="楷体" w:hAnsi="楷体" w:eastAsia="楷体" w:cs="楷体"/>
          <w:b/>
          <w:bCs/>
          <w:shd w:val="clear" w:color="auto" w:fill="FFFFFF"/>
        </w:rPr>
        <w:sectPr>
          <w:headerReference r:id="rId4" w:type="default"/>
          <w:footerReference r:id="rId5" w:type="default"/>
          <w:pgSz w:w="11907" w:h="16839"/>
          <w:pgMar w:top="1531" w:right="2098" w:bottom="1531" w:left="1985" w:header="0" w:footer="283" w:gutter="0"/>
          <w:pgNumType w:fmt="numberInDash"/>
          <w:cols w:space="720" w:num="1"/>
          <w:docGrid w:type="lines" w:linePitch="326" w:charSpace="0"/>
        </w:sect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县财政局未委托第三方对我单位开展绩效评价。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rPr>
        <w:t>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本单位决算公开信息反馈和联系方式：023-74536329</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p>
    <w:p>
      <w:pPr>
        <w:pStyle w:val="12"/>
        <w:shd w:val="clear" w:color="auto" w:fill="FFFFFF"/>
        <w:spacing w:before="0" w:beforeAutospacing="0" w:after="0" w:afterAutospacing="0" w:line="540" w:lineRule="exact"/>
        <w:ind w:firstLine="640" w:firstLineChars="200"/>
        <w:rPr>
          <w:rFonts w:ascii="Times New Roman" w:hAnsi="Times New Roman" w:eastAsia="方正仿宋_GBK"/>
          <w:sz w:val="32"/>
          <w:szCs w:val="32"/>
          <w:shd w:val="clear" w:color="auto" w:fill="FFFFFF"/>
          <w:lang w:bidi="ar"/>
        </w:rPr>
        <w:sectPr>
          <w:pgSz w:w="11907" w:h="16839"/>
          <w:pgMar w:top="1531" w:right="2098" w:bottom="1531" w:left="1985" w:header="0" w:footer="283" w:gutter="0"/>
          <w:pgNumType w:fmt="numberInDash"/>
          <w:cols w:space="0" w:num="1"/>
          <w:docGrid w:type="lines" w:linePitch="326" w:charSpace="0"/>
        </w:sectPr>
      </w:pPr>
    </w:p>
    <w:p>
      <w:pPr>
        <w:pStyle w:val="6"/>
        <w:snapToGrid w:val="0"/>
        <w:spacing w:before="0" w:beforeAutospacing="0" w:after="0" w:afterAutospacing="0" w:line="594" w:lineRule="exact"/>
        <w:jc w:val="both"/>
        <w:rPr>
          <w:rFonts w:hint="default" w:ascii="Times New Roman" w:hAnsi="Times New Roman" w:eastAsia="方正仿宋_GBK"/>
          <w:sz w:val="32"/>
          <w:szCs w:val="32"/>
          <w:shd w:val="clear" w:color="auto" w:fill="FFFFFF"/>
          <w:lang w:bidi="ar"/>
        </w:r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垫江县太平镇劳动就业和社会保障服务所</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167.82</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152.96</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5.39</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9.47</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167.82</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167.82</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167.82</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167.82</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垫江县太平镇劳动就业和社会保障服务所</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167.82</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167.82</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152.96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152.96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116.52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116.52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112.35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112.35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4.17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4.17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36.44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36.44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25.06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25.06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11.39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11.39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5.39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5.39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5.39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5.39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5.39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5.39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9.47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9.47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9.47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9.47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9.47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9.47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bookmarkStart w:id="0" w:name="_GoBack"/>
      <w:bookmarkEnd w:id="0"/>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eastAsia" w:eastAsia="宋体" w:cs="宋体"/>
                <w:color w:val="000000"/>
                <w:sz w:val="20"/>
                <w:szCs w:val="20"/>
                <w:lang w:eastAsia="zh-CN"/>
              </w:rPr>
            </w:pPr>
            <w:r>
              <w:rPr>
                <w:rFonts w:cs="宋体"/>
                <w:sz w:val="20"/>
                <w:szCs w:val="20"/>
              </w:rPr>
              <w:t>单位</w:t>
            </w:r>
            <w:r>
              <w:rPr>
                <w:rFonts w:cs="宋体"/>
                <w:color w:val="000000"/>
                <w:sz w:val="20"/>
                <w:szCs w:val="20"/>
              </w:rPr>
              <w:t>：</w:t>
            </w:r>
            <w:r>
              <w:rPr>
                <w:color w:val="000000"/>
                <w:sz w:val="20"/>
              </w:rPr>
              <w:t>垫江县太平镇劳动就业和社会保障服务所</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167.82</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163.65</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4.17</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152.96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148.79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4.17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116.52</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112.35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4.17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112.35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112.35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4.17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4.17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36.44</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36.44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25.06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25.06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11.39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11.39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5.39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5.39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5.39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5.39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5.39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5.39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9.47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9.47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9.47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9.47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9.47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9.47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167.82</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152.96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152.96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5.39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5.39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9.47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9.47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167.82</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167.82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167.82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167.82</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167.82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167.82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垫江县太平镇劳动就业和社会保障服务所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167.82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163.65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4.17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152.96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148.79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4.17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116.52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112.35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4.17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112.35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112.35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4.17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4.17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36.44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36.44</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25.06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25.06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11.39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11.39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5.39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5.39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5.39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5.39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5.39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5.39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9.47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9.47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9.47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9.47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9.47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9.47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垫江县太平镇劳动就业和社会保障服务所</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155.56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8.08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29.06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eastAsia="宋体" w:cs="宋体"/>
                <w:color w:val="000000"/>
                <w:sz w:val="18"/>
                <w:szCs w:val="18"/>
                <w:lang w:val="en-US" w:eastAsia="zh-CN"/>
              </w:rPr>
            </w:pPr>
            <w:r>
              <w:rPr>
                <w:rFonts w:cs="宋体"/>
                <w:color w:val="000000"/>
                <w:sz w:val="18"/>
                <w:szCs w:val="18"/>
              </w:rPr>
              <w:t>房屋建筑物</w:t>
            </w:r>
            <w:r>
              <w:rPr>
                <w:rFonts w:hint="eastAsia" w:cs="宋体"/>
                <w:color w:val="000000"/>
                <w:sz w:val="18"/>
                <w:szCs w:val="18"/>
                <w:highlight w:val="none"/>
                <w:lang w:eastAsia="zh-CN"/>
              </w:rPr>
              <w:t>构</w:t>
            </w:r>
            <w:r>
              <w:rPr>
                <w:rFonts w:hint="eastAsia" w:cs="宋体"/>
                <w:color w:val="000000"/>
                <w:sz w:val="18"/>
                <w:szCs w:val="18"/>
                <w:highlight w:val="none"/>
                <w:lang w:val="en-US" w:eastAsia="zh-CN"/>
              </w:rPr>
              <w:t>置</w:t>
            </w:r>
            <w:r>
              <w:rPr>
                <w:rFonts w:hint="eastAsia" w:cs="宋体"/>
                <w:color w:val="000000"/>
                <w:sz w:val="18"/>
                <w:szCs w:val="18"/>
                <w:highlight w:val="none"/>
                <w:lang w:eastAsia="zh-CN"/>
              </w:rPr>
              <w:t>建</w:t>
            </w:r>
            <w:r>
              <w:rPr>
                <w:rFonts w:hint="eastAsia" w:cs="宋体"/>
                <w:color w:val="000000"/>
                <w:sz w:val="18"/>
                <w:szCs w:val="18"/>
                <w:highlight w:val="none"/>
                <w:lang w:val="en-US" w:eastAsia="zh-CN"/>
              </w:rPr>
              <w:t>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68.61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25.06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11.39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5.39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0.16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7.00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9.47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0.96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0.65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0.44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经常性</w:t>
            </w:r>
            <w:r>
              <w:rPr>
                <w:rFonts w:hint="eastAsia" w:cs="宋体"/>
                <w:color w:val="000000"/>
                <w:sz w:val="18"/>
                <w:szCs w:val="18"/>
                <w:highlight w:val="none"/>
                <w:lang w:eastAsia="zh-CN"/>
              </w:rPr>
              <w:t>赠予</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资本性</w:t>
            </w:r>
            <w:r>
              <w:rPr>
                <w:rFonts w:hint="eastAsia" w:cs="宋体"/>
                <w:color w:val="000000"/>
                <w:sz w:val="18"/>
                <w:szCs w:val="18"/>
                <w:highlight w:val="none"/>
                <w:lang w:eastAsia="zh-CN"/>
              </w:rPr>
              <w:t>赠予</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155.56</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8.08</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垫江县太平镇劳动就业和社会保障服务所</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4.</w:t>
            </w:r>
            <w:r>
              <w:rPr>
                <w:rFonts w:cs="宋体"/>
                <w:b/>
                <w:bCs/>
                <w:color w:val="000000"/>
                <w:kern w:val="2"/>
                <w:sz w:val="16"/>
                <w:szCs w:val="16"/>
              </w:rPr>
              <w:t>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5.</w:t>
            </w:r>
            <w:r>
              <w:rPr>
                <w:rFonts w:cs="宋体"/>
                <w:b/>
                <w:bCs/>
                <w:color w:val="000000"/>
                <w:kern w:val="2"/>
                <w:sz w:val="16"/>
                <w:szCs w:val="16"/>
              </w:rPr>
              <w:t>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eastAsia" w:eastAsia="宋体" w:cs="宋体"/>
                <w:b/>
                <w:bCs/>
                <w:color w:val="000000"/>
                <w:kern w:val="2"/>
                <w:sz w:val="16"/>
                <w:szCs w:val="16"/>
                <w:lang w:val="en-US" w:eastAsia="zh-CN"/>
              </w:rPr>
            </w:pPr>
            <w:r>
              <w:rPr>
                <w:rFonts w:cs="宋体"/>
                <w:b/>
                <w:bCs/>
                <w:color w:val="000000"/>
                <w:kern w:val="2"/>
                <w:sz w:val="16"/>
                <w:szCs w:val="16"/>
              </w:rPr>
              <w:t>（二）相关统计</w:t>
            </w:r>
            <w:r>
              <w:rPr>
                <w:rFonts w:hint="eastAsia" w:cs="宋体"/>
                <w:b/>
                <w:bCs/>
                <w:color w:val="000000"/>
                <w:kern w:val="2"/>
                <w:sz w:val="16"/>
                <w:szCs w:val="16"/>
                <w:lang w:val="en-US" w:eastAsia="zh-CN"/>
              </w:rPr>
              <w:t>数据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6.</w:t>
            </w:r>
            <w:r>
              <w:rPr>
                <w:rFonts w:cs="宋体"/>
                <w:b/>
                <w:bCs/>
                <w:color w:val="000000"/>
                <w:kern w:val="2"/>
                <w:sz w:val="16"/>
                <w:szCs w:val="16"/>
              </w:rPr>
              <w:t>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7.</w:t>
            </w:r>
            <w:r>
              <w:rPr>
                <w:rFonts w:cs="宋体"/>
                <w:b/>
                <w:bCs/>
                <w:color w:val="000000"/>
                <w:kern w:val="2"/>
                <w:sz w:val="16"/>
                <w:szCs w:val="16"/>
              </w:rPr>
              <w:t>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8.</w:t>
            </w:r>
            <w:r>
              <w:rPr>
                <w:rFonts w:cs="宋体"/>
                <w:b/>
                <w:bCs/>
                <w:color w:val="000000"/>
                <w:kern w:val="2"/>
                <w:sz w:val="16"/>
                <w:szCs w:val="16"/>
              </w:rPr>
              <w:t>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7.00</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ind w:firstLine="360" w:firstLineChars="200"/>
        <w:textAlignment w:val="auto"/>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2.本套报表金额单位转换时可能存在尾数误差。</w:t>
      </w:r>
      <w:r>
        <w:rPr>
          <w:rFonts w:cs="宋体"/>
          <w:sz w:val="18"/>
          <w:szCs w:val="18"/>
        </w:rPr>
        <w:br w:type="textWrapping"/>
      </w:r>
    </w:p>
    <w:p>
      <w:pPr>
        <w:rPr>
          <w:rFonts w:hint="default"/>
        </w:rPr>
      </w:pPr>
    </w:p>
    <w:sectPr>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58240"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fldChar w:fldCharType="begin"/>
                          </w:r>
                          <w:r>
                            <w:instrText xml:space="preserve">PAGE   \* MERGEFORMAT</w:instrText>
                          </w:r>
                          <w:r>
                            <w:fldChar w:fldCharType="separate"/>
                          </w:r>
                          <w:r>
                            <w:rPr>
                              <w:rFonts w:hint="default"/>
                              <w:lang w:val="zh-CN"/>
                            </w:rPr>
                            <w:t>-</w:t>
                          </w:r>
                          <w:r>
                            <w:rPr>
                              <w:rFonts w:hint="default"/>
                            </w:rPr>
                            <w:t xml:space="preserve">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eastAsia" w:eastAsia="宋体"/>
                        <w:lang w:eastAsia="zh-CN"/>
                      </w:rPr>
                    </w:pPr>
                    <w:r>
                      <w:fldChar w:fldCharType="begin"/>
                    </w:r>
                    <w:r>
                      <w:instrText xml:space="preserve">PAGE   \* MERGEFORMAT</w:instrText>
                    </w:r>
                    <w:r>
                      <w:fldChar w:fldCharType="separate"/>
                    </w:r>
                    <w:r>
                      <w:rPr>
                        <w:rFonts w:hint="default"/>
                        <w:lang w:val="zh-CN"/>
                      </w:rPr>
                      <w:t>-</w:t>
                    </w:r>
                    <w:r>
                      <w:rPr>
                        <w:rFonts w:hint="default"/>
                      </w:rPr>
                      <w:t xml:space="preserve"> 8 -</w:t>
                    </w:r>
                    <w:r>
                      <w:fldChar w:fldCharType="end"/>
                    </w:r>
                  </w:p>
                </w:txbxContent>
              </v:textbox>
            </v:shape>
          </w:pict>
        </mc:Fallback>
      </mc:AlternateContent>
    </w:r>
    <w:r>
      <w:rPr>
        <w:rFonts w:hint="default"/>
      </w:rPr>
      <mc:AlternateContent>
        <mc:Choice Requires="wps">
          <w:drawing>
            <wp:anchor distT="0" distB="0" distL="114300" distR="114300" simplePos="0" relativeHeight="25165619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619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840"/>
    <w:rsid w:val="00020C16"/>
    <w:rsid w:val="00097F2B"/>
    <w:rsid w:val="006B49A3"/>
    <w:rsid w:val="00AB05DA"/>
    <w:rsid w:val="00C847E8"/>
    <w:rsid w:val="00C84840"/>
    <w:rsid w:val="011671CA"/>
    <w:rsid w:val="100974A1"/>
    <w:rsid w:val="173F6292"/>
    <w:rsid w:val="18427BAE"/>
    <w:rsid w:val="27B05645"/>
    <w:rsid w:val="29883D07"/>
    <w:rsid w:val="2E4E4AB9"/>
    <w:rsid w:val="355E4F7F"/>
    <w:rsid w:val="521A056D"/>
    <w:rsid w:val="608210E8"/>
    <w:rsid w:val="6E165BD0"/>
    <w:rsid w:val="73022EBC"/>
    <w:rsid w:val="7F472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link w:val="1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4">
    <w:name w:val="批注框文本 字符"/>
    <w:basedOn w:val="9"/>
    <w:link w:val="2"/>
    <w:qFormat/>
    <w:uiPriority w:val="0"/>
    <w:rPr>
      <w:rFonts w:ascii="宋体" w:hAnsi="宋体"/>
      <w:sz w:val="18"/>
      <w:szCs w:val="18"/>
    </w:rPr>
  </w:style>
  <w:style w:type="character" w:customStyle="1" w:styleId="15">
    <w:name w:val="HTML 预设格式 字符"/>
    <w:basedOn w:val="9"/>
    <w:link w:val="5"/>
    <w:uiPriority w:val="0"/>
    <w:rPr>
      <w:rFonts w:ascii="宋体" w:hAnsi="宋体"/>
      <w:sz w:val="24"/>
      <w:szCs w:val="24"/>
    </w:rPr>
  </w:style>
  <w:style w:type="character" w:customStyle="1" w:styleId="16">
    <w:name w:val="21"/>
    <w:basedOn w:val="9"/>
    <w:qFormat/>
    <w:uiPriority w:val="0"/>
    <w:rPr>
      <w:rFonts w:hint="default" w:ascii="Wingdings" w:hAnsi="Wingdings" w:cs="Wingdings"/>
      <w:b/>
      <w:bCs/>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2104</Words>
  <Characters>11997</Characters>
  <Lines>99</Lines>
  <Paragraphs>28</Paragraphs>
  <TotalTime>12</TotalTime>
  <ScaleCrop>false</ScaleCrop>
  <LinksUpToDate>false</LinksUpToDate>
  <CharactersWithSpaces>14073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2025-08-14T01:26:00Z</dcterms:created>
  <dc:creator>Administrator</dc:creator>
  <cp:lastModifiedBy>加贝</cp:lastModifiedBy>
  <dcterms:modified xsi:type="dcterms:W3CDTF">2025-09-18T03:18:06Z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35AA3A9E197E4F728E67AA17D531D3A7</vt:lpwstr>
  </property>
</Properties>
</file>