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垫江县太平镇人民政府（本级）2024年度</w:t>
      </w:r>
    </w:p>
    <w:p>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决算公开说明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（一）职能职责</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党政办负责处理政府机关日常事务；（2）党群工作办公室负责机关、事业单位和村（社区）党的建设、组织、机构编制、人事等工作；（3）人大办公室负责镇人民代表大会、主席团履行法定职权、组织人大代表视察、调研、评议等工作；（4）经济发展办公室承担促进乡镇、村（社区）经济发展职责、承担促进乡镇、村（社区）经济发展职责、招商引资、科技普及、统计与普查等工作；（5）财政办贯彻财经方针政策，执行财政法规、财经制度，负责财政收支、预决算、总会计、惠农资金兑付、财政资金监督检查、绩效评价、农村财务管理等工作；（6）民政和社会事务办公室负责牵头推动民政、教育、卫生健康、计生、文化体育、优抚、残疾人事业、老龄、社会保障、劳动就业、救济、社会救助、殡葬管理、审核城乡低保、医疗救助对象、区划地名管理等工作；（7）平安建设办公室负责普法教育、防邪、禁毒、综治、信访、维稳、基层民间矛盾纠纷调解、高铁沿线护路</w:t>
      </w:r>
      <w:r>
        <w:rPr>
          <w:rFonts w:hint="eastAsia" w:ascii="Times New Roman" w:hAnsi="Times New Roman" w:eastAsia="方正仿宋_GBK" w:cs="Times New Roman"/>
          <w:sz w:val="32"/>
          <w:szCs w:val="32"/>
          <w:highlight w:val="none"/>
          <w:lang w:eastAsia="zh-CN"/>
        </w:rPr>
        <w:t>管理</w:t>
      </w:r>
      <w:r>
        <w:rPr>
          <w:rFonts w:hint="default" w:ascii="Times New Roman" w:hAnsi="Times New Roman" w:eastAsia="方正仿宋_GBK" w:cs="Times New Roman"/>
          <w:sz w:val="32"/>
          <w:szCs w:val="32"/>
        </w:rPr>
        <w:t>等工作；（8）规划建设管理环保办公室负责承担辖区内规划、建设、市政、生态环境保护等综合管理职责、土地复垦、国土管理、耕地保护、市政园林、城镇管理等工作；（9）应急管理办公室负责火灾、水旱灾害、地质灾害等灾害防治、救灾、消防工作和人防、安全生</w:t>
      </w:r>
      <w:r>
        <w:rPr>
          <w:rFonts w:hint="eastAsia" w:ascii="Times New Roman" w:hAnsi="Times New Roman" w:eastAsia="方正仿宋_GBK" w:cs="Times New Roman"/>
          <w:sz w:val="32"/>
          <w:szCs w:val="32"/>
          <w:highlight w:val="none"/>
          <w:lang w:eastAsia="zh-CN"/>
        </w:rPr>
        <w:t>产和</w:t>
      </w:r>
      <w:r>
        <w:rPr>
          <w:rFonts w:hint="default" w:ascii="Times New Roman" w:hAnsi="Times New Roman" w:eastAsia="方正仿宋_GBK" w:cs="Times New Roman"/>
          <w:sz w:val="32"/>
          <w:szCs w:val="32"/>
        </w:rPr>
        <w:t>农村道路、航运安全、职业健康日常监管等工作；（10）综合行政执法办公室负责综合行政执法方面法律、法规和规章的宣传教育、集中行使依法授权或委托的行政执法权、配合县行政主管部门做好行政执法等工作；（11）镇纪委负责纪检监察、巡视巡察整改</w:t>
      </w:r>
      <w:r>
        <w:rPr>
          <w:rFonts w:hint="eastAsia" w:ascii="Times New Roman" w:hAnsi="Times New Roman" w:eastAsia="方正仿宋_GBK" w:cs="Times New Roman"/>
          <w:sz w:val="32"/>
          <w:szCs w:val="32"/>
          <w:highlight w:val="none"/>
          <w:lang w:eastAsia="zh-CN"/>
        </w:rPr>
        <w:t>等</w:t>
      </w:r>
      <w:r>
        <w:rPr>
          <w:rFonts w:hint="default" w:ascii="Times New Roman" w:hAnsi="Times New Roman" w:eastAsia="方正仿宋_GBK" w:cs="Times New Roman"/>
          <w:sz w:val="32"/>
          <w:szCs w:val="32"/>
        </w:rPr>
        <w:t>全面工作；（12）武装负责做好武装工作；（13）工会负责做好工会全面工作；（14）妇联负责做好妇联全面工作；（15）团委负责做好团委全面工作；（16）残联负责残联工作。</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（二）机构设置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机构情况。调整后共设置党委、政府综合办事机构10个。具体设置分别是：党政办公室、党群工作办公室、人大办公室、经济发展办公室（挂统计办公室、农村经营管理办公室牌子）、财政办公室、民政和社会事务办公室（挂卫生健康办公室牌子）、平安建设办公室、规划建设管理环保办公室。应急管理办公室、综合行政执法办公室。</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人员情况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人员编制是：垫江县太平镇机关核定行政编制30名，机关后勤服务人员事业编制1名（按“退一减一”进行核销）；当年行政人员退休2人，招录2人，实有28人。事业人员34名，实有33名。</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二、单位决算收支情况说明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1.总体情况。2024年度收入总计5966.73万元，支出总计5966.73万元。收、支与2023年度相比，增加1569.49万元，增长35.69%，主要原因是本级工商税收增加及专项补助收入增加。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收入情况。2024年度收入合计5934.52万元，与2023年度相比，增加1542.77万元，增长35.13%，主要原因是本级工商税收增加及专项补助收入增加。其中：财政拨款收入5934.52万元，占100.00%；事业收入0.00万元，占0.00%；经营收入0.00万元，占0.00%；其他收入0.00万元，占0.00%。此外，使用非财政拨款结余和专用结余0.00万元，年初结转和结余32.21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支出情况。2024年度支出合计5966.73万元，与2023年度相比，增加1569.49万元，增长35.69%，主要原因是加大了农村综合改革、乡村振兴、招商引资、企业扶持、基础设施建设等预算。其中：基本支出1330.55万元，占22.30%；项目支出4636.18万元，占77.70%；经营支出0.00万元，占0.00%。此外，结余分配0.00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4.结转结余情况。2024年度年末结转和结余0.00万元，与2023年度相比，无增减，主要原因是2023年度至2024年度未发生结转结余。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（二）财政拨款收入支出决算总体情况说明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2024年度财政拨款收、支总计5966.73万元。与2023年相比，财政拨款收、支总计各增加1569.49万元，增长35.69%。主要原因是追加安排年初未预算经费及县财政安排的项目资金增加。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（三）一般公共预算财政拨款收入支出决算情况说明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收入情况。2024年度一般公共预算财政拨款收入5072.05万元，与2023年度相比，增加1697.57万元，增长50.31%。主要原因是工商税收增加、非税收入增加、专项补助增加。较年初预算数增加2783.87万元，增长121.66%。主要原因是追加安排年初未预算经费及县财政安排的项目资金增加。此外，年初财政拨款结转和结余32.21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支出情况。2024年度一般公共预算财政拨款支出5104.25万元，与2023年度相比，增加1724.28万元，增长51.01%。主要原因是本级工商税收增加，加大对辖区企业扶持等投入。较年初预算数增加2816.07万元，增长123.07%。主要原因是追加安排年初未预算经费及县财政安排的项目资金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3.结转结余情况。2024年度年末一般公共预算财政拨款结转和结余0.00万元，与2023年度相比，无增减，主要原因是本年度未发生一般公共预算财政拨款结转和结余。</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4.比较情况。本单位2024年度一般公共预算财政拨款支出主要用于以下几个方面：</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（1）一般公共服务支出1318.77万元，占25.84%，较年初预算数减少83.62万元，下降5.96%，主要原因是过紧日子，压缩财政拨款项目支出。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（2）公共安全支出6.90万元，占0.14%，较年初预算数增加6.90万元，增长100.00%，主要原因是增加平安建设以及道路交通安全专项支出。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（3）文化旅游体育与传媒支出8.46万元，占0.17%，较年初预算数增加8.46万元，增长100.00%，主要原因是公共图书馆、群众文化活动等支出增加。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（4）社会保障与就业支出284.57万元，占5.58%，较年初预算数增加111.19万元，增长64.13%，</w:t>
      </w:r>
      <w:r>
        <w:rPr>
          <w:rFonts w:hint="eastAsia" w:ascii="Times New Roman" w:hAnsi="Times New Roman" w:eastAsia="方正仿宋_GBK" w:cs="Times New Roman"/>
          <w:sz w:val="32"/>
          <w:szCs w:val="32"/>
          <w:highlight w:val="none"/>
          <w:lang w:eastAsia="zh-CN"/>
        </w:rPr>
        <w:t>主要原因是</w:t>
      </w:r>
      <w:r>
        <w:rPr>
          <w:rFonts w:hint="default" w:ascii="Times New Roman" w:hAnsi="Times New Roman" w:eastAsia="方正仿宋_GBK" w:cs="Times New Roman"/>
          <w:sz w:val="32"/>
          <w:szCs w:val="32"/>
        </w:rPr>
        <w:t>退休人员增加，导致健康休养费以及一次性退休补贴增加、补缴事业人员养老保险，增加养老服务中心基础设施建设以及退役军人等专项支出。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（5）卫生健康支出63.23万元，占1.24%，较年初预算数增加22.88万元，增长56.70%，主要原因是追加严重精神障碍患者监护人以奖代补、计划生育特殊家庭节日走访慰问等经费。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（6）节能环保支出28.50万元，占0.56%，较年初预算数增加28.50万元，增长100.00%，主要原因是追加烟熏腊肉以奖促治项目经费。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（7）城乡社区支出85.35万元，占1.67%，较年初预算数增加31.55万元，增长58.64%，主要原因是追加城乡社会环境卫生、市政设施运行维护、农村产业融合发展示范园创建等经费。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（8）农林水支出1104.51万元，占21.64%，较年初预算数增加573.91万元，增长108.16%，主要原因是追加离任村干部生活补贴、中央农业生产和水利救灾资金、一事一议奖补资金、农业救灾资金等经费。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（9）交通运输支出76.31万元，占1.49%，较年初预算数增加76.31万元，增长100.00%，主要原因是追加农村公路建设补助、农村公路日常养护保洁维修等经费。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（10）资源勘探信息等支出1979.45万元，占38.78%，较年初预算数增加1949.45万元，增长6498.17%，主要原因是相应的资金安排预算增加。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（11）商业服务业等支出7.38万元，占0.14%，较年初预算数增加7.38万元，增长100.00%，主要原因是追加2022年限额以上商贸企业和个体补助经费。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（12）自然资源海洋气象等支出24.50万元，占0.48%，较年初预算数增加24.50万元，增长100.00%，主要原因是自然资源经费增加。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（13）住房保障支出53.45万元，占1.05%，较年初预算数减少0.94万元，下降1.73%，主要原因是减少农村危房改造项目。</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（14）灾害防治及应急管理支出62.88万元，占1.23%，较年初预算数增加59.60万元，增长1817.07%，主要原因是追加冬春救助、金土工程搬迁避让补助资金。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一般公共财政拨款基本支出1330.55万元。其中：人员经费854.60万元，与2023年度相比，减少201.54万元，下降19.08%，主要原因是人员退休与调离导致减少、未补发经费。人员经费用途主要包括基本工资、津贴补贴、奖金、社会保障缴费、养老保险，职业年金、住房公积金等。公用经费475.96万元，与2023年度相比，增加125.43万元，增长35.78%，主要原因是财政税收增加，加大公用经费支出。公用经费用途主要包括办公费、会议费、水费、电费、邮电费、差旅费、公务接待费、劳务费、公务用车运行维护费、其他商品和服务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（五）政府性基金预算收支决算情况说明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政府性基金预算财政拨款年初结转结余0.00万元，年末结转结余0.00万元。本年收入862.48万元，与2023年度相比，减少154.79万元，下降15.22%，主要原因是巴蜀美丽庭院建设已完工，国有土地使用权出让收入安排的支出减少。本年支出862.48万元，与2023年度相比，减少154.79万元，下降15.22%，主要原因是巴蜀美丽庭院建设已完工，国有土地使用权出让收入安排的支出减少。</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（六）国有资本经营预算财政拨款支出决算情况说明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2024年度国有资本经营预算财政拨本年支出0.00万元，基本支出0.00万元，项目支出0.00万元。本单位2024年度无国有资本经营预算财政拨款支出。</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三、财政拨款“三公”经费情况说明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 xml:space="preserve"> （一）“三公”经费支出总体情况说明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三公”经费支出共计34.65万元，较年初预算数增加27.75万元，增长402.17%，主要原因是年初未预算公车购置费用。较上年支出数增加10.37万元，增长42.71%，主要原因是根据《中共垫江县委办公室关于同意中共垫江县太平镇委员会更新购置1辆综合执法用车的复函》（垫江委办函</w:t>
      </w:r>
      <w:r>
        <w:rPr>
          <w:rFonts w:hint="eastAsia" w:ascii="Times New Roman" w:hAnsi="Times New Roman" w:eastAsia="方正仿宋_GBK" w:cs="Times New Roman"/>
          <w:sz w:val="32"/>
          <w:szCs w:val="32"/>
          <w:highlight w:val="none"/>
          <w:lang w:eastAsia="zh-CN"/>
        </w:rPr>
        <w:t>〔2024〕55号</w:t>
      </w:r>
      <w:r>
        <w:rPr>
          <w:rFonts w:hint="default" w:ascii="Times New Roman" w:hAnsi="Times New Roman" w:eastAsia="方正仿宋_GBK" w:cs="Times New Roman"/>
          <w:sz w:val="32"/>
          <w:szCs w:val="32"/>
        </w:rPr>
        <w:t>）新购公车1台。</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（二）“三公”经费分项支出情况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2024年度本单位因公出国（境）费用0.00万元，</w:t>
      </w:r>
      <w:r>
        <w:rPr>
          <w:rFonts w:hint="eastAsia" w:ascii="Times New Roman" w:hAnsi="Times New Roman" w:eastAsia="方正仿宋_GBK" w:cs="Times New Roman"/>
          <w:sz w:val="32"/>
          <w:szCs w:val="32"/>
          <w:highlight w:val="none"/>
          <w:lang w:eastAsia="zh-CN"/>
        </w:rPr>
        <w:t>主要</w:t>
      </w:r>
      <w:r>
        <w:rPr>
          <w:rFonts w:hint="default" w:ascii="Times New Roman" w:hAnsi="Times New Roman" w:eastAsia="方正仿宋_GBK" w:cs="Times New Roman"/>
          <w:sz w:val="32"/>
          <w:szCs w:val="32"/>
        </w:rPr>
        <w:t>用于因公出国（境）。费用支出较年初预算数无增减，主要原因是年初预算数未安排因公出国（境）费用，也未发生因公出国（境）费用。较上年支出数无增减，主要原因是上年和本年均未发生因公出国（境）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务车购置费14.44万元，主要用于公车购置。费用支出较年初预算数增加14.44万元，增长100.00%，主要原因是根据《中共垫江县委办公室关于同意中共垫江县太平镇委员会更新购置1辆综合执法用车的复函》（垫江委办函</w:t>
      </w:r>
      <w:r>
        <w:rPr>
          <w:rFonts w:hint="eastAsia" w:ascii="Times New Roman" w:hAnsi="Times New Roman" w:eastAsia="方正仿宋_GBK" w:cs="Times New Roman"/>
          <w:sz w:val="32"/>
          <w:szCs w:val="32"/>
          <w:highlight w:val="none"/>
          <w:lang w:eastAsia="zh-CN"/>
        </w:rPr>
        <w:t>〔2024〕55号</w:t>
      </w:r>
      <w:r>
        <w:rPr>
          <w:rFonts w:hint="default" w:ascii="Times New Roman" w:hAnsi="Times New Roman" w:eastAsia="方正仿宋_GBK" w:cs="Times New Roman"/>
          <w:sz w:val="32"/>
          <w:szCs w:val="32"/>
        </w:rPr>
        <w:t>）与《中共垫江县委办公室关于同意中共垫江县太平镇委员会处置公务用车的复函》（垫江委办函</w:t>
      </w:r>
      <w:r>
        <w:rPr>
          <w:rFonts w:hint="eastAsia" w:ascii="Times New Roman" w:hAnsi="Times New Roman" w:eastAsia="方正仿宋_GBK" w:cs="Times New Roman"/>
          <w:sz w:val="32"/>
          <w:szCs w:val="32"/>
          <w:highlight w:val="none"/>
          <w:lang w:eastAsia="zh-CN"/>
        </w:rPr>
        <w:t>〔2024〕49号</w:t>
      </w:r>
      <w:r>
        <w:rPr>
          <w:rFonts w:hint="default" w:ascii="Times New Roman" w:hAnsi="Times New Roman" w:eastAsia="方正仿宋_GBK" w:cs="Times New Roman"/>
          <w:sz w:val="32"/>
          <w:szCs w:val="32"/>
        </w:rPr>
        <w:t>）文件报废原公车渝GCN022，同时新购公车一台价值14.44万元。较上年支出数增加14.44万元，增长100.00%，主要原因是根据《中共垫江县委办公室关于同意中共垫江县太平镇委员会更新购置1辆综合执法用车的复函》（垫江委办函</w:t>
      </w:r>
      <w:r>
        <w:rPr>
          <w:rFonts w:hint="eastAsia" w:ascii="Times New Roman" w:hAnsi="Times New Roman" w:eastAsia="方正仿宋_GBK" w:cs="Times New Roman"/>
          <w:sz w:val="32"/>
          <w:szCs w:val="32"/>
          <w:highlight w:val="none"/>
          <w:lang w:eastAsia="zh-CN"/>
        </w:rPr>
        <w:t>〔2024〕55号</w:t>
      </w:r>
      <w:r>
        <w:rPr>
          <w:rFonts w:hint="default" w:ascii="Times New Roman" w:hAnsi="Times New Roman" w:eastAsia="方正仿宋_GBK" w:cs="Times New Roman"/>
          <w:sz w:val="32"/>
          <w:szCs w:val="32"/>
        </w:rPr>
        <w:t>）与《中共垫江县委办公室关于同意中共垫江县太平镇委员会处置公务用车的复函》（垫江委办函</w:t>
      </w:r>
      <w:r>
        <w:rPr>
          <w:rFonts w:hint="eastAsia" w:ascii="Times New Roman" w:hAnsi="Times New Roman" w:eastAsia="方正仿宋_GBK" w:cs="Times New Roman"/>
          <w:sz w:val="32"/>
          <w:szCs w:val="32"/>
          <w:highlight w:val="none"/>
          <w:lang w:eastAsia="zh-CN"/>
        </w:rPr>
        <w:t>〔2024〕49号</w:t>
      </w:r>
      <w:r>
        <w:rPr>
          <w:rFonts w:hint="default" w:ascii="Times New Roman" w:hAnsi="Times New Roman" w:eastAsia="方正仿宋_GBK" w:cs="Times New Roman"/>
          <w:sz w:val="32"/>
          <w:szCs w:val="32"/>
        </w:rPr>
        <w:t>）文件报废原公车渝GCN022，同时新购公车一台价值14.44万元。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务车运行维护费4.29万元，主要用于机要文件交换、市内因公出行、各项工作检查等工作所需车辆的燃料费、维修费、过桥过路费、保险费等。费用支出较年初预算数增加1.29万元，增长43.00%，主要原因是年初未预算公车购置费用。较上年支出数减少3.28万元，下降43.33%，主要原因是严格落实公车使用规定，严禁公车私用，公车运行维护成本下降。</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公务接待费15.92万元，主要用于接待招商引资、接待县级部门及相关业务单位到我单位学习调研工作，接受相关部门检查指导工作发生的接待支出。费用支出较年初预算数增加12.02万元，增长308.21%，主要原因是执行过程中预算不足，按要求追加预算。较上年支出数减少0.79万元，下降4.73%，主要原因是严把支出关，严格执行</w:t>
      </w:r>
      <w:r>
        <w:rPr>
          <w:rFonts w:hint="eastAsia" w:ascii="Times New Roman" w:hAnsi="Times New Roman" w:eastAsia="方正仿宋_GBK" w:cs="Times New Roman"/>
          <w:sz w:val="32"/>
          <w:szCs w:val="32"/>
          <w:highlight w:val="none"/>
          <w:lang w:eastAsia="zh-CN"/>
        </w:rPr>
        <w:t>中央八项规定精神</w:t>
      </w:r>
      <w:r>
        <w:rPr>
          <w:rFonts w:hint="default" w:ascii="Times New Roman" w:hAnsi="Times New Roman" w:eastAsia="方正仿宋_GBK" w:cs="Times New Roman"/>
          <w:sz w:val="32"/>
          <w:szCs w:val="32"/>
        </w:rPr>
        <w:t>和</w:t>
      </w:r>
      <w:bookmarkStart w:id="0" w:name="OLE_LINK1"/>
      <w:r>
        <w:rPr>
          <w:rFonts w:hint="default" w:ascii="Times New Roman" w:hAnsi="Times New Roman" w:eastAsia="方正仿宋_GBK" w:cs="Times New Roman"/>
          <w:sz w:val="32"/>
          <w:szCs w:val="32"/>
        </w:rPr>
        <w:t>厉行节约</w:t>
      </w:r>
      <w:bookmarkEnd w:id="0"/>
      <w:r>
        <w:rPr>
          <w:rFonts w:hint="default" w:ascii="Times New Roman" w:hAnsi="Times New Roman" w:eastAsia="方正仿宋_GBK" w:cs="Times New Roman"/>
          <w:sz w:val="32"/>
          <w:szCs w:val="32"/>
        </w:rPr>
        <w:t>要求，强化公务接待支出管理。</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（三）“三公”经费实物量情况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因公出国（境）共计0个团组，0人；公务用车购置1辆，公务车保有量为2辆；国内公务接待286批次2289人，其中：国内外事接待0批次，0人；国（境）外公务接待0批次，0人。2024年本单位人均接待费69.54元，车均购置费14.44万元，车均维护费2.14万元。</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四、其他需要说明的事项</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（一）财政拨款会议费和培训费情况说明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本年度会议费支出14.89万元，与2023年度相比，增加12.84万元，增长626.34%，主要原因是增加成功人士座谈会会议支出。本年度培训费支出4.41万元，与2023年度相比，增加2.47万元，增长127.32%，主要原因是财政</w:t>
      </w:r>
      <w:r>
        <w:rPr>
          <w:rFonts w:hint="eastAsia" w:ascii="Times New Roman" w:hAnsi="Times New Roman" w:eastAsia="方正仿宋_GBK" w:cs="Times New Roman"/>
          <w:sz w:val="32"/>
          <w:szCs w:val="32"/>
          <w:highlight w:val="none"/>
          <w:lang w:eastAsia="zh-CN"/>
        </w:rPr>
        <w:t>收入</w:t>
      </w:r>
      <w:r>
        <w:rPr>
          <w:rFonts w:hint="default" w:ascii="Times New Roman" w:hAnsi="Times New Roman" w:eastAsia="方正仿宋_GBK" w:cs="Times New Roman"/>
          <w:sz w:val="32"/>
          <w:szCs w:val="32"/>
        </w:rPr>
        <w:t>增加，各业务科室增加了业务培训会议费用。</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（二）机关运行经费情况说明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2024年度本单位机关运行经费支出475.96万元，机关运行经费主要用于开支办公费、公务车运行维护费、信息网络购置更新费等。机关运行经费较上年支出数增加125.43万元，增长35.78%，</w:t>
      </w:r>
      <w:r>
        <w:rPr>
          <w:rFonts w:hint="eastAsia" w:ascii="Times New Roman" w:hAnsi="Times New Roman" w:eastAsia="方正仿宋_GBK" w:cs="Times New Roman"/>
          <w:sz w:val="32"/>
          <w:szCs w:val="32"/>
          <w:highlight w:val="none"/>
          <w:lang w:eastAsia="zh-CN"/>
        </w:rPr>
        <w:t>主要原因是</w:t>
      </w:r>
      <w:r>
        <w:rPr>
          <w:rFonts w:hint="default" w:ascii="Times New Roman" w:hAnsi="Times New Roman" w:eastAsia="方正仿宋_GBK" w:cs="Times New Roman"/>
          <w:sz w:val="32"/>
          <w:szCs w:val="32"/>
        </w:rPr>
        <w:t>因乡镇发展需要，劳务费与委托业务费增加。</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（三）国有资产占用情况说明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截至2024年12月31日，本单位共有车辆2辆，其中，副部（省）级及以上领导用车0辆、主要负责人用车0辆、机要通信用车0辆、应急保障用车2辆、执法执勤用车0辆，特种专业技术用车0辆，离退休干部用车0辆。单价100万元（含）以上专用设备0台（套）。</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（四）政府采购支出情况说明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2024年度本单位政府采购支出总额3.42万元，其中：政府采购货物支出3.42万元、政府采购工程支出0.00万元、政府采购服务支出0.00万元。授予中小企业合同金额3.42万元，占政府采购支出总额的100.00%，其中：授予小微企业合同金额3.42万元，占政府采购支出总额的100.00 %。主要用于采购政府办公用空调与办公电脑等。</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五、2024年度预算绩效管理情况说明</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（一）单位自评情况</w:t>
      </w:r>
    </w:p>
    <w:p>
      <w:pPr>
        <w:keepNext w:val="0"/>
        <w:keepLines w:val="0"/>
        <w:pageBreakBefore w:val="0"/>
        <w:widowControl/>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仿宋_GBK" w:cs="Times New Roman"/>
          <w:sz w:val="32"/>
          <w:szCs w:val="32"/>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rPr>
        <w:t>根据预算绩效管理要求，我单位对92个二级项目开展了绩效自评，涉及财政拨款项目支出资金4316.65万元。</w:t>
      </w:r>
    </w:p>
    <w:tbl>
      <w:tblPr>
        <w:tblStyle w:val="7"/>
        <w:tblpPr w:leftFromText="180" w:rightFromText="180" w:vertAnchor="text" w:horzAnchor="page" w:tblpXSpec="center" w:tblpY="435"/>
        <w:tblOverlap w:val="never"/>
        <w:tblW w:w="8472" w:type="dxa"/>
        <w:tblInd w:w="0" w:type="dxa"/>
        <w:tblLayout w:type="fixed"/>
        <w:tblCellMar>
          <w:top w:w="0" w:type="dxa"/>
          <w:left w:w="0" w:type="dxa"/>
          <w:bottom w:w="0" w:type="dxa"/>
          <w:right w:w="0" w:type="dxa"/>
        </w:tblCellMar>
      </w:tblPr>
      <w:tblGrid>
        <w:gridCol w:w="1113"/>
        <w:gridCol w:w="811"/>
        <w:gridCol w:w="812"/>
        <w:gridCol w:w="973"/>
        <w:gridCol w:w="700"/>
        <w:gridCol w:w="810"/>
        <w:gridCol w:w="903"/>
        <w:gridCol w:w="631"/>
        <w:gridCol w:w="563"/>
        <w:gridCol w:w="616"/>
        <w:gridCol w:w="527"/>
        <w:gridCol w:w="13"/>
      </w:tblGrid>
      <w:tr>
        <w:tblPrEx>
          <w:tblLayout w:type="fixed"/>
          <w:tblCellMar>
            <w:top w:w="0" w:type="dxa"/>
            <w:left w:w="0" w:type="dxa"/>
            <w:bottom w:w="0" w:type="dxa"/>
            <w:right w:w="0" w:type="dxa"/>
          </w:tblCellMar>
        </w:tblPrEx>
        <w:trPr>
          <w:trHeight w:val="797" w:hRule="atLeast"/>
        </w:trPr>
        <w:tc>
          <w:tcPr>
            <w:tcW w:w="847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800" w:firstLineChars="200"/>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p>
        </w:tc>
      </w:tr>
      <w:tr>
        <w:tblPrEx>
          <w:tblLayout w:type="fixed"/>
          <w:tblCellMar>
            <w:top w:w="0" w:type="dxa"/>
            <w:left w:w="0" w:type="dxa"/>
            <w:bottom w:w="0" w:type="dxa"/>
            <w:right w:w="0" w:type="dxa"/>
          </w:tblCellMar>
        </w:tblPrEx>
        <w:trPr>
          <w:trHeight w:val="498" w:hRule="atLeast"/>
        </w:trPr>
        <w:tc>
          <w:tcPr>
            <w:tcW w:w="847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项目名称：</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老党员生活补贴</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项目编码：</w:t>
            </w: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50023123T000003484556</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自评总分：</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100.00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rPr>
                <w:rFonts w:hint="default" w:cs="宋体"/>
                <w:b/>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项目主管部门：</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717</w:t>
            </w:r>
            <w:r>
              <w:rPr>
                <w:rFonts w:hint="eastAsia" w:cs="宋体"/>
                <w:color w:val="000000"/>
                <w:sz w:val="22"/>
                <w:szCs w:val="22"/>
                <w:highlight w:val="none"/>
                <w:lang w:eastAsia="zh-CN" w:bidi="ar"/>
              </w:rPr>
              <w:t>－</w:t>
            </w:r>
            <w:r>
              <w:rPr>
                <w:rFonts w:cs="宋体"/>
                <w:color w:val="000000"/>
                <w:sz w:val="22"/>
                <w:szCs w:val="22"/>
                <w:lang w:bidi="ar"/>
              </w:rPr>
              <w:t>垫江县太平镇人民政府</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财政归口处室：</w:t>
            </w: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highlight w:val="none"/>
                <w:lang w:eastAsia="zh-CN" w:bidi="ar"/>
              </w:rPr>
              <w:t>－</w:t>
            </w:r>
            <w:r>
              <w:rPr>
                <w:rFonts w:cs="宋体"/>
                <w:color w:val="000000"/>
                <w:sz w:val="22"/>
                <w:szCs w:val="22"/>
                <w:lang w:bidi="ar"/>
              </w:rPr>
              <w:t>会计管理核算中心</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部门联系人：</w:t>
            </w:r>
          </w:p>
        </w:tc>
        <w:tc>
          <w:tcPr>
            <w:tcW w:w="11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邹</w:t>
            </w:r>
            <w:r>
              <w:rPr>
                <w:rFonts w:hint="eastAsia" w:cs="宋体"/>
                <w:color w:val="000000"/>
                <w:sz w:val="22"/>
                <w:szCs w:val="22"/>
                <w:lang w:val="en-US" w:eastAsia="zh-CN" w:bidi="ar"/>
              </w:rPr>
              <w:t>老师</w:t>
            </w:r>
            <w:r>
              <w:rPr>
                <w:rFonts w:cs="宋体"/>
                <w:color w:val="000000"/>
                <w:sz w:val="22"/>
                <w:szCs w:val="22"/>
                <w:lang w:bidi="ar"/>
              </w:rPr>
              <w:t xml:space="preserve">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联系电话：</w:t>
            </w:r>
          </w:p>
        </w:tc>
        <w:tc>
          <w:tcPr>
            <w:tcW w:w="5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eastAsia="宋体" w:cs="宋体"/>
                <w:color w:val="000000"/>
                <w:sz w:val="22"/>
                <w:szCs w:val="22"/>
                <w:lang w:val="en-US" w:eastAsia="zh-CN"/>
              </w:rPr>
            </w:pPr>
            <w:r>
              <w:rPr>
                <w:rFonts w:hint="eastAsia" w:cs="宋体"/>
                <w:color w:val="000000"/>
                <w:sz w:val="22"/>
                <w:szCs w:val="22"/>
                <w:lang w:val="en-US" w:eastAsia="zh-CN" w:bidi="ar"/>
              </w:rPr>
              <w:t>023-74536329</w:t>
            </w:r>
          </w:p>
        </w:tc>
      </w:tr>
      <w:tr>
        <w:tblPrEx>
          <w:tblLayout w:type="fixed"/>
          <w:tblCellMar>
            <w:top w:w="0" w:type="dxa"/>
            <w:left w:w="0" w:type="dxa"/>
            <w:bottom w:w="0" w:type="dxa"/>
            <w:right w:w="0" w:type="dxa"/>
          </w:tblCellMar>
        </w:tblPrEx>
        <w:trPr>
          <w:trHeight w:val="598" w:hRule="atLeast"/>
        </w:trPr>
        <w:tc>
          <w:tcPr>
            <w:tcW w:w="847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Layout w:type="fixed"/>
          <w:tblCellMar>
            <w:top w:w="0" w:type="dxa"/>
            <w:left w:w="0" w:type="dxa"/>
            <w:bottom w:w="0" w:type="dxa"/>
            <w:right w:w="0" w:type="dxa"/>
          </w:tblCellMar>
        </w:tblPrEx>
        <w:trPr>
          <w:gridAfter w:val="1"/>
          <w:wAfter w:w="13" w:type="dxa"/>
          <w:trHeight w:val="498" w:hRule="atLeast"/>
        </w:trPr>
        <w:tc>
          <w:tcPr>
            <w:tcW w:w="19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center"/>
              <w:rPr>
                <w:rFonts w:hint="default" w:cs="宋体"/>
                <w:color w:val="000000"/>
                <w:sz w:val="22"/>
                <w:szCs w:val="22"/>
              </w:rPr>
            </w:pPr>
          </w:p>
        </w:tc>
        <w:tc>
          <w:tcPr>
            <w:tcW w:w="178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年初预算数</w:t>
            </w:r>
          </w:p>
        </w:tc>
        <w:tc>
          <w:tcPr>
            <w:tcW w:w="151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全年（调整）预算数</w:t>
            </w:r>
          </w:p>
        </w:tc>
        <w:tc>
          <w:tcPr>
            <w:tcW w:w="153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全年执行数</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执行率</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textAlignment w:val="center"/>
              <w:rPr>
                <w:rFonts w:hint="default" w:cs="宋体"/>
                <w:b/>
                <w:color w:val="000000"/>
                <w:sz w:val="22"/>
                <w:szCs w:val="22"/>
              </w:rPr>
            </w:pPr>
            <w:r>
              <w:rPr>
                <w:rFonts w:cs="宋体"/>
                <w:b/>
                <w:color w:val="000000"/>
                <w:sz w:val="22"/>
                <w:szCs w:val="22"/>
                <w:lang w:bidi="ar"/>
              </w:rPr>
              <w:t>执行率权重</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年度总金额</w:t>
            </w:r>
          </w:p>
        </w:tc>
        <w:tc>
          <w:tcPr>
            <w:tcW w:w="8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97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0.00 </w:t>
            </w:r>
          </w:p>
        </w:tc>
        <w:tc>
          <w:tcPr>
            <w:tcW w:w="7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29,840.00 </w:t>
            </w:r>
          </w:p>
        </w:tc>
        <w:tc>
          <w:tcPr>
            <w:tcW w:w="90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29,840.00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其中：财政拨款</w:t>
            </w:r>
          </w:p>
        </w:tc>
        <w:tc>
          <w:tcPr>
            <w:tcW w:w="8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97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0.00 </w:t>
            </w:r>
          </w:p>
        </w:tc>
        <w:tc>
          <w:tcPr>
            <w:tcW w:w="7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29,840.00 </w:t>
            </w:r>
          </w:p>
        </w:tc>
        <w:tc>
          <w:tcPr>
            <w:tcW w:w="90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29,840.00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10.00</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一般公共预算</w:t>
            </w:r>
          </w:p>
        </w:tc>
        <w:tc>
          <w:tcPr>
            <w:tcW w:w="81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97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0.00 </w:t>
            </w:r>
          </w:p>
        </w:tc>
        <w:tc>
          <w:tcPr>
            <w:tcW w:w="700"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29,840.00 </w:t>
            </w:r>
          </w:p>
        </w:tc>
        <w:tc>
          <w:tcPr>
            <w:tcW w:w="90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3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29,840.00 </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98" w:hRule="atLeast"/>
        </w:trPr>
        <w:tc>
          <w:tcPr>
            <w:tcW w:w="847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Layout w:type="fixed"/>
          <w:tblCellMar>
            <w:top w:w="0" w:type="dxa"/>
            <w:left w:w="0" w:type="dxa"/>
            <w:bottom w:w="0" w:type="dxa"/>
            <w:right w:w="0" w:type="dxa"/>
          </w:tblCellMar>
        </w:tblPrEx>
        <w:trPr>
          <w:trHeight w:val="498" w:hRule="atLeast"/>
        </w:trPr>
        <w:tc>
          <w:tcPr>
            <w:tcW w:w="370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年初绩效目标</w:t>
            </w:r>
          </w:p>
        </w:tc>
        <w:tc>
          <w:tcPr>
            <w:tcW w:w="3044"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全年（调整）绩效目标</w:t>
            </w:r>
          </w:p>
        </w:tc>
        <w:tc>
          <w:tcPr>
            <w:tcW w:w="171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817" w:hRule="atLeast"/>
        </w:trPr>
        <w:tc>
          <w:tcPr>
            <w:tcW w:w="370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及时发放党龄40年以上老党员生活补贴</w:t>
            </w:r>
          </w:p>
        </w:tc>
        <w:tc>
          <w:tcPr>
            <w:tcW w:w="304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及时发放党龄40年以上老党员生活补贴</w:t>
            </w:r>
          </w:p>
        </w:tc>
        <w:tc>
          <w:tcPr>
            <w:tcW w:w="171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 xml:space="preserve"> </w:t>
            </w:r>
            <w:r>
              <w:rPr>
                <w:rFonts w:cs="宋体"/>
                <w:color w:val="000000"/>
                <w:sz w:val="22"/>
                <w:szCs w:val="22"/>
                <w:lang w:bidi="ar"/>
              </w:rPr>
              <w:br w:type="textWrapping"/>
            </w:r>
            <w:r>
              <w:rPr>
                <w:rFonts w:cs="宋体"/>
                <w:color w:val="000000"/>
                <w:sz w:val="22"/>
                <w:szCs w:val="22"/>
                <w:lang w:bidi="ar"/>
              </w:rPr>
              <w:t>及时发放党龄40年以上老党员生活补贴</w:t>
            </w:r>
          </w:p>
        </w:tc>
      </w:tr>
      <w:tr>
        <w:tblPrEx>
          <w:tblLayout w:type="fixed"/>
          <w:tblCellMar>
            <w:top w:w="0" w:type="dxa"/>
            <w:left w:w="0" w:type="dxa"/>
            <w:bottom w:w="0" w:type="dxa"/>
            <w:right w:w="0" w:type="dxa"/>
          </w:tblCellMar>
        </w:tblPrEx>
        <w:trPr>
          <w:trHeight w:val="598" w:hRule="atLeast"/>
        </w:trPr>
        <w:tc>
          <w:tcPr>
            <w:tcW w:w="8472" w:type="dxa"/>
            <w:gridSpan w:val="1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指标名称</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计量单位</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指标性质</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指标值</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全年完成值</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偏离度（%）</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得分系数（%）</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指标权重</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指标得分</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是否核心指标</w:t>
            </w: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涉及村居</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个</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14</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14</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补贴条件合格率</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补贴发放及时性</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老党员生活稳定</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定性</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稳定</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老党员满意度</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98</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98</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gridAfter w:val="1"/>
          <w:wAfter w:w="13" w:type="dxa"/>
          <w:trHeight w:val="498" w:hRule="atLeast"/>
        </w:trPr>
        <w:tc>
          <w:tcPr>
            <w:tcW w:w="11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生活补贴费用</w:t>
            </w:r>
          </w:p>
        </w:tc>
        <w:tc>
          <w:tcPr>
            <w:tcW w:w="8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元</w:t>
            </w:r>
          </w:p>
        </w:tc>
        <w:tc>
          <w:tcPr>
            <w:tcW w:w="8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9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29840</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29840</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bl>
    <w:p>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p>
    <w:p>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p>
    <w:p>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pPr>
    </w:p>
    <w:tbl>
      <w:tblPr>
        <w:tblStyle w:val="7"/>
        <w:tblW w:w="8648" w:type="dxa"/>
        <w:tblInd w:w="0" w:type="dxa"/>
        <w:tblLayout w:type="fixed"/>
        <w:tblCellMar>
          <w:top w:w="0" w:type="dxa"/>
          <w:left w:w="0" w:type="dxa"/>
          <w:bottom w:w="0" w:type="dxa"/>
          <w:right w:w="0" w:type="dxa"/>
        </w:tblCellMar>
      </w:tblPr>
      <w:tblGrid>
        <w:gridCol w:w="1228"/>
        <w:gridCol w:w="794"/>
        <w:gridCol w:w="795"/>
        <w:gridCol w:w="861"/>
        <w:gridCol w:w="672"/>
        <w:gridCol w:w="737"/>
        <w:gridCol w:w="801"/>
        <w:gridCol w:w="618"/>
        <w:gridCol w:w="657"/>
        <w:gridCol w:w="645"/>
        <w:gridCol w:w="840"/>
      </w:tblGrid>
      <w:tr>
        <w:tblPrEx>
          <w:tblLayout w:type="fixed"/>
          <w:tblCellMar>
            <w:top w:w="0" w:type="dxa"/>
            <w:left w:w="0" w:type="dxa"/>
            <w:bottom w:w="0" w:type="dxa"/>
            <w:right w:w="0" w:type="dxa"/>
          </w:tblCellMar>
        </w:tblPrEx>
        <w:trPr>
          <w:trHeight w:val="793" w:hRule="atLeast"/>
        </w:trPr>
        <w:tc>
          <w:tcPr>
            <w:tcW w:w="864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800" w:firstLineChars="200"/>
              <w:jc w:val="center"/>
              <w:textAlignment w:val="center"/>
              <w:rPr>
                <w:rFonts w:hint="default" w:ascii="微软雅黑" w:hAnsi="微软雅黑" w:eastAsia="微软雅黑" w:cs="微软雅黑"/>
                <w:b/>
                <w:color w:val="000000"/>
                <w:sz w:val="40"/>
                <w:szCs w:val="40"/>
              </w:rPr>
            </w:pPr>
            <w:r>
              <w:rPr>
                <w:rFonts w:ascii="微软雅黑" w:hAnsi="微软雅黑" w:eastAsia="微软雅黑" w:cs="微软雅黑"/>
                <w:b/>
                <w:color w:val="000000"/>
                <w:sz w:val="40"/>
                <w:szCs w:val="40"/>
                <w:lang w:bidi="ar"/>
              </w:rPr>
              <w:t>2024年度二级项目绩效自评表</w:t>
            </w:r>
            <w:bookmarkStart w:id="1" w:name="_GoBack"/>
            <w:bookmarkEnd w:id="1"/>
          </w:p>
        </w:tc>
      </w:tr>
      <w:tr>
        <w:tblPrEx>
          <w:tblLayout w:type="fixed"/>
          <w:tblCellMar>
            <w:top w:w="0" w:type="dxa"/>
            <w:left w:w="0" w:type="dxa"/>
            <w:bottom w:w="0" w:type="dxa"/>
            <w:right w:w="0" w:type="dxa"/>
          </w:tblCellMar>
        </w:tblPrEx>
        <w:trPr>
          <w:trHeight w:val="496" w:hRule="atLeast"/>
        </w:trPr>
        <w:tc>
          <w:tcPr>
            <w:tcW w:w="864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DA3232"/>
                <w:sz w:val="22"/>
                <w:szCs w:val="22"/>
              </w:rPr>
            </w:pPr>
            <w:r>
              <w:rPr>
                <w:rFonts w:cs="宋体"/>
                <w:b/>
                <w:color w:val="DA3232"/>
                <w:sz w:val="22"/>
                <w:szCs w:val="22"/>
                <w:lang w:bidi="ar"/>
              </w:rPr>
              <w:t>状态：绩效审核已审</w:t>
            </w: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项目名称：</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离任村干部生活补贴</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项目编码：</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50023123T000003558305</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自评总分：</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100.00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rPr>
                <w:rFonts w:hint="default" w:cs="宋体"/>
                <w:b/>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项目主管部门：</w:t>
            </w:r>
          </w:p>
        </w:tc>
        <w:tc>
          <w:tcPr>
            <w:tcW w:w="158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717</w:t>
            </w:r>
            <w:r>
              <w:rPr>
                <w:rFonts w:hint="eastAsia" w:cs="宋体"/>
                <w:color w:val="000000"/>
                <w:sz w:val="22"/>
                <w:szCs w:val="22"/>
                <w:highlight w:val="none"/>
                <w:lang w:eastAsia="zh-CN" w:bidi="ar"/>
              </w:rPr>
              <w:t>－</w:t>
            </w:r>
            <w:r>
              <w:rPr>
                <w:rFonts w:cs="宋体"/>
                <w:color w:val="000000"/>
                <w:sz w:val="22"/>
                <w:szCs w:val="22"/>
                <w:lang w:bidi="ar"/>
              </w:rPr>
              <w:t>垫江县太平镇人民政府</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财政归口处室：</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014</w:t>
            </w:r>
            <w:r>
              <w:rPr>
                <w:rFonts w:hint="eastAsia" w:cs="宋体"/>
                <w:color w:val="000000"/>
                <w:sz w:val="22"/>
                <w:szCs w:val="22"/>
                <w:highlight w:val="none"/>
                <w:lang w:eastAsia="zh-CN" w:bidi="ar"/>
              </w:rPr>
              <w:t>－</w:t>
            </w:r>
            <w:r>
              <w:rPr>
                <w:rFonts w:cs="宋体"/>
                <w:color w:val="000000"/>
                <w:sz w:val="22"/>
                <w:szCs w:val="22"/>
                <w:lang w:bidi="ar"/>
              </w:rPr>
              <w:t>会计管理核算中心</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部门联系人：</w:t>
            </w:r>
          </w:p>
        </w:tc>
        <w:tc>
          <w:tcPr>
            <w:tcW w:w="127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eastAsia" w:eastAsia="宋体" w:cs="宋体"/>
                <w:color w:val="000000"/>
                <w:sz w:val="22"/>
                <w:szCs w:val="22"/>
                <w:lang w:eastAsia="zh-CN"/>
              </w:rPr>
            </w:pPr>
            <w:r>
              <w:rPr>
                <w:rFonts w:cs="宋体"/>
                <w:color w:val="000000"/>
                <w:sz w:val="22"/>
                <w:szCs w:val="22"/>
                <w:lang w:bidi="ar"/>
              </w:rPr>
              <w:t>邹</w:t>
            </w:r>
            <w:r>
              <w:rPr>
                <w:rFonts w:hint="eastAsia" w:cs="宋体"/>
                <w:color w:val="000000"/>
                <w:sz w:val="22"/>
                <w:szCs w:val="22"/>
                <w:lang w:val="en-US" w:eastAsia="zh-CN" w:bidi="ar"/>
              </w:rPr>
              <w:t>老师</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right"/>
              <w:textAlignment w:val="center"/>
              <w:rPr>
                <w:rFonts w:hint="default" w:cs="宋体"/>
                <w:b/>
                <w:color w:val="000000"/>
                <w:sz w:val="22"/>
                <w:szCs w:val="22"/>
              </w:rPr>
            </w:pPr>
            <w:r>
              <w:rPr>
                <w:rFonts w:cs="宋体"/>
                <w:b/>
                <w:color w:val="000000"/>
                <w:sz w:val="22"/>
                <w:szCs w:val="22"/>
                <w:lang w:bidi="ar"/>
              </w:rPr>
              <w:t>联系电话：</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eastAsia="宋体" w:cs="宋体"/>
                <w:color w:val="000000"/>
                <w:sz w:val="22"/>
                <w:szCs w:val="22"/>
                <w:lang w:val="en-US" w:eastAsia="zh-CN"/>
              </w:rPr>
            </w:pPr>
            <w:r>
              <w:rPr>
                <w:rFonts w:hint="eastAsia" w:cs="宋体"/>
                <w:color w:val="000000"/>
                <w:sz w:val="22"/>
                <w:szCs w:val="22"/>
                <w:lang w:val="en-US" w:eastAsia="zh-CN" w:bidi="ar"/>
              </w:rPr>
              <w:t>023-74536329</w:t>
            </w:r>
          </w:p>
        </w:tc>
      </w:tr>
      <w:tr>
        <w:tblPrEx>
          <w:tblLayout w:type="fixed"/>
          <w:tblCellMar>
            <w:top w:w="0" w:type="dxa"/>
            <w:left w:w="0" w:type="dxa"/>
            <w:bottom w:w="0" w:type="dxa"/>
            <w:right w:w="0" w:type="dxa"/>
          </w:tblCellMar>
        </w:tblPrEx>
        <w:trPr>
          <w:trHeight w:val="595" w:hRule="atLeast"/>
        </w:trPr>
        <w:tc>
          <w:tcPr>
            <w:tcW w:w="864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资金情况</w:t>
            </w:r>
          </w:p>
        </w:tc>
      </w:tr>
      <w:tr>
        <w:tblPrEx>
          <w:tblLayout w:type="fixed"/>
          <w:tblCellMar>
            <w:top w:w="0" w:type="dxa"/>
            <w:left w:w="0" w:type="dxa"/>
            <w:bottom w:w="0" w:type="dxa"/>
            <w:right w:w="0" w:type="dxa"/>
          </w:tblCellMar>
        </w:tblPrEx>
        <w:trPr>
          <w:trHeight w:val="496" w:hRule="atLeast"/>
        </w:trPr>
        <w:tc>
          <w:tcPr>
            <w:tcW w:w="202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center"/>
              <w:rPr>
                <w:rFonts w:hint="default" w:cs="宋体"/>
                <w:color w:val="000000"/>
                <w:sz w:val="22"/>
                <w:szCs w:val="22"/>
              </w:rPr>
            </w:pPr>
          </w:p>
        </w:tc>
        <w:tc>
          <w:tcPr>
            <w:tcW w:w="16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年初预算数</w:t>
            </w:r>
          </w:p>
        </w:tc>
        <w:tc>
          <w:tcPr>
            <w:tcW w:w="14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全年（调整）预算数</w:t>
            </w:r>
          </w:p>
        </w:tc>
        <w:tc>
          <w:tcPr>
            <w:tcW w:w="141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全年执行数</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执行率</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textAlignment w:val="center"/>
              <w:rPr>
                <w:rFonts w:hint="default" w:cs="宋体"/>
                <w:b/>
                <w:color w:val="000000"/>
                <w:sz w:val="22"/>
                <w:szCs w:val="22"/>
              </w:rPr>
            </w:pPr>
            <w:r>
              <w:rPr>
                <w:rFonts w:cs="宋体"/>
                <w:b/>
                <w:color w:val="000000"/>
                <w:sz w:val="22"/>
                <w:szCs w:val="22"/>
                <w:lang w:bidi="ar"/>
              </w:rPr>
              <w:t>执行率权重</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执行率得分</w:t>
            </w: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年度总金额</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9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0.00 </w:t>
            </w:r>
          </w:p>
        </w:tc>
        <w:tc>
          <w:tcPr>
            <w:tcW w:w="6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185,681.00 </w:t>
            </w:r>
          </w:p>
        </w:tc>
        <w:tc>
          <w:tcPr>
            <w:tcW w:w="80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185,681.00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其中：财政拨款</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9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0.00 </w:t>
            </w:r>
          </w:p>
        </w:tc>
        <w:tc>
          <w:tcPr>
            <w:tcW w:w="6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185,681.00 </w:t>
            </w:r>
          </w:p>
        </w:tc>
        <w:tc>
          <w:tcPr>
            <w:tcW w:w="80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185,681.00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10.00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10.00 </w:t>
            </w: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一般公共预算</w:t>
            </w:r>
          </w:p>
        </w:tc>
        <w:tc>
          <w:tcPr>
            <w:tcW w:w="794"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95"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6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0.00 </w:t>
            </w:r>
          </w:p>
        </w:tc>
        <w:tc>
          <w:tcPr>
            <w:tcW w:w="672"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185,681.00 </w:t>
            </w:r>
          </w:p>
        </w:tc>
        <w:tc>
          <w:tcPr>
            <w:tcW w:w="801"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61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 xml:space="preserve">185,681.00 </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rPr>
                <w:rFonts w:hint="default" w:cs="宋体"/>
                <w:color w:val="000000"/>
                <w:sz w:val="22"/>
                <w:szCs w:val="22"/>
              </w:rPr>
            </w:pPr>
          </w:p>
        </w:tc>
      </w:tr>
      <w:tr>
        <w:tblPrEx>
          <w:tblLayout w:type="fixed"/>
          <w:tblCellMar>
            <w:top w:w="0" w:type="dxa"/>
            <w:left w:w="0" w:type="dxa"/>
            <w:bottom w:w="0" w:type="dxa"/>
            <w:right w:w="0" w:type="dxa"/>
          </w:tblCellMar>
        </w:tblPrEx>
        <w:trPr>
          <w:trHeight w:val="595" w:hRule="atLeast"/>
        </w:trPr>
        <w:tc>
          <w:tcPr>
            <w:tcW w:w="864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绩效目标</w:t>
            </w:r>
          </w:p>
        </w:tc>
      </w:tr>
      <w:tr>
        <w:tblPrEx>
          <w:tblLayout w:type="fixed"/>
          <w:tblCellMar>
            <w:top w:w="0" w:type="dxa"/>
            <w:left w:w="0" w:type="dxa"/>
            <w:bottom w:w="0" w:type="dxa"/>
            <w:right w:w="0" w:type="dxa"/>
          </w:tblCellMar>
        </w:tblPrEx>
        <w:trPr>
          <w:trHeight w:val="496" w:hRule="atLeast"/>
        </w:trPr>
        <w:tc>
          <w:tcPr>
            <w:tcW w:w="367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年初绩效目标</w:t>
            </w:r>
          </w:p>
        </w:tc>
        <w:tc>
          <w:tcPr>
            <w:tcW w:w="282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全年目标实际完成情况</w:t>
            </w:r>
          </w:p>
        </w:tc>
      </w:tr>
      <w:tr>
        <w:tblPrEx>
          <w:tblLayout w:type="fixed"/>
          <w:tblCellMar>
            <w:top w:w="0" w:type="dxa"/>
            <w:left w:w="0" w:type="dxa"/>
            <w:bottom w:w="0" w:type="dxa"/>
            <w:right w:w="0" w:type="dxa"/>
          </w:tblCellMar>
        </w:tblPrEx>
        <w:trPr>
          <w:trHeight w:val="1587" w:hRule="atLeast"/>
        </w:trPr>
        <w:tc>
          <w:tcPr>
            <w:tcW w:w="367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保障离任村干部稳定</w:t>
            </w:r>
          </w:p>
        </w:tc>
        <w:tc>
          <w:tcPr>
            <w:tcW w:w="28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保障离任村干部稳定</w:t>
            </w:r>
          </w:p>
        </w:tc>
        <w:tc>
          <w:tcPr>
            <w:tcW w:w="214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adjustRightInd w:val="0"/>
              <w:snapToGrid w:val="0"/>
              <w:spacing w:line="594" w:lineRule="exact"/>
              <w:ind w:firstLine="440" w:firstLineChars="200"/>
              <w:textAlignment w:val="top"/>
              <w:rPr>
                <w:rFonts w:hint="default" w:cs="宋体"/>
                <w:color w:val="000000"/>
                <w:sz w:val="22"/>
                <w:szCs w:val="22"/>
              </w:rPr>
            </w:pPr>
            <w:r>
              <w:rPr>
                <w:rFonts w:cs="宋体"/>
                <w:color w:val="000000"/>
                <w:sz w:val="22"/>
                <w:szCs w:val="22"/>
                <w:lang w:bidi="ar"/>
              </w:rPr>
              <w:t>保障离任村干部稳定</w:t>
            </w:r>
          </w:p>
        </w:tc>
      </w:tr>
      <w:tr>
        <w:tblPrEx>
          <w:tblLayout w:type="fixed"/>
          <w:tblCellMar>
            <w:top w:w="0" w:type="dxa"/>
            <w:left w:w="0" w:type="dxa"/>
            <w:bottom w:w="0" w:type="dxa"/>
            <w:right w:w="0" w:type="dxa"/>
          </w:tblCellMar>
        </w:tblPrEx>
        <w:trPr>
          <w:trHeight w:val="595" w:hRule="atLeast"/>
        </w:trPr>
        <w:tc>
          <w:tcPr>
            <w:tcW w:w="8648"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560" w:firstLineChars="200"/>
              <w:jc w:val="center"/>
              <w:textAlignment w:val="center"/>
              <w:rPr>
                <w:rFonts w:hint="default" w:ascii="微软雅黑" w:hAnsi="微软雅黑" w:eastAsia="微软雅黑" w:cs="微软雅黑"/>
                <w:b/>
                <w:color w:val="808080"/>
                <w:sz w:val="28"/>
                <w:szCs w:val="28"/>
              </w:rPr>
            </w:pPr>
            <w:r>
              <w:rPr>
                <w:rFonts w:ascii="微软雅黑" w:hAnsi="微软雅黑" w:eastAsia="微软雅黑" w:cs="微软雅黑"/>
                <w:b/>
                <w:color w:val="808080"/>
                <w:sz w:val="28"/>
                <w:szCs w:val="28"/>
                <w:lang w:bidi="ar"/>
              </w:rPr>
              <w:t>绩效指标</w:t>
            </w: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指标名称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计量单位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指标性质</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指标值</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全年完成值</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偏离度（%）</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得分系数（%）</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指标权重</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指标得分</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是否核心指标</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2" w:firstLineChars="200"/>
              <w:jc w:val="center"/>
              <w:textAlignment w:val="center"/>
              <w:rPr>
                <w:rFonts w:hint="default" w:cs="宋体"/>
                <w:b/>
                <w:color w:val="000000"/>
                <w:sz w:val="22"/>
                <w:szCs w:val="22"/>
              </w:rPr>
            </w:pPr>
            <w:r>
              <w:rPr>
                <w:rFonts w:cs="宋体"/>
                <w:b/>
                <w:color w:val="000000"/>
                <w:sz w:val="22"/>
                <w:szCs w:val="22"/>
                <w:lang w:bidi="ar"/>
              </w:rPr>
              <w:t>说明</w:t>
            </w: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离任村干部补贴人数</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143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143</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是</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补贴条件合格率</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资金支付及时性</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保障离任村干部稳定</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定性</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好</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离任村干部满意度</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96</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r>
        <w:tblPrEx>
          <w:tblLayout w:type="fixed"/>
          <w:tblCellMar>
            <w:top w:w="0" w:type="dxa"/>
            <w:left w:w="0" w:type="dxa"/>
            <w:bottom w:w="0" w:type="dxa"/>
            <w:right w:w="0" w:type="dxa"/>
          </w:tblCellMar>
        </w:tblPrEx>
        <w:trPr>
          <w:trHeight w:val="496" w:hRule="atLeast"/>
        </w:trPr>
        <w:tc>
          <w:tcPr>
            <w:tcW w:w="12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离任村干部生活补贴</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万元</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w:t>
            </w:r>
          </w:p>
        </w:tc>
        <w:tc>
          <w:tcPr>
            <w:tcW w:w="8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18.5681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18.5681</w:t>
            </w:r>
          </w:p>
        </w:tc>
        <w:tc>
          <w:tcPr>
            <w:tcW w:w="7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0</w:t>
            </w:r>
          </w:p>
        </w:tc>
        <w:tc>
          <w:tcPr>
            <w:tcW w:w="8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100</w:t>
            </w:r>
          </w:p>
        </w:tc>
        <w:tc>
          <w:tcPr>
            <w:tcW w:w="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jc w:val="right"/>
              <w:textAlignment w:val="center"/>
              <w:rPr>
                <w:rFonts w:hint="default" w:cs="宋体"/>
                <w:color w:val="000000"/>
                <w:sz w:val="22"/>
                <w:szCs w:val="22"/>
              </w:rPr>
            </w:pPr>
            <w:r>
              <w:rPr>
                <w:rFonts w:cs="宋体"/>
                <w:color w:val="000000"/>
                <w:sz w:val="22"/>
                <w:szCs w:val="22"/>
                <w:lang w:bidi="ar"/>
              </w:rPr>
              <w:t>20</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textAlignment w:val="center"/>
              <w:rPr>
                <w:rFonts w:hint="default" w:cs="宋体"/>
                <w:color w:val="000000"/>
                <w:sz w:val="22"/>
                <w:szCs w:val="22"/>
              </w:rPr>
            </w:pPr>
            <w:r>
              <w:rPr>
                <w:rFonts w:cs="宋体"/>
                <w:color w:val="000000"/>
                <w:sz w:val="22"/>
                <w:szCs w:val="22"/>
                <w:lang w:bidi="ar"/>
              </w:rPr>
              <w:t>否</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adjustRightInd w:val="0"/>
              <w:snapToGrid w:val="0"/>
              <w:spacing w:line="594" w:lineRule="exact"/>
              <w:ind w:firstLine="440" w:firstLineChars="200"/>
              <w:rPr>
                <w:rFonts w:hint="default" w:cs="宋体"/>
                <w:color w:val="000000"/>
                <w:sz w:val="22"/>
                <w:szCs w:val="22"/>
              </w:rPr>
            </w:pPr>
          </w:p>
        </w:tc>
      </w:tr>
    </w:tbl>
    <w:p>
      <w:pPr>
        <w:pStyle w:val="12"/>
        <w:autoSpaceDE w:val="0"/>
        <w:adjustRightInd w:val="0"/>
        <w:snapToGrid w:val="0"/>
        <w:spacing w:before="0" w:beforeAutospacing="0" w:after="0" w:afterAutospacing="0" w:line="594" w:lineRule="exact"/>
        <w:ind w:firstLine="640" w:firstLineChars="200"/>
        <w:rPr>
          <w:rFonts w:ascii="方正仿宋_GBK" w:hAnsi="方正仿宋_GBK" w:eastAsia="方正仿宋_GBK" w:cs="方正仿宋_GBK"/>
          <w:sz w:val="32"/>
          <w:szCs w:val="32"/>
          <w:shd w:val="clear" w:color="auto" w:fill="FFFFFF"/>
        </w:rPr>
        <w:sectPr>
          <w:pgSz w:w="11917" w:h="16838"/>
          <w:pgMar w:top="1440" w:right="1803" w:bottom="1440" w:left="1803" w:header="850" w:footer="992" w:gutter="0"/>
          <w:pgNumType w:fmt="numberInDash"/>
          <w:cols w:space="0" w:num="1"/>
          <w:docGrid w:type="lines" w:linePitch="332" w:charSpace="0"/>
        </w:sectPr>
      </w:pP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（二）单位绩效评价情况</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我单位未组织开展绩效评价。</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（三）财政绩效评价情况</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县财政局未委托第三方对我单位开展绩效评价。</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  六、专业名词解释</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 （一）财政拨款收入：</w:t>
      </w:r>
      <w:r>
        <w:rPr>
          <w:rFonts w:hint="default" w:ascii="Times New Roman" w:hAnsi="Times New Roman" w:eastAsia="方正仿宋_GBK" w:cs="Times New Roman"/>
          <w:sz w:val="32"/>
          <w:szCs w:val="32"/>
        </w:rPr>
        <w:t>指本年度从本级财政部门取得的财政拨款，包括一般公共预算财政拨款和政府性基金预算财政拨款。</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（二）事业收入</w:t>
      </w:r>
      <w:r>
        <w:rPr>
          <w:rFonts w:hint="default" w:ascii="Times New Roman" w:hAnsi="Times New Roman" w:eastAsia="方正仿宋_GBK" w:cs="Times New Roman"/>
          <w:sz w:val="32"/>
          <w:szCs w:val="32"/>
        </w:rPr>
        <w:t>：指事业单位开展专业业务活动及其辅助活动取得的现金流入；事业单位收到的财政专户实际核拨的教育收费等资金在此反映。</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（三）经营收入</w:t>
      </w:r>
      <w:r>
        <w:rPr>
          <w:rFonts w:hint="default" w:ascii="Times New Roman" w:hAnsi="Times New Roman" w:eastAsia="方正仿宋_GBK" w:cs="Times New Roman"/>
          <w:sz w:val="32"/>
          <w:szCs w:val="32"/>
        </w:rPr>
        <w:t>：指事业单位在专业业务活动及其辅助活动之外开展非独立核算经营活动取得的现金流入。</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（四）其他收入</w:t>
      </w:r>
      <w:r>
        <w:rPr>
          <w:rFonts w:hint="default" w:ascii="Times New Roman" w:hAnsi="Times New Roman" w:eastAsia="方正仿宋_GBK" w:cs="Times New Roman"/>
          <w:sz w:val="32"/>
          <w:szCs w:val="32"/>
        </w:rPr>
        <w:t>：指单位取得的除“财政拨款收入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（五）使用非财政拨款结余</w:t>
      </w:r>
      <w:r>
        <w:rPr>
          <w:rFonts w:hint="default" w:ascii="Times New Roman" w:hAnsi="Times New Roman" w:eastAsia="方正仿宋_GBK" w:cs="Times New Roman"/>
          <w:sz w:val="32"/>
          <w:szCs w:val="32"/>
        </w:rPr>
        <w:t>：指单位在当年的“财政拨款收入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事业收入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经营收入</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rPr>
        <w:t>其他收入”等不足以安排当年支出的情况下，使用以前年度积累的非财政拨款结余弥补本年度收支缺口的资金。</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（六）年初结转和结余</w:t>
      </w:r>
      <w:r>
        <w:rPr>
          <w:rFonts w:hint="default" w:ascii="Times New Roman" w:hAnsi="Times New Roman" w:eastAsia="方正仿宋_GBK" w:cs="Times New Roman"/>
          <w:sz w:val="32"/>
          <w:szCs w:val="32"/>
        </w:rPr>
        <w:t>：指单位上年结转本年使用的基本支出结转、项目支出结转和结余、经营结余。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（七）结余分配</w:t>
      </w:r>
      <w:r>
        <w:rPr>
          <w:rFonts w:hint="default" w:ascii="Times New Roman" w:hAnsi="Times New Roman" w:eastAsia="方正仿宋_GBK" w:cs="Times New Roman"/>
          <w:sz w:val="32"/>
          <w:szCs w:val="32"/>
        </w:rPr>
        <w:t>：指单位按照国家有关规定，缴纳所得税、提取专用基金、转入非财政拨款结余等当年结余的分配情况。</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（八）年末结转和结余</w:t>
      </w:r>
      <w:r>
        <w:rPr>
          <w:rFonts w:hint="default" w:ascii="Times New Roman" w:hAnsi="Times New Roman" w:eastAsia="方正仿宋_GBK" w:cs="Times New Roman"/>
          <w:sz w:val="32"/>
          <w:szCs w:val="32"/>
        </w:rPr>
        <w:t>：指单位结转下年的基本支出结转、项目支出结转和结余、经营结余。</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（九）基本支出</w:t>
      </w:r>
      <w:r>
        <w:rPr>
          <w:rFonts w:hint="default" w:ascii="Times New Roman" w:hAnsi="Times New Roman" w:eastAsia="方正仿宋_GBK" w:cs="Times New Roman"/>
          <w:sz w:val="32"/>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w:t>
      </w:r>
      <w:r>
        <w:rPr>
          <w:rFonts w:hint="default" w:ascii="方正楷体_GBK" w:hAnsi="方正楷体_GBK" w:eastAsia="方正楷体_GBK" w:cs="方正楷体_GBK"/>
          <w:sz w:val="32"/>
          <w:szCs w:val="32"/>
        </w:rPr>
        <w:t>（十）项目支出</w:t>
      </w:r>
      <w:r>
        <w:rPr>
          <w:rFonts w:hint="default" w:ascii="Times New Roman" w:hAnsi="Times New Roman" w:eastAsia="方正仿宋_GBK" w:cs="Times New Roman"/>
          <w:sz w:val="32"/>
          <w:szCs w:val="32"/>
        </w:rPr>
        <w:t>：指在基本支出之外为完成特定行政任务和事业发展目标所发生的支出。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（十一）经营支出</w:t>
      </w:r>
      <w:r>
        <w:rPr>
          <w:rFonts w:hint="default" w:ascii="Times New Roman" w:hAnsi="Times New Roman" w:eastAsia="方正仿宋_GBK" w:cs="Times New Roman"/>
          <w:sz w:val="32"/>
          <w:szCs w:val="32"/>
        </w:rPr>
        <w:t>：指事业单位在专业业务活动及其辅助活动之外开展非独立核算经营活动发生的支出。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 （十二）“三公”经费</w:t>
      </w:r>
      <w:r>
        <w:rPr>
          <w:rFonts w:hint="default" w:ascii="Times New Roman" w:hAnsi="Times New Roman" w:eastAsia="方正仿宋_GBK" w:cs="Times New Roman"/>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（十三）机关运行经费</w:t>
      </w:r>
      <w:r>
        <w:rPr>
          <w:rFonts w:hint="default" w:ascii="Times New Roman" w:hAnsi="Times New Roman" w:eastAsia="方正仿宋_GBK" w:cs="Times New Roman"/>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（十四）工资福利支出（支出经济分类科目类级）</w:t>
      </w:r>
      <w:r>
        <w:rPr>
          <w:rFonts w:hint="default" w:ascii="Times New Roman" w:hAnsi="Times New Roman" w:eastAsia="方正仿宋_GBK" w:cs="Times New Roman"/>
          <w:sz w:val="32"/>
          <w:szCs w:val="32"/>
        </w:rPr>
        <w:t>：反映单位开支的在职职工和编制外长期聘用人员的各类劳动报酬，以及为上述人员缴纳的各项社会保险费等。</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（十五）商品和服务支出（支出经济分类科目类级）</w:t>
      </w:r>
      <w:r>
        <w:rPr>
          <w:rFonts w:hint="default" w:ascii="Times New Roman" w:hAnsi="Times New Roman" w:eastAsia="方正仿宋_GBK" w:cs="Times New Roman"/>
          <w:sz w:val="32"/>
          <w:szCs w:val="32"/>
        </w:rPr>
        <w:t>：反映单位购买商品和服务的支出（不包括用于购置固定资产的支出、战略性和应急储备支出）。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（十六）对个人和家庭的补助（支出经济分类科目类级）</w:t>
      </w:r>
      <w:r>
        <w:rPr>
          <w:rFonts w:hint="default" w:ascii="Times New Roman" w:hAnsi="Times New Roman" w:eastAsia="方正仿宋_GBK" w:cs="Times New Roman"/>
          <w:sz w:val="32"/>
          <w:szCs w:val="32"/>
        </w:rPr>
        <w:t>：反映用于对个人和家庭的补助支出。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方正楷体_GBK" w:hAnsi="方正楷体_GBK" w:eastAsia="方正楷体_GBK" w:cs="方正楷体_GBK"/>
          <w:sz w:val="32"/>
          <w:szCs w:val="32"/>
        </w:rPr>
        <w:t>（十七）其他资本性支出（支出经济分类科目类级）</w:t>
      </w:r>
      <w:r>
        <w:rPr>
          <w:rFonts w:hint="default" w:ascii="Times New Roman" w:hAnsi="Times New Roman" w:eastAsia="方正仿宋_GBK" w:cs="Times New Roman"/>
          <w:sz w:val="32"/>
          <w:szCs w:val="32"/>
        </w:rPr>
        <w:t>：反映非各级发展</w:t>
      </w:r>
      <w:r>
        <w:rPr>
          <w:rFonts w:hint="eastAsia" w:ascii="Times New Roman" w:hAnsi="Times New Roman" w:eastAsia="方正仿宋_GBK" w:cs="Times New Roman"/>
          <w:sz w:val="32"/>
          <w:szCs w:val="32"/>
          <w:highlight w:val="none"/>
          <w:lang w:eastAsia="zh-CN"/>
        </w:rPr>
        <w:t>和</w:t>
      </w:r>
      <w:r>
        <w:rPr>
          <w:rFonts w:hint="default" w:ascii="Times New Roman" w:hAnsi="Times New Roman" w:eastAsia="方正仿宋_GBK" w:cs="Times New Roman"/>
          <w:sz w:val="32"/>
          <w:szCs w:val="32"/>
        </w:rPr>
        <w:t>改革部门集中安排的用于购置固定资产、战略性和应急性储备、土地和无形资产，以及构建基础设施、大型修缮和财政支持企业更新改造所发生的支出。</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七、决算公开联系方式及信息反馈渠道</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本单位决算公开信息反馈和联系方式：023-74536329</w:t>
      </w: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34" w:lineRule="exact"/>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pPr>
    </w:p>
    <w:p>
      <w:pPr>
        <w:keepNext w:val="0"/>
        <w:keepLines w:val="0"/>
        <w:pageBreakBefore w:val="0"/>
        <w:widowControl/>
        <w:kinsoku/>
        <w:wordWrap/>
        <w:overflowPunct/>
        <w:topLinePunct w:val="0"/>
        <w:autoSpaceDE/>
        <w:autoSpaceDN/>
        <w:bidi w:val="0"/>
        <w:adjustRightInd/>
        <w:snapToGrid/>
        <w:spacing w:line="534" w:lineRule="exact"/>
        <w:ind w:firstLine="640" w:firstLineChars="200"/>
        <w:jc w:val="both"/>
        <w:textAlignment w:val="auto"/>
        <w:rPr>
          <w:rFonts w:hint="default" w:ascii="Times New Roman" w:hAnsi="Times New Roman" w:eastAsia="方正仿宋_GBK" w:cs="Times New Roman"/>
          <w:sz w:val="32"/>
          <w:szCs w:val="32"/>
        </w:rPr>
        <w:sectPr>
          <w:headerReference r:id="rId4" w:type="default"/>
          <w:footerReference r:id="rId5" w:type="default"/>
          <w:pgSz w:w="11917" w:h="16838"/>
          <w:pgMar w:top="1440" w:right="1803" w:bottom="1440" w:left="1803" w:header="850" w:footer="992" w:gutter="0"/>
          <w:pgNumType w:fmt="numberInDash"/>
          <w:cols w:space="0" w:num="1"/>
          <w:docGrid w:type="lines" w:linePitch="332" w:charSpace="0"/>
        </w:sectPr>
      </w:pPr>
    </w:p>
    <w:tbl>
      <w:tblPr>
        <w:tblStyle w:val="7"/>
        <w:tblpPr w:leftFromText="180" w:rightFromText="180" w:vertAnchor="text" w:horzAnchor="page" w:tblpX="1058" w:tblpY="22"/>
        <w:tblOverlap w:val="never"/>
        <w:tblW w:w="13454" w:type="dxa"/>
        <w:tblInd w:w="0" w:type="dxa"/>
        <w:tblLayout w:type="fixed"/>
        <w:tblCellMar>
          <w:top w:w="0" w:type="dxa"/>
          <w:left w:w="0" w:type="dxa"/>
          <w:bottom w:w="0" w:type="dxa"/>
          <w:right w:w="0" w:type="dxa"/>
        </w:tblCellMar>
      </w:tblPr>
      <w:tblGrid>
        <w:gridCol w:w="3920"/>
        <w:gridCol w:w="3248"/>
        <w:gridCol w:w="3692"/>
        <w:gridCol w:w="2594"/>
      </w:tblGrid>
      <w:tr>
        <w:tblPrEx>
          <w:tblLayout w:type="fixed"/>
          <w:tblCellMar>
            <w:top w:w="0" w:type="dxa"/>
            <w:left w:w="0" w:type="dxa"/>
            <w:bottom w:w="0" w:type="dxa"/>
            <w:right w:w="0" w:type="dxa"/>
          </w:tblCellMar>
        </w:tblPrEx>
        <w:trPr>
          <w:trHeight w:val="232" w:hRule="atLeast"/>
        </w:trPr>
        <w:tc>
          <w:tcPr>
            <w:tcW w:w="13454"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392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24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168" w:type="dxa"/>
            <w:gridSpan w:val="2"/>
            <w:tcBorders>
              <w:top w:val="nil"/>
              <w:left w:val="nil"/>
              <w:bottom w:val="nil"/>
              <w:right w:val="nil"/>
            </w:tcBorders>
            <w:shd w:val="clear" w:color="auto" w:fill="auto"/>
            <w:noWrap/>
            <w:tcMar>
              <w:top w:w="15" w:type="dxa"/>
              <w:left w:w="15" w:type="dxa"/>
              <w:right w:w="15" w:type="dxa"/>
            </w:tcMar>
            <w:vAlign w:val="bottom"/>
          </w:tcPr>
          <w:p>
            <w:pPr>
              <w:spacing w:line="280" w:lineRule="exact"/>
              <w:rPr>
                <w:rFonts w:hint="default" w:ascii="Arial" w:hAnsi="Arial" w:cs="Arial"/>
                <w:color w:val="000000"/>
                <w:sz w:val="22"/>
                <w:szCs w:val="22"/>
              </w:rPr>
            </w:pPr>
            <w:r>
              <w:rPr>
                <w:rFonts w:cs="宋体"/>
                <w:sz w:val="20"/>
                <w:szCs w:val="20"/>
              </w:rPr>
              <w:t>单位：</w:t>
            </w:r>
            <w:r>
              <w:rPr>
                <w:sz w:val="20"/>
              </w:rPr>
              <w:t>垫江县太平镇人民政府（本级）</w:t>
            </w:r>
          </w:p>
        </w:tc>
        <w:tc>
          <w:tcPr>
            <w:tcW w:w="3692"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594"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16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286"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5,072.05</w:t>
            </w: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1,318.77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862.48</w:t>
            </w: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24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284.57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933.90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1,104.51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76.31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90"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5,934.52</w:t>
            </w: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5,966.73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4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2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32.21</w:t>
            </w:r>
            <w:r>
              <w:rPr>
                <w:rFonts w:ascii="Times New Roman" w:hAnsi="Times New Roman"/>
                <w:color w:val="000000"/>
                <w:sz w:val="20"/>
              </w:rPr>
              <w:t xml:space="preserve"> </w:t>
            </w:r>
          </w:p>
        </w:tc>
        <w:tc>
          <w:tcPr>
            <w:tcW w:w="3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594"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253" w:hRule="atLeast"/>
        </w:trPr>
        <w:tc>
          <w:tcPr>
            <w:tcW w:w="39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2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5,966.73</w:t>
            </w:r>
            <w:r>
              <w:rPr>
                <w:rFonts w:ascii="Times New Roman" w:hAnsi="Times New Roman"/>
                <w:color w:val="000000"/>
                <w:sz w:val="20"/>
              </w:rPr>
              <w:t xml:space="preserve"> </w:t>
            </w:r>
          </w:p>
        </w:tc>
        <w:tc>
          <w:tcPr>
            <w:tcW w:w="3692"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59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5,966.73</w:t>
            </w:r>
            <w:r>
              <w:rPr>
                <w:rFonts w:ascii="Times New Roman" w:hAnsi="Times New Roman"/>
                <w:color w:val="000000"/>
                <w:sz w:val="20"/>
              </w:rPr>
              <w:t xml:space="preserve"> </w:t>
            </w:r>
          </w:p>
        </w:tc>
      </w:tr>
    </w:tbl>
    <w:p>
      <w:pPr>
        <w:rPr>
          <w:rFonts w:hint="default" w:cs="宋体"/>
          <w:sz w:val="21"/>
          <w:szCs w:val="21"/>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cs="宋体"/>
          <w:sz w:val="20"/>
          <w:szCs w:val="20"/>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p>
    <w:tbl>
      <w:tblPr>
        <w:tblStyle w:val="7"/>
        <w:tblW w:w="14153" w:type="dxa"/>
        <w:tblInd w:w="0" w:type="dxa"/>
        <w:tblLayout w:type="fixed"/>
        <w:tblCellMar>
          <w:top w:w="0" w:type="dxa"/>
          <w:left w:w="0" w:type="dxa"/>
          <w:bottom w:w="0" w:type="dxa"/>
          <w:right w:w="0" w:type="dxa"/>
        </w:tblCellMar>
      </w:tblPr>
      <w:tblGrid>
        <w:gridCol w:w="1305"/>
        <w:gridCol w:w="2664"/>
        <w:gridCol w:w="1444"/>
        <w:gridCol w:w="1322"/>
        <w:gridCol w:w="1146"/>
        <w:gridCol w:w="1311"/>
        <w:gridCol w:w="1333"/>
        <w:gridCol w:w="1180"/>
        <w:gridCol w:w="1231"/>
        <w:gridCol w:w="1217"/>
      </w:tblGrid>
      <w:tr>
        <w:tblPrEx>
          <w:tblLayout w:type="fixed"/>
          <w:tblCellMar>
            <w:top w:w="0" w:type="dxa"/>
            <w:left w:w="0" w:type="dxa"/>
            <w:bottom w:w="0" w:type="dxa"/>
            <w:right w:w="0" w:type="dxa"/>
          </w:tblCellMar>
        </w:tblPrEx>
        <w:trPr>
          <w:trHeight w:val="641" w:hRule="atLeast"/>
        </w:trPr>
        <w:tc>
          <w:tcPr>
            <w:tcW w:w="14153" w:type="dxa"/>
            <w:gridSpan w:val="10"/>
            <w:tcBorders>
              <w:top w:val="nil"/>
              <w:left w:val="nil"/>
              <w:bottom w:val="nil"/>
              <w:right w:val="nil"/>
            </w:tcBorders>
            <w:shd w:val="clear" w:color="auto" w:fill="auto"/>
            <w:noWrap/>
            <w:tcMar>
              <w:top w:w="15" w:type="dxa"/>
              <w:left w:w="15" w:type="dxa"/>
              <w:right w:w="15" w:type="dxa"/>
            </w:tcMar>
            <w:vAlign w:val="bottom"/>
          </w:tcPr>
          <w:p>
            <w:pPr>
              <w:jc w:val="both"/>
              <w:textAlignment w:val="bottom"/>
              <w:rPr>
                <w:rFonts w:cs="宋体"/>
                <w:b/>
                <w:color w:val="000000"/>
                <w:sz w:val="32"/>
                <w:szCs w:val="32"/>
              </w:rPr>
            </w:pPr>
          </w:p>
          <w:p>
            <w:pPr>
              <w:jc w:val="both"/>
              <w:textAlignment w:val="bottom"/>
              <w:rPr>
                <w:rFonts w:cs="宋体"/>
                <w:b/>
                <w:color w:val="000000"/>
                <w:sz w:val="32"/>
                <w:szCs w:val="32"/>
              </w:rPr>
            </w:pPr>
          </w:p>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413"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sz w:val="20"/>
              </w:rPr>
              <w:t>垫江县太平镇人民政府（本级）</w:t>
            </w: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413"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4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3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3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17"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396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1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64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1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21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0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664"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0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664"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1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39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4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5,934.52</w:t>
            </w:r>
            <w:r>
              <w:rPr>
                <w:rFonts w:ascii="Times New Roman" w:hAnsi="Times New Roman"/>
                <w:b/>
                <w:color w:val="000000"/>
                <w:sz w:val="20"/>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5,934.52</w:t>
            </w:r>
            <w:r>
              <w:rPr>
                <w:rFonts w:ascii="Times New Roman" w:hAnsi="Times New Roman"/>
                <w:b/>
                <w:color w:val="000000"/>
                <w:sz w:val="20"/>
              </w:rPr>
              <w:t xml:space="preserve"> </w:t>
            </w:r>
          </w:p>
        </w:tc>
        <w:tc>
          <w:tcPr>
            <w:tcW w:w="11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33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3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284.57</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284.57</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81.06</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81.06</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32.69</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32.69</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87.63</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87.63</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63.23</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63.23</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925.57</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925.57</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33.44</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33.44</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12.86</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1,104.51</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1,104.51</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highlight w:val="none"/>
                <w:lang w:eastAsia="zh-CN"/>
              </w:rPr>
              <w:t>巩固拓展脱贫攻坚成果</w:t>
            </w:r>
            <w:r>
              <w:rPr>
                <w:rFonts w:cs="宋体"/>
                <w:color w:val="000000"/>
                <w:sz w:val="20"/>
                <w:szCs w:val="20"/>
              </w:rPr>
              <w:t>衔接乡村振兴支出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52.43</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53.45</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53.45</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26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1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7"/>
        <w:tblW w:w="13988" w:type="dxa"/>
        <w:tblInd w:w="0" w:type="dxa"/>
        <w:tblLayout w:type="fixed"/>
        <w:tblCellMar>
          <w:top w:w="0" w:type="dxa"/>
          <w:left w:w="0" w:type="dxa"/>
          <w:bottom w:w="0" w:type="dxa"/>
          <w:right w:w="0" w:type="dxa"/>
        </w:tblCellMar>
      </w:tblPr>
      <w:tblGrid>
        <w:gridCol w:w="1177"/>
        <w:gridCol w:w="3290"/>
        <w:gridCol w:w="1679"/>
        <w:gridCol w:w="1609"/>
        <w:gridCol w:w="1480"/>
        <w:gridCol w:w="1421"/>
        <w:gridCol w:w="1544"/>
        <w:gridCol w:w="1788"/>
      </w:tblGrid>
      <w:tr>
        <w:tblPrEx>
          <w:tblLayout w:type="fixed"/>
          <w:tblCellMar>
            <w:top w:w="0" w:type="dxa"/>
            <w:left w:w="0" w:type="dxa"/>
            <w:bottom w:w="0" w:type="dxa"/>
            <w:right w:w="0" w:type="dxa"/>
          </w:tblCellMar>
        </w:tblPrEx>
        <w:trPr>
          <w:trHeight w:val="654" w:hRule="atLeast"/>
        </w:trPr>
        <w:tc>
          <w:tcPr>
            <w:tcW w:w="1398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146"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垫江县太平镇人民政府（本级） </w:t>
            </w: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146"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0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8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2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4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88"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4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7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17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9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17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29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4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5,966.73</w:t>
            </w:r>
            <w:r>
              <w:rPr>
                <w:rFonts w:ascii="Times New Roman" w:hAnsi="Times New Roman"/>
                <w:b/>
                <w:color w:val="000000"/>
                <w:sz w:val="20"/>
              </w:rPr>
              <w:t xml:space="preserve"> </w:t>
            </w:r>
          </w:p>
        </w:tc>
        <w:tc>
          <w:tcPr>
            <w:tcW w:w="16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1,330.55</w:t>
            </w:r>
            <w:r>
              <w:rPr>
                <w:rFonts w:ascii="Times New Roman" w:hAnsi="Times New Roman"/>
                <w:b/>
                <w:color w:val="000000"/>
                <w:sz w:val="20"/>
              </w:rPr>
              <w:t xml:space="preserve"> </w:t>
            </w:r>
          </w:p>
        </w:tc>
        <w:tc>
          <w:tcPr>
            <w:tcW w:w="148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4,636.18</w:t>
            </w:r>
            <w:r>
              <w:rPr>
                <w:rFonts w:ascii="Times New Roman" w:hAnsi="Times New Roman"/>
                <w:b/>
                <w:color w:val="000000"/>
                <w:sz w:val="20"/>
              </w:rPr>
              <w:t xml:space="preserve"> </w:t>
            </w:r>
          </w:p>
        </w:tc>
        <w:tc>
          <w:tcPr>
            <w:tcW w:w="14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361.91</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330.62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284.57</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83.18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6.73</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81.06</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81.06</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32.69</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32.69</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87.63</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87.63</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63.23</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933.90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933.90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征地和拆迁补偿支出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2120814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21213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城市基础设施配套费安排的支出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2121399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其他城市基础设施配套费安排的支出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1,104.51</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62.59</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1,041.93</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highlight w:val="none"/>
                <w:lang w:eastAsia="zh-CN"/>
              </w:rPr>
              <w:t>巩固拓展脱贫攻坚成果</w:t>
            </w:r>
            <w:r>
              <w:rPr>
                <w:rFonts w:cs="宋体"/>
                <w:color w:val="000000"/>
                <w:sz w:val="20"/>
                <w:szCs w:val="20"/>
              </w:rPr>
              <w:t>衔接乡村振兴支出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62.59</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710.37</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62.59</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488.37</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53.45</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50.60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22960</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彩票公益金安排的支出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2296002</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用于社会福利的彩票公益金支出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82" w:hRule="atLeast"/>
        </w:trPr>
        <w:tc>
          <w:tcPr>
            <w:tcW w:w="117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2296099</w:t>
            </w:r>
          </w:p>
        </w:tc>
        <w:tc>
          <w:tcPr>
            <w:tcW w:w="329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用于其他社会公益事业的彩票公益金支出</w:t>
            </w:r>
          </w:p>
        </w:tc>
        <w:tc>
          <w:tcPr>
            <w:tcW w:w="16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7"/>
        <w:tblW w:w="13401" w:type="dxa"/>
        <w:tblInd w:w="0" w:type="dxa"/>
        <w:tblLayout w:type="fixed"/>
        <w:tblCellMar>
          <w:top w:w="0" w:type="dxa"/>
          <w:left w:w="0" w:type="dxa"/>
          <w:bottom w:w="0" w:type="dxa"/>
          <w:right w:w="0" w:type="dxa"/>
        </w:tblCellMar>
      </w:tblPr>
      <w:tblGrid>
        <w:gridCol w:w="2711"/>
        <w:gridCol w:w="1388"/>
        <w:gridCol w:w="2903"/>
        <w:gridCol w:w="1546"/>
        <w:gridCol w:w="1546"/>
        <w:gridCol w:w="1546"/>
        <w:gridCol w:w="1761"/>
      </w:tblGrid>
      <w:tr>
        <w:tblPrEx>
          <w:tblLayout w:type="fixed"/>
          <w:tblCellMar>
            <w:top w:w="0" w:type="dxa"/>
            <w:left w:w="0" w:type="dxa"/>
            <w:bottom w:w="0" w:type="dxa"/>
            <w:right w:w="0" w:type="dxa"/>
          </w:tblCellMar>
        </w:tblPrEx>
        <w:trPr>
          <w:trHeight w:val="90" w:hRule="atLeast"/>
        </w:trPr>
        <w:tc>
          <w:tcPr>
            <w:tcW w:w="13401"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002"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垫江县太平镇人民政府（本级）</w:t>
            </w:r>
          </w:p>
        </w:tc>
        <w:tc>
          <w:tcPr>
            <w:tcW w:w="15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002"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761" w:type="dxa"/>
            <w:tcBorders>
              <w:top w:val="nil"/>
              <w:left w:val="nil"/>
              <w:bottom w:val="nil"/>
              <w:right w:val="nil"/>
            </w:tcBorders>
            <w:shd w:val="clear" w:color="auto" w:fill="auto"/>
            <w:noWrap/>
            <w:tcMar>
              <w:top w:w="15" w:type="dxa"/>
              <w:left w:w="15" w:type="dxa"/>
              <w:right w:w="15" w:type="dxa"/>
            </w:tcMar>
            <w:vAlign w:val="bottom"/>
          </w:tcPr>
          <w:p>
            <w:pPr>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09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930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71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3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290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6399"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71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3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290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5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7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5,072.05</w:t>
            </w: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1,318.77</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1,318.77</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862.48</w:t>
            </w: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284.57</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284.57</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63.23</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63.23</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933.90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85.35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848.56</w:t>
            </w: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1,104.51</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1,104.51</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76.31</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76.31</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1,979.45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1,979.45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7.38</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24.50</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62.88</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62.88</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13.92</w:t>
            </w: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5,934.52</w:t>
            </w: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5,966.73</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5,104.25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862.48</w:t>
            </w: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32.21</w:t>
            </w: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32.21</w:t>
            </w: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71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3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5,966.73</w:t>
            </w:r>
            <w:r>
              <w:rPr>
                <w:rFonts w:ascii="Times New Roman" w:hAnsi="Times New Roman"/>
                <w:color w:val="000000"/>
                <w:sz w:val="18"/>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5,966.73</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5,104.25</w:t>
            </w:r>
            <w:r>
              <w:rPr>
                <w:rFonts w:ascii="Times New Roman" w:hAnsi="Times New Roman"/>
                <w:color w:val="000000"/>
                <w:sz w:val="18"/>
              </w:rPr>
              <w:t xml:space="preserve"> </w:t>
            </w:r>
          </w:p>
        </w:tc>
        <w:tc>
          <w:tcPr>
            <w:tcW w:w="154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862.48</w:t>
            </w:r>
            <w:r>
              <w:rPr>
                <w:rFonts w:ascii="Times New Roman" w:hAnsi="Times New Roman"/>
                <w:color w:val="000000"/>
                <w:sz w:val="18"/>
              </w:rPr>
              <w:t xml:space="preserve"> </w:t>
            </w:r>
          </w:p>
        </w:tc>
        <w:tc>
          <w:tcPr>
            <w:tcW w:w="17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88" w:type="dxa"/>
        <w:tblInd w:w="0" w:type="dxa"/>
        <w:tblLayout w:type="fixed"/>
        <w:tblCellMar>
          <w:top w:w="0" w:type="dxa"/>
          <w:left w:w="0" w:type="dxa"/>
          <w:bottom w:w="0" w:type="dxa"/>
          <w:right w:w="0" w:type="dxa"/>
        </w:tblCellMar>
      </w:tblPr>
      <w:tblGrid>
        <w:gridCol w:w="1192"/>
        <w:gridCol w:w="3718"/>
        <w:gridCol w:w="3019"/>
        <w:gridCol w:w="3010"/>
        <w:gridCol w:w="3049"/>
      </w:tblGrid>
      <w:tr>
        <w:tblPrEx>
          <w:tblLayout w:type="fixed"/>
          <w:tblCellMar>
            <w:top w:w="0" w:type="dxa"/>
            <w:left w:w="0" w:type="dxa"/>
            <w:bottom w:w="0" w:type="dxa"/>
            <w:right w:w="0" w:type="dxa"/>
          </w:tblCellMar>
        </w:tblPrEx>
        <w:trPr>
          <w:trHeight w:val="510" w:hRule="atLeast"/>
        </w:trPr>
        <w:tc>
          <w:tcPr>
            <w:tcW w:w="13988"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792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垫江县太平镇人民政府（本级）</w:t>
            </w:r>
          </w:p>
        </w:tc>
        <w:tc>
          <w:tcPr>
            <w:tcW w:w="301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792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04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491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078"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2" w:hRule="atLeast"/>
        </w:trPr>
        <w:tc>
          <w:tcPr>
            <w:tcW w:w="11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7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0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04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2" w:hRule="atLeast"/>
        </w:trPr>
        <w:tc>
          <w:tcPr>
            <w:tcW w:w="11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1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7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1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04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491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5,104.25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1,330.55</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3,773.70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1,318.77</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361.91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人大事务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13.02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人大会议</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2010108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代表工作</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政府办公厅（室）及相关机构事务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1,287.49</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956.87</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330.62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956.87</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328.42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2010399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其他政府办公厅（室）及相关机构事务支出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纪检监察事务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其他纪检监察事务支出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20113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商贸事务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2011308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招商引资</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3.51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组织事务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0.89</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2013202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其他共产党事务支出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2013699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其他共产党事务支出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20138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市场监督管理事务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6.72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2013816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食品安全监管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公共安全支出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公安</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2040202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20499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其他公共安全支出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5.51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2049999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其他公共安全支出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文化旅游体育与传媒支出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20701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文化和旅游</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2070199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其他文化和旅游支出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8.46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284.57</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83.18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人力资源和社会保障管理事务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7.26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0.54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其他人力资源和社会保障管理事务支出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201.38</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81.06</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81.06</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32.69</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32.69</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87.63</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87.63</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4.16</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其他优抚支出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4.16</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退役安置</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2080999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其他退役安置支出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20810</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社会福利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2081006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养老服务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残疾人事业</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7.84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残疾人体育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其他残疾人事业支出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20816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红十字事业</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2081602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其他生活救助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2082501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其他城市生活救助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20828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退役军人管理事务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2082804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拥军优属</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2082899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其他退役军人事务管理支出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63.23</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4.12</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21007</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计划生育事务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2100799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其他计划生育事务支出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59.12</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59.12</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优抚对象医疗</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2101401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优抚对象医疗补助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医疗保障管理事务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2101506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医疗保障经办事务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大气</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森林保护修复</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2110501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森林管护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85.35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41.77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2120303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小城镇基础设施建设</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21.19</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城乡社区环境卫生</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2120501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城乡社区环境卫生</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农林水支出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1,104.51</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62.59</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1,041.93</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农业农村</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44.18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2130108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病虫害控制</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2130119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防灾救灾</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27.00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2130122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农业生产发展</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其他农业农村支出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13.71</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林业和草原</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森林资源培育</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18.40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2130234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林业草原防灾减灾</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2130299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其他林业和草原支出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水利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164.58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2130310</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水土保持</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164.57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2130314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防汛</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0.02</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hint="eastAsia" w:cs="宋体"/>
                <w:b/>
                <w:color w:val="000000"/>
                <w:sz w:val="20"/>
                <w:szCs w:val="20"/>
                <w:highlight w:val="none"/>
                <w:lang w:eastAsia="zh-CN"/>
              </w:rPr>
              <w:t>巩固拓展脱贫攻坚成果</w:t>
            </w:r>
            <w:r>
              <w:rPr>
                <w:rFonts w:cs="宋体"/>
                <w:b/>
                <w:color w:val="000000"/>
                <w:sz w:val="20"/>
                <w:szCs w:val="20"/>
              </w:rPr>
              <w:t>衔接乡村振兴</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2130599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w:t>
            </w:r>
            <w:r>
              <w:rPr>
                <w:rFonts w:hint="eastAsia" w:cs="宋体"/>
                <w:color w:val="000000"/>
                <w:sz w:val="20"/>
                <w:szCs w:val="20"/>
                <w:highlight w:val="none"/>
                <w:lang w:eastAsia="zh-CN"/>
              </w:rPr>
              <w:t>巩固拓展脱贫攻坚成果</w:t>
            </w:r>
            <w:r>
              <w:rPr>
                <w:rFonts w:cs="宋体"/>
                <w:color w:val="000000"/>
                <w:sz w:val="20"/>
                <w:szCs w:val="20"/>
              </w:rPr>
              <w:t>衔接乡村振兴支出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21307</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农村综合改革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772.95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62.59</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710.37</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对村级公益事业建设的补助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2130705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对村民委员会和村党支部的补助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550.95</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62.59</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488.37</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76.31</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50.43</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资源勘探工业信息等支出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21508</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支持中小企业发展和管理支出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1,979.45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2150899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其他支持中小企业发展和管理支出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1,979.45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商业服务业等支出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21602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商业流通事务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7.38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2160299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其他商业流通事务支出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7.38</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自然资源海洋气象等支出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22001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自然资源事务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24.50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2200106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自然资源利用与保护</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24.50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保障性安居工程支出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2210105</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农村危房改造</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50.60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50.60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灾害防治及应急管理支出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62.88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应急管理事务</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2240199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其他应急管理支出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22406</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自然灾害防治</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12.60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2240601</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地质灾害防治</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7.60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2240699</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其他自然灾害防治支出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22407</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自然灾害救灾及恢复重建支出</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08" w:hRule="atLeast"/>
        </w:trPr>
        <w:tc>
          <w:tcPr>
            <w:tcW w:w="11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2240703</w:t>
            </w:r>
          </w:p>
        </w:tc>
        <w:tc>
          <w:tcPr>
            <w:tcW w:w="37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自然灾害救灾补助</w:t>
            </w:r>
          </w:p>
        </w:tc>
        <w:tc>
          <w:tcPr>
            <w:tcW w:w="30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c>
          <w:tcPr>
            <w:tcW w:w="301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0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7"/>
        <w:tblW w:w="13971" w:type="dxa"/>
        <w:tblInd w:w="0" w:type="dxa"/>
        <w:tblLayout w:type="fixed"/>
        <w:tblCellMar>
          <w:top w:w="0" w:type="dxa"/>
          <w:left w:w="0" w:type="dxa"/>
          <w:bottom w:w="0" w:type="dxa"/>
          <w:right w:w="0" w:type="dxa"/>
        </w:tblCellMar>
      </w:tblPr>
      <w:tblGrid>
        <w:gridCol w:w="733"/>
        <w:gridCol w:w="2566"/>
        <w:gridCol w:w="1405"/>
        <w:gridCol w:w="796"/>
        <w:gridCol w:w="1855"/>
        <w:gridCol w:w="1294"/>
        <w:gridCol w:w="796"/>
        <w:gridCol w:w="3160"/>
        <w:gridCol w:w="1366"/>
      </w:tblGrid>
      <w:tr>
        <w:tblPrEx>
          <w:tblLayout w:type="fixed"/>
          <w:tblCellMar>
            <w:top w:w="0" w:type="dxa"/>
            <w:left w:w="0" w:type="dxa"/>
            <w:bottom w:w="0" w:type="dxa"/>
            <w:right w:w="0" w:type="dxa"/>
          </w:tblCellMar>
        </w:tblPrEx>
        <w:trPr>
          <w:trHeight w:val="90" w:hRule="atLeast"/>
        </w:trPr>
        <w:tc>
          <w:tcPr>
            <w:tcW w:w="13971" w:type="dxa"/>
            <w:gridSpan w:val="9"/>
            <w:tcBorders>
              <w:top w:val="nil"/>
              <w:left w:val="nil"/>
              <w:bottom w:val="nil"/>
              <w:right w:val="nil"/>
            </w:tcBorders>
            <w:shd w:val="clear" w:color="auto" w:fill="auto"/>
            <w:noWrap/>
            <w:tcMar>
              <w:top w:w="15" w:type="dxa"/>
              <w:left w:w="15" w:type="dxa"/>
              <w:right w:w="15" w:type="dxa"/>
            </w:tcMar>
            <w:vAlign w:val="bottom"/>
          </w:tcPr>
          <w:p>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355" w:type="dxa"/>
            <w:gridSpan w:val="5"/>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垫江县太平镇人民政府（本级）</w:t>
            </w: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355" w:type="dxa"/>
            <w:gridSpan w:val="5"/>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796"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3160"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366"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9267"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5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8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29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7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16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6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25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4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8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29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7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316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c>
          <w:tcPr>
            <w:tcW w:w="136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695.71</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302</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439.57</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310</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36.38</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125.89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17.39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31001</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val="en-US" w:eastAsia="zh-CN"/>
              </w:rPr>
            </w:pPr>
            <w:r>
              <w:rPr>
                <w:rFonts w:cs="宋体"/>
                <w:color w:val="000000"/>
                <w:sz w:val="18"/>
                <w:szCs w:val="18"/>
              </w:rPr>
              <w:t xml:space="preserve">  房屋建筑物</w:t>
            </w:r>
            <w:r>
              <w:rPr>
                <w:rFonts w:cs="宋体"/>
                <w:color w:val="000000"/>
                <w:sz w:val="18"/>
                <w:szCs w:val="18"/>
                <w:highlight w:val="none"/>
              </w:rPr>
              <w:t>购</w:t>
            </w:r>
            <w:r>
              <w:rPr>
                <w:rFonts w:hint="eastAsia" w:cs="宋体"/>
                <w:color w:val="000000"/>
                <w:sz w:val="18"/>
                <w:szCs w:val="18"/>
                <w:highlight w:val="none"/>
                <w:lang w:val="en-US" w:eastAsia="zh-CN"/>
              </w:rPr>
              <w:t>置</w:t>
            </w:r>
            <w:r>
              <w:rPr>
                <w:rFonts w:cs="宋体"/>
                <w:color w:val="000000"/>
                <w:sz w:val="18"/>
                <w:szCs w:val="18"/>
                <w:highlight w:val="none"/>
              </w:rPr>
              <w:t>建</w:t>
            </w:r>
            <w:r>
              <w:rPr>
                <w:rFonts w:hint="eastAsia" w:cs="宋体"/>
                <w:color w:val="000000"/>
                <w:sz w:val="18"/>
                <w:szCs w:val="18"/>
                <w:highlight w:val="none"/>
                <w:lang w:val="en-US" w:eastAsia="zh-CN"/>
              </w:rPr>
              <w:t>设</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100.09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30202</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3.85</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21.94</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奖金</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194.75</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30203</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31003</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30106</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30204</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31005</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30107</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30205</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水费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31006</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30108</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81.06</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30206</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21.82</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31007</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30109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30207</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38.81</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31008</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30110</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59.12</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30208</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31009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30209</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31010</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3.08</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31011</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50.60</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30212</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30114</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22.75</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30213</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0.17</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31013</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w:t>
            </w: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30199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25.69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30214</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31019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158.89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30215</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31021</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30216</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2.48</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31022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30302</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30217</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12.66</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31099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30303</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30218</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1.86</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312</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30304</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30224</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31201</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30305</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147.66</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30225</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31203</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30306</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30226</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14.74</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31204</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30307</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5.20</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30227</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31205</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30308</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30228</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124.09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31206</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30309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6.02</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30229</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19.67</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31299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30310</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4.29</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399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30311</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30239</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22.28</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39907</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30399</w:t>
            </w: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30240</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20.74</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39908</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30299</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96.22</w:t>
            </w: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39909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 xml:space="preserve">  经常性</w:t>
            </w:r>
            <w:r>
              <w:rPr>
                <w:rFonts w:hint="eastAsia" w:cs="宋体"/>
                <w:color w:val="000000"/>
                <w:sz w:val="18"/>
                <w:szCs w:val="18"/>
                <w:highlight w:val="none"/>
                <w:lang w:eastAsia="zh-CN"/>
              </w:rPr>
              <w:t>赠予</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307</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39910</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eastAsia" w:eastAsia="宋体" w:cs="宋体"/>
                <w:color w:val="000000"/>
                <w:sz w:val="18"/>
                <w:szCs w:val="18"/>
                <w:lang w:eastAsia="zh-CN"/>
              </w:rPr>
            </w:pPr>
            <w:r>
              <w:rPr>
                <w:rFonts w:cs="宋体"/>
                <w:color w:val="000000"/>
                <w:sz w:val="18"/>
                <w:szCs w:val="18"/>
              </w:rPr>
              <w:t xml:space="preserve">  资本性</w:t>
            </w:r>
            <w:r>
              <w:rPr>
                <w:rFonts w:hint="eastAsia" w:cs="宋体"/>
                <w:color w:val="000000"/>
                <w:sz w:val="18"/>
                <w:szCs w:val="18"/>
                <w:highlight w:val="none"/>
                <w:lang w:eastAsia="zh-CN"/>
              </w:rPr>
              <w:t>赠予</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30701</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39999</w:t>
            </w: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30702</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30703</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2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4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rPr>
                <w:rFonts w:hint="default" w:cs="宋体"/>
                <w:color w:val="000000"/>
                <w:sz w:val="18"/>
                <w:szCs w:val="18"/>
              </w:rPr>
            </w:pP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30704</w:t>
            </w:r>
          </w:p>
        </w:tc>
        <w:tc>
          <w:tcPr>
            <w:tcW w:w="18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2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7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31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rPr>
                <w:rFonts w:hint="default" w:cs="宋体"/>
                <w:color w:val="000000"/>
                <w:sz w:val="18"/>
                <w:szCs w:val="18"/>
              </w:rPr>
            </w:pPr>
          </w:p>
        </w:tc>
        <w:tc>
          <w:tcPr>
            <w:tcW w:w="13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299"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4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854.60</w:t>
            </w:r>
            <w:r>
              <w:rPr>
                <w:rFonts w:ascii="Times New Roman" w:hAnsi="Times New Roman"/>
                <w:color w:val="000000"/>
                <w:sz w:val="18"/>
              </w:rPr>
              <w:t xml:space="preserve"> </w:t>
            </w:r>
          </w:p>
        </w:tc>
        <w:tc>
          <w:tcPr>
            <w:tcW w:w="7901"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3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475.96</w:t>
            </w:r>
            <w:r>
              <w:rPr>
                <w:rFonts w:ascii="Times New Roman" w:hAnsi="Times New Roman"/>
                <w:color w:val="000000"/>
                <w:sz w:val="18"/>
              </w:rPr>
              <w:t xml:space="preserve"> </w:t>
            </w:r>
          </w:p>
        </w:tc>
      </w:tr>
    </w:tbl>
    <w:p>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3988" w:type="dxa"/>
        <w:tblInd w:w="0" w:type="dxa"/>
        <w:tblLayout w:type="fixed"/>
        <w:tblCellMar>
          <w:top w:w="0" w:type="dxa"/>
          <w:left w:w="0" w:type="dxa"/>
          <w:bottom w:w="0" w:type="dxa"/>
          <w:right w:w="0" w:type="dxa"/>
        </w:tblCellMar>
      </w:tblPr>
      <w:tblGrid>
        <w:gridCol w:w="1205"/>
        <w:gridCol w:w="3281"/>
        <w:gridCol w:w="1553"/>
        <w:gridCol w:w="1553"/>
        <w:gridCol w:w="1553"/>
        <w:gridCol w:w="1553"/>
        <w:gridCol w:w="1611"/>
        <w:gridCol w:w="1679"/>
      </w:tblGrid>
      <w:tr>
        <w:tblPrEx>
          <w:tblLayout w:type="fixed"/>
          <w:tblCellMar>
            <w:top w:w="0" w:type="dxa"/>
            <w:left w:w="0" w:type="dxa"/>
            <w:bottom w:w="0" w:type="dxa"/>
            <w:right w:w="0" w:type="dxa"/>
          </w:tblCellMar>
        </w:tblPrEx>
        <w:trPr>
          <w:trHeight w:val="644" w:hRule="atLeast"/>
        </w:trPr>
        <w:tc>
          <w:tcPr>
            <w:tcW w:w="13988"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039"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垫江县太平镇人民政府（本级）</w:t>
            </w: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039"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3"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1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79"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48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553"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55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471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6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2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2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1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2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1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48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862.48</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862.48</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862.48</w:t>
            </w:r>
            <w:r>
              <w:rPr>
                <w:rFonts w:ascii="Times New Roman" w:hAnsi="Times New Roman"/>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848.56</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848.56</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848.56</w:t>
            </w:r>
            <w:r>
              <w:rPr>
                <w:rFonts w:ascii="Times New Roman" w:hAnsi="Times New Roman"/>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548.56</w:t>
            </w:r>
            <w:r>
              <w:rPr>
                <w:rFonts w:ascii="Times New Roman" w:hAnsi="Times New Roman"/>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2120801</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征地和拆迁补偿支出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477.42</w:t>
            </w:r>
            <w:r>
              <w:rPr>
                <w:rFonts w:ascii="Times New Roman" w:hAnsi="Times New Roman"/>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19.50</w:t>
            </w:r>
            <w:r>
              <w:rPr>
                <w:rFonts w:ascii="Times New Roman" w:hAnsi="Times New Roman"/>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2120814</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农业生产发展支出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51.64</w:t>
            </w:r>
            <w:r>
              <w:rPr>
                <w:rFonts w:ascii="Times New Roman" w:hAnsi="Times New Roman"/>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21213</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城市基础设施配套费安排的支出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300.00</w:t>
            </w:r>
            <w:r>
              <w:rPr>
                <w:rFonts w:ascii="Times New Roman" w:hAnsi="Times New Roman"/>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2121399</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其他城市基础设施配套费安排的支出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300.00</w:t>
            </w:r>
            <w:r>
              <w:rPr>
                <w:rFonts w:ascii="Times New Roman" w:hAnsi="Times New Roman"/>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其他支出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22960</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彩票公益金安排的支出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13.92</w:t>
            </w:r>
            <w:r>
              <w:rPr>
                <w:rFonts w:ascii="Times New Roman" w:hAnsi="Times New Roman"/>
                <w:b/>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2296002</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用于社会福利的彩票公益金支出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8.92</w:t>
            </w:r>
            <w:r>
              <w:rPr>
                <w:rFonts w:ascii="Times New Roman" w:hAnsi="Times New Roman"/>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tblPrEx>
          <w:tblLayout w:type="fixed"/>
          <w:tblCellMar>
            <w:top w:w="0" w:type="dxa"/>
            <w:left w:w="0" w:type="dxa"/>
            <w:bottom w:w="0" w:type="dxa"/>
            <w:right w:w="0" w:type="dxa"/>
          </w:tblCellMar>
        </w:tblPrEx>
        <w:trPr>
          <w:trHeight w:val="349" w:hRule="atLeast"/>
        </w:trPr>
        <w:tc>
          <w:tcPr>
            <w:tcW w:w="12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2296099</w:t>
            </w:r>
          </w:p>
        </w:tc>
        <w:tc>
          <w:tcPr>
            <w:tcW w:w="328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用于其他社会公益事业的彩票公益金支出</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5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rPr>
              <w:t xml:space="preserve"> </w:t>
            </w:r>
          </w:p>
        </w:tc>
        <w:tc>
          <w:tcPr>
            <w:tcW w:w="167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7"/>
        <w:tblW w:w="13988" w:type="dxa"/>
        <w:tblInd w:w="0" w:type="dxa"/>
        <w:tblLayout w:type="fixed"/>
        <w:tblCellMar>
          <w:top w:w="0" w:type="dxa"/>
          <w:left w:w="0" w:type="dxa"/>
          <w:bottom w:w="0" w:type="dxa"/>
          <w:right w:w="0" w:type="dxa"/>
        </w:tblCellMar>
      </w:tblPr>
      <w:tblGrid>
        <w:gridCol w:w="1182"/>
        <w:gridCol w:w="3301"/>
        <w:gridCol w:w="2988"/>
        <w:gridCol w:w="173"/>
        <w:gridCol w:w="3161"/>
        <w:gridCol w:w="78"/>
        <w:gridCol w:w="3105"/>
      </w:tblGrid>
      <w:tr>
        <w:tblPrEx>
          <w:tblLayout w:type="fixed"/>
          <w:tblCellMar>
            <w:top w:w="0" w:type="dxa"/>
            <w:left w:w="0" w:type="dxa"/>
            <w:bottom w:w="0" w:type="dxa"/>
            <w:right w:w="0" w:type="dxa"/>
          </w:tblCellMar>
        </w:tblPrEx>
        <w:trPr>
          <w:trHeight w:val="650" w:hRule="atLeast"/>
        </w:trPr>
        <w:tc>
          <w:tcPr>
            <w:tcW w:w="13988"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7471" w:type="dxa"/>
            <w:gridSpan w:val="3"/>
            <w:vMerge w:val="restart"/>
            <w:tcBorders>
              <w:top w:val="nil"/>
              <w:left w:val="nil"/>
              <w:right w:val="nil"/>
            </w:tcBorders>
            <w:shd w:val="clear" w:color="auto" w:fill="auto"/>
            <w:noWrap/>
            <w:tcMar>
              <w:top w:w="15" w:type="dxa"/>
              <w:left w:w="15" w:type="dxa"/>
              <w:right w:w="15" w:type="dxa"/>
            </w:tcMar>
            <w:vAlign w:val="bottom"/>
          </w:tcPr>
          <w:p>
            <w:pPr>
              <w:spacing w:line="280" w:lineRule="exact"/>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垫江县太平镇人民政府（本级）</w:t>
            </w:r>
          </w:p>
        </w:tc>
        <w:tc>
          <w:tcPr>
            <w:tcW w:w="341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747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12"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105" w:type="dxa"/>
            <w:tcBorders>
              <w:top w:val="nil"/>
              <w:left w:val="nil"/>
              <w:bottom w:val="nil"/>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9505"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18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3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161"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183"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18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18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2" w:hRule="atLeast"/>
        </w:trPr>
        <w:tc>
          <w:tcPr>
            <w:tcW w:w="118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6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183"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4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tblPrEx>
          <w:tblLayout w:type="fixed"/>
          <w:tblCellMar>
            <w:top w:w="0" w:type="dxa"/>
            <w:left w:w="0" w:type="dxa"/>
            <w:bottom w:w="0" w:type="dxa"/>
            <w:right w:w="0" w:type="dxa"/>
          </w:tblCellMar>
        </w:tblPrEx>
        <w:trPr>
          <w:trHeight w:val="488" w:hRule="atLeast"/>
        </w:trPr>
        <w:tc>
          <w:tcPr>
            <w:tcW w:w="11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16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1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18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7"/>
        <w:tblW w:w="12900" w:type="dxa"/>
        <w:tblInd w:w="0" w:type="dxa"/>
        <w:tblLayout w:type="fixed"/>
        <w:tblCellMar>
          <w:top w:w="0" w:type="dxa"/>
          <w:left w:w="170" w:type="dxa"/>
          <w:bottom w:w="0" w:type="dxa"/>
          <w:right w:w="170" w:type="dxa"/>
        </w:tblCellMar>
      </w:tblPr>
      <w:tblGrid>
        <w:gridCol w:w="2900"/>
        <w:gridCol w:w="2206"/>
        <w:gridCol w:w="2167"/>
        <w:gridCol w:w="3351"/>
        <w:gridCol w:w="2276"/>
      </w:tblGrid>
      <w:tr>
        <w:tblPrEx>
          <w:tblLayout w:type="fixed"/>
          <w:tblCellMar>
            <w:top w:w="0" w:type="dxa"/>
            <w:left w:w="170" w:type="dxa"/>
            <w:bottom w:w="0" w:type="dxa"/>
            <w:right w:w="170" w:type="dxa"/>
          </w:tblCellMar>
        </w:tblPrEx>
        <w:trPr>
          <w:trHeight w:val="343" w:hRule="atLeast"/>
        </w:trPr>
        <w:tc>
          <w:tcPr>
            <w:tcW w:w="12900"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2900"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0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167"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1"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106"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垫江县太平镇人民政府（本级）</w:t>
            </w:r>
          </w:p>
        </w:tc>
        <w:tc>
          <w:tcPr>
            <w:tcW w:w="216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351"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276"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475.96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34.65</w:t>
            </w:r>
            <w:r>
              <w:rPr>
                <w:rFonts w:ascii="Times New Roman" w:hAnsi="Times New Roman"/>
                <w:color w:val="000000"/>
                <w:sz w:val="18"/>
              </w:rPr>
              <w:t xml:space="preserve"> </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34.65</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475.96</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因公出国（境）费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公务用车购置及运行维护费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18.73</w:t>
            </w:r>
            <w:r>
              <w:rPr>
                <w:rFonts w:ascii="Times New Roman" w:hAnsi="Times New Roman"/>
                <w:color w:val="000000"/>
                <w:sz w:val="18"/>
              </w:rPr>
              <w:t xml:space="preserve"> </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18.73</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14.44</w:t>
            </w:r>
            <w:r>
              <w:rPr>
                <w:rFonts w:ascii="Times New Roman" w:hAnsi="Times New Roman"/>
                <w:color w:val="000000"/>
                <w:sz w:val="18"/>
              </w:rPr>
              <w:t xml:space="preserve"> </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14.44</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4.29</w:t>
            </w:r>
            <w:r>
              <w:rPr>
                <w:rFonts w:ascii="Times New Roman" w:hAnsi="Times New Roman"/>
                <w:color w:val="000000"/>
                <w:sz w:val="18"/>
              </w:rPr>
              <w:t xml:space="preserve"> </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4.29</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副部（省）级及以上领导用车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公务接待费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15.92</w:t>
            </w:r>
            <w:r>
              <w:rPr>
                <w:rFonts w:ascii="Times New Roman" w:hAnsi="Times New Roman"/>
                <w:color w:val="000000"/>
                <w:sz w:val="18"/>
              </w:rPr>
              <w:t xml:space="preserve"> </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15.92</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主要领导干部用车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15.92</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机要通信用车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4.</w:t>
            </w:r>
            <w:r>
              <w:rPr>
                <w:rFonts w:cs="宋体"/>
                <w:b/>
                <w:bCs/>
                <w:color w:val="000000"/>
                <w:kern w:val="2"/>
                <w:sz w:val="16"/>
                <w:szCs w:val="16"/>
              </w:rPr>
              <w:t>应急保障用车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5.</w:t>
            </w:r>
            <w:r>
              <w:rPr>
                <w:rFonts w:cs="宋体"/>
                <w:b/>
                <w:bCs/>
                <w:color w:val="000000"/>
                <w:kern w:val="2"/>
                <w:sz w:val="16"/>
                <w:szCs w:val="16"/>
              </w:rPr>
              <w:t>执法执勤用车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eastAsia" w:eastAsia="宋体" w:cs="宋体"/>
                <w:b/>
                <w:bCs/>
                <w:color w:val="000000"/>
                <w:kern w:val="2"/>
                <w:sz w:val="16"/>
                <w:szCs w:val="16"/>
                <w:lang w:eastAsia="zh-CN"/>
              </w:rPr>
            </w:pPr>
            <w:r>
              <w:rPr>
                <w:rFonts w:cs="宋体"/>
                <w:b/>
                <w:bCs/>
                <w:color w:val="000000"/>
                <w:kern w:val="2"/>
                <w:sz w:val="16"/>
                <w:szCs w:val="16"/>
              </w:rPr>
              <w:t xml:space="preserve">  （二）相关统计</w:t>
            </w:r>
            <w:r>
              <w:rPr>
                <w:rFonts w:hint="eastAsia" w:cs="宋体"/>
                <w:b/>
                <w:bCs/>
                <w:color w:val="000000"/>
                <w:kern w:val="2"/>
                <w:sz w:val="16"/>
                <w:szCs w:val="16"/>
                <w:highlight w:val="none"/>
                <w:lang w:eastAsia="zh-CN"/>
              </w:rPr>
              <w:t>数据</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6.</w:t>
            </w:r>
            <w:r>
              <w:rPr>
                <w:rFonts w:cs="宋体"/>
                <w:b/>
                <w:bCs/>
                <w:color w:val="000000"/>
                <w:kern w:val="2"/>
                <w:sz w:val="16"/>
                <w:szCs w:val="16"/>
              </w:rPr>
              <w:t>特种专业技术用车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因公出国（境）团组数（个）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7.</w:t>
            </w:r>
            <w:r>
              <w:rPr>
                <w:rFonts w:cs="宋体"/>
                <w:b/>
                <w:bCs/>
                <w:color w:val="000000"/>
                <w:kern w:val="2"/>
                <w:sz w:val="16"/>
                <w:szCs w:val="16"/>
              </w:rPr>
              <w:t>离退休干部用车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因公出国（境）人次数（人）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8.</w:t>
            </w:r>
            <w:r>
              <w:rPr>
                <w:rFonts w:cs="宋体"/>
                <w:b/>
                <w:bCs/>
                <w:color w:val="000000"/>
                <w:kern w:val="2"/>
                <w:sz w:val="16"/>
                <w:szCs w:val="16"/>
              </w:rPr>
              <w:t>其他用车</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公务用车购置数（辆）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4.</w:t>
            </w:r>
            <w:r>
              <w:rPr>
                <w:rFonts w:cs="宋体"/>
                <w:b/>
                <w:bCs/>
                <w:color w:val="000000"/>
                <w:kern w:val="2"/>
                <w:sz w:val="16"/>
                <w:szCs w:val="16"/>
              </w:rPr>
              <w:t>公务用车保有量（辆）</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5.</w:t>
            </w:r>
            <w:r>
              <w:rPr>
                <w:rFonts w:cs="宋体"/>
                <w:b/>
                <w:bCs/>
                <w:color w:val="000000"/>
                <w:kern w:val="2"/>
                <w:sz w:val="16"/>
                <w:szCs w:val="16"/>
              </w:rPr>
              <w:t>国内公务接待批次（个）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286</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1.</w:t>
            </w:r>
            <w:r>
              <w:rPr>
                <w:rFonts w:cs="宋体"/>
                <w:b/>
                <w:bCs/>
                <w:color w:val="000000"/>
                <w:kern w:val="2"/>
                <w:sz w:val="16"/>
                <w:szCs w:val="16"/>
              </w:rPr>
              <w:t>政府采购货物支出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6.</w:t>
            </w:r>
            <w:r>
              <w:rPr>
                <w:rFonts w:cs="宋体"/>
                <w:b/>
                <w:bCs/>
                <w:color w:val="000000"/>
                <w:kern w:val="2"/>
                <w:sz w:val="16"/>
                <w:szCs w:val="16"/>
              </w:rPr>
              <w:t>国内公务接待人次（人）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2,289</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2.</w:t>
            </w:r>
            <w:r>
              <w:rPr>
                <w:rFonts w:cs="宋体"/>
                <w:b/>
                <w:bCs/>
                <w:color w:val="000000"/>
                <w:kern w:val="2"/>
                <w:sz w:val="16"/>
                <w:szCs w:val="16"/>
              </w:rPr>
              <w:t>政府采购工程支出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3.</w:t>
            </w:r>
            <w:r>
              <w:rPr>
                <w:rFonts w:cs="宋体"/>
                <w:b/>
                <w:bCs/>
                <w:color w:val="000000"/>
                <w:kern w:val="2"/>
                <w:sz w:val="16"/>
                <w:szCs w:val="16"/>
              </w:rPr>
              <w:t>政府采购服务支出</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7.</w:t>
            </w:r>
            <w:r>
              <w:rPr>
                <w:rFonts w:cs="宋体"/>
                <w:b/>
                <w:bCs/>
                <w:color w:val="000000"/>
                <w:kern w:val="2"/>
                <w:sz w:val="16"/>
                <w:szCs w:val="16"/>
              </w:rPr>
              <w:t>国（境）外公务接待批次（个）</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92"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w:t>
            </w:r>
            <w:r>
              <w:rPr>
                <w:rFonts w:hint="eastAsia" w:cs="宋体"/>
                <w:b/>
                <w:bCs/>
                <w:color w:val="000000"/>
                <w:kern w:val="2"/>
                <w:sz w:val="16"/>
                <w:szCs w:val="16"/>
                <w:highlight w:val="none"/>
                <w:lang w:eastAsia="zh-CN"/>
              </w:rPr>
              <w:t>8.</w:t>
            </w:r>
            <w:r>
              <w:rPr>
                <w:rFonts w:cs="宋体"/>
                <w:b/>
                <w:bCs/>
                <w:color w:val="000000"/>
                <w:kern w:val="2"/>
                <w:sz w:val="16"/>
                <w:szCs w:val="16"/>
              </w:rPr>
              <w:t>国（境）外公务接待人次（人）</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3.42</w:t>
            </w:r>
            <w:r>
              <w:rPr>
                <w:rFonts w:ascii="Times New Roman" w:hAnsi="Times New Roman"/>
                <w:color w:val="000000"/>
                <w:sz w:val="18"/>
              </w:rPr>
              <w:t xml:space="preserve"> </w:t>
            </w:r>
          </w:p>
        </w:tc>
      </w:tr>
      <w:tr>
        <w:tblPrEx>
          <w:tblLayout w:type="fixed"/>
          <w:tblCellMar>
            <w:top w:w="0" w:type="dxa"/>
            <w:left w:w="170" w:type="dxa"/>
            <w:bottom w:w="0" w:type="dxa"/>
            <w:right w:w="170" w:type="dxa"/>
          </w:tblCellMar>
        </w:tblPrEx>
        <w:trPr>
          <w:trHeight w:val="286"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14.89</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4.41</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kern w:val="2"/>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290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20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16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30.25</w:t>
            </w:r>
            <w:r>
              <w:rPr>
                <w:rFonts w:ascii="Times New Roman" w:hAnsi="Times New Roman"/>
                <w:color w:val="000000"/>
                <w:sz w:val="18"/>
              </w:rPr>
              <w:t xml:space="preserve"> </w:t>
            </w:r>
          </w:p>
        </w:tc>
        <w:tc>
          <w:tcPr>
            <w:tcW w:w="335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line="280" w:lineRule="exact"/>
              <w:rPr>
                <w:rFonts w:hint="default" w:cs="宋体"/>
                <w:color w:val="000000"/>
                <w:sz w:val="16"/>
                <w:szCs w:val="16"/>
              </w:rPr>
            </w:pPr>
          </w:p>
        </w:tc>
        <w:tc>
          <w:tcPr>
            <w:tcW w:w="227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spacing w:line="280" w:lineRule="exact"/>
              <w:jc w:val="right"/>
              <w:rPr>
                <w:rFonts w:hint="default" w:cs="宋体"/>
                <w:color w:val="000000"/>
                <w:sz w:val="16"/>
                <w:szCs w:val="16"/>
              </w:rPr>
            </w:pPr>
          </w:p>
        </w:tc>
      </w:tr>
    </w:tbl>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sectPr>
      <w:pgSz w:w="16838" w:h="11917" w:orient="landscape"/>
      <w:pgMar w:top="1803" w:right="1440" w:bottom="1803" w:left="1440" w:header="850" w:footer="992" w:gutter="0"/>
      <w:pgNumType w:fmt="numberInDash"/>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3"/>
                      <w:rPr>
                        <w:rFonts w:hint="default"/>
                      </w:rPr>
                    </w:pPr>
                    <w:r>
                      <w:fldChar w:fldCharType="begin"/>
                    </w:r>
                    <w:r>
                      <w:instrText xml:space="preserve"> PAGE  \* MERGEFORMAT </w:instrText>
                    </w:r>
                    <w:r>
                      <w:fldChar w:fldCharType="separate"/>
                    </w:r>
                    <w:r>
                      <w:rPr>
                        <w:rFonts w:hint="default"/>
                      </w:rPr>
                      <w:t>- 10 -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52 -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52 -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7216"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7216;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20"/>
  <w:drawingGridVerticalSpacing w:val="16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C6B30"/>
    <w:rsid w:val="001D3BB7"/>
    <w:rsid w:val="002B254B"/>
    <w:rsid w:val="00365A69"/>
    <w:rsid w:val="004349DF"/>
    <w:rsid w:val="00466C9B"/>
    <w:rsid w:val="004C43F9"/>
    <w:rsid w:val="00550ABE"/>
    <w:rsid w:val="00770383"/>
    <w:rsid w:val="007819D4"/>
    <w:rsid w:val="007B419D"/>
    <w:rsid w:val="007B7C4B"/>
    <w:rsid w:val="007D3D39"/>
    <w:rsid w:val="00875123"/>
    <w:rsid w:val="009142F8"/>
    <w:rsid w:val="00994AF7"/>
    <w:rsid w:val="009B67B8"/>
    <w:rsid w:val="009D2B67"/>
    <w:rsid w:val="00A566F9"/>
    <w:rsid w:val="00A63DD7"/>
    <w:rsid w:val="00AC5B1B"/>
    <w:rsid w:val="00AF2751"/>
    <w:rsid w:val="00B03CCD"/>
    <w:rsid w:val="00BE2B89"/>
    <w:rsid w:val="00C10E9E"/>
    <w:rsid w:val="00C20C3E"/>
    <w:rsid w:val="00CD5D04"/>
    <w:rsid w:val="00CF2ACF"/>
    <w:rsid w:val="00F25636"/>
    <w:rsid w:val="00F73F90"/>
    <w:rsid w:val="00FA6855"/>
    <w:rsid w:val="00FB4B3B"/>
    <w:rsid w:val="01474EBF"/>
    <w:rsid w:val="01F3521E"/>
    <w:rsid w:val="03B87EA0"/>
    <w:rsid w:val="03E3214F"/>
    <w:rsid w:val="044C50BA"/>
    <w:rsid w:val="04F60FEB"/>
    <w:rsid w:val="05BC6D49"/>
    <w:rsid w:val="06194FF1"/>
    <w:rsid w:val="06A2550B"/>
    <w:rsid w:val="06F80EE2"/>
    <w:rsid w:val="07001CCA"/>
    <w:rsid w:val="075678DB"/>
    <w:rsid w:val="07944A3A"/>
    <w:rsid w:val="079D7CC7"/>
    <w:rsid w:val="08051BCA"/>
    <w:rsid w:val="086C12F4"/>
    <w:rsid w:val="08705944"/>
    <w:rsid w:val="08BA052C"/>
    <w:rsid w:val="08DB07BA"/>
    <w:rsid w:val="0969353F"/>
    <w:rsid w:val="098305D0"/>
    <w:rsid w:val="0A3317EA"/>
    <w:rsid w:val="0A5C4B69"/>
    <w:rsid w:val="0A86124A"/>
    <w:rsid w:val="0AB54CC0"/>
    <w:rsid w:val="0B156E0E"/>
    <w:rsid w:val="0B9335CE"/>
    <w:rsid w:val="0BF2311A"/>
    <w:rsid w:val="0C2A5909"/>
    <w:rsid w:val="0C7927C4"/>
    <w:rsid w:val="0C9B098C"/>
    <w:rsid w:val="0D05185F"/>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C93071"/>
    <w:rsid w:val="24B92327"/>
    <w:rsid w:val="24C14514"/>
    <w:rsid w:val="2533755C"/>
    <w:rsid w:val="25791755"/>
    <w:rsid w:val="26396DF4"/>
    <w:rsid w:val="27167136"/>
    <w:rsid w:val="271B442C"/>
    <w:rsid w:val="27B23302"/>
    <w:rsid w:val="29310A5F"/>
    <w:rsid w:val="29C37A35"/>
    <w:rsid w:val="2A076083"/>
    <w:rsid w:val="2A73162E"/>
    <w:rsid w:val="2B167953"/>
    <w:rsid w:val="2B200583"/>
    <w:rsid w:val="2B8209DE"/>
    <w:rsid w:val="2C636760"/>
    <w:rsid w:val="2C6762A3"/>
    <w:rsid w:val="2D6D7876"/>
    <w:rsid w:val="2F1A7F53"/>
    <w:rsid w:val="2FCA4B37"/>
    <w:rsid w:val="2FE029D7"/>
    <w:rsid w:val="2FF06E00"/>
    <w:rsid w:val="30586FEC"/>
    <w:rsid w:val="315F0B22"/>
    <w:rsid w:val="31D84415"/>
    <w:rsid w:val="32285F6F"/>
    <w:rsid w:val="32770556"/>
    <w:rsid w:val="329C0913"/>
    <w:rsid w:val="32AA0460"/>
    <w:rsid w:val="32E775EE"/>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1A74FA"/>
    <w:rsid w:val="3F694D83"/>
    <w:rsid w:val="3F885DCC"/>
    <w:rsid w:val="3FCD675E"/>
    <w:rsid w:val="4004000C"/>
    <w:rsid w:val="40BD5482"/>
    <w:rsid w:val="411B693B"/>
    <w:rsid w:val="411B6CE5"/>
    <w:rsid w:val="412070D7"/>
    <w:rsid w:val="41314E40"/>
    <w:rsid w:val="41E0734B"/>
    <w:rsid w:val="426C1EA8"/>
    <w:rsid w:val="42736402"/>
    <w:rsid w:val="42E86A87"/>
    <w:rsid w:val="43307B09"/>
    <w:rsid w:val="439A3EB9"/>
    <w:rsid w:val="43BB152F"/>
    <w:rsid w:val="44C37687"/>
    <w:rsid w:val="452E03F3"/>
    <w:rsid w:val="45CB699A"/>
    <w:rsid w:val="45E2495B"/>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D21804"/>
    <w:rsid w:val="52234D33"/>
    <w:rsid w:val="522F6E0C"/>
    <w:rsid w:val="52340204"/>
    <w:rsid w:val="52463BA1"/>
    <w:rsid w:val="52F163D4"/>
    <w:rsid w:val="531A2DB4"/>
    <w:rsid w:val="53C0244D"/>
    <w:rsid w:val="53DD4D4E"/>
    <w:rsid w:val="53E578CE"/>
    <w:rsid w:val="541330F0"/>
    <w:rsid w:val="54272666"/>
    <w:rsid w:val="543B029D"/>
    <w:rsid w:val="54861779"/>
    <w:rsid w:val="54A50A59"/>
    <w:rsid w:val="552256E1"/>
    <w:rsid w:val="554E5773"/>
    <w:rsid w:val="555829E0"/>
    <w:rsid w:val="555A3CBC"/>
    <w:rsid w:val="5582012B"/>
    <w:rsid w:val="558E4E05"/>
    <w:rsid w:val="55BE2E85"/>
    <w:rsid w:val="56530F5D"/>
    <w:rsid w:val="567700D3"/>
    <w:rsid w:val="56C501E6"/>
    <w:rsid w:val="56FF7E9E"/>
    <w:rsid w:val="578867FC"/>
    <w:rsid w:val="57A04D4E"/>
    <w:rsid w:val="5842572D"/>
    <w:rsid w:val="58C35197"/>
    <w:rsid w:val="5A3B59D6"/>
    <w:rsid w:val="5A6A59C9"/>
    <w:rsid w:val="5AD134D8"/>
    <w:rsid w:val="5B9A01F8"/>
    <w:rsid w:val="5C263CE4"/>
    <w:rsid w:val="5C5D2777"/>
    <w:rsid w:val="5C622D9E"/>
    <w:rsid w:val="5CF66BF3"/>
    <w:rsid w:val="5D290C69"/>
    <w:rsid w:val="5F2D4A41"/>
    <w:rsid w:val="60C74F6C"/>
    <w:rsid w:val="60F47377"/>
    <w:rsid w:val="61025A59"/>
    <w:rsid w:val="613D5BBC"/>
    <w:rsid w:val="61536C39"/>
    <w:rsid w:val="62944DD7"/>
    <w:rsid w:val="63064A16"/>
    <w:rsid w:val="6319381F"/>
    <w:rsid w:val="63C25DC5"/>
    <w:rsid w:val="63C62057"/>
    <w:rsid w:val="64012EF5"/>
    <w:rsid w:val="64426B0C"/>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934AD2"/>
    <w:rsid w:val="750837F0"/>
    <w:rsid w:val="754758CF"/>
    <w:rsid w:val="764F62AB"/>
    <w:rsid w:val="765C45EC"/>
    <w:rsid w:val="768A7619"/>
    <w:rsid w:val="772E1EBA"/>
    <w:rsid w:val="781926BC"/>
    <w:rsid w:val="796D60A4"/>
    <w:rsid w:val="79A031D5"/>
    <w:rsid w:val="7A1525F7"/>
    <w:rsid w:val="7B420052"/>
    <w:rsid w:val="7BD06A28"/>
    <w:rsid w:val="7C3A7C0B"/>
    <w:rsid w:val="7C5248E4"/>
    <w:rsid w:val="7C566698"/>
    <w:rsid w:val="7C5866A3"/>
    <w:rsid w:val="7CA6100D"/>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 w:type="paragraph" w:customStyle="1" w:styleId="16">
    <w:name w:val="列出段落3"/>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5307</Words>
  <Characters>30250</Characters>
  <Lines>252</Lines>
  <Paragraphs>70</Paragraphs>
  <TotalTime>21</TotalTime>
  <ScaleCrop>false</ScaleCrop>
  <LinksUpToDate>false</LinksUpToDate>
  <CharactersWithSpaces>35487</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加贝</cp:lastModifiedBy>
  <dcterms:modified xsi:type="dcterms:W3CDTF">2025-09-18T03:31:52Z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3B54799F311C4D1BBF87184515A8CA0B_13</vt:lpwstr>
  </property>
  <property fmtid="{D5CDD505-2E9C-101B-9397-08002B2CF9AE}" pid="4" name="KSOTemplateDocerSaveRecord">
    <vt:lpwstr>eyJoZGlkIjoiMDUwMjYyMTAwZTM5NTcxOGVhNzI3YWZjMDRhMjZkZDEifQ==</vt:lpwstr>
  </property>
</Properties>
</file>