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垫江县太平镇人民政府2024年度决算公开说明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政办负责处理政府机关日常事务；（2）党群工作办公室负责机关、事业单位和村（社区）党的建设、组织、机构编制、人事等工作；（3）人大办公室负责镇人民代表大会、主席团履行法定职权、组织人大代表视察、调研、评议等工作；（4）经济发展办公室承担促进乡镇、村（社区）经济发展职责、承担促进乡镇、村（社区）经济发展职责、招商引资、科技普及、统计与普查等工作；（5）财政办贯彻财经方针政策，执行财政法规、财经制度，负责财政收支、预决算、总会计、惠农资金兑付、财政资金监督检查、绩效评价、农村财务管理等工作；（6）民政和社会事务办公室负责牵头推动民政、教育、卫生健康、计生、文化体育、优抚、残疾人事业、老龄、社会保障、劳动就业、救济、社会救助、殡葬管理、审核城乡低保、医疗救助对象、区划地名管理等工作；（7）平安建设办公室负责普法教育、防邪、禁毒、综治、信访、维稳、基层民间矛盾纠纷调解、高铁沿线护路</w:t>
      </w:r>
      <w:r>
        <w:rPr>
          <w:rFonts w:hint="eastAsia"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sz w:val="32"/>
          <w:szCs w:val="32"/>
        </w:rPr>
        <w:t>等工作；（8）规划建设管理环保办公室负责承担辖区内规划、建设、市政、生态环境保护等综合管理职责、土地复垦、国土管理、耕地保护、市政园林、城镇管理等工作；（9）应急管理办公室负责火灾、水旱灾害、地质灾害等灾害防治、救灾、消防工作和人防、安全生</w:t>
      </w:r>
      <w:r>
        <w:rPr>
          <w:rFonts w:hint="eastAsia" w:ascii="Times New Roman" w:hAnsi="Times New Roman" w:eastAsia="方正仿宋_GBK" w:cs="Times New Roman"/>
          <w:sz w:val="32"/>
          <w:szCs w:val="32"/>
          <w:highlight w:val="none"/>
          <w:lang w:eastAsia="zh-CN"/>
        </w:rPr>
        <w:t>产和</w:t>
      </w:r>
      <w:r>
        <w:rPr>
          <w:rFonts w:hint="default" w:ascii="Times New Roman" w:hAnsi="Times New Roman" w:eastAsia="方正仿宋_GBK" w:cs="Times New Roman"/>
          <w:sz w:val="32"/>
          <w:szCs w:val="32"/>
        </w:rPr>
        <w:t>农村道路、航运安全、职业健康日常监管等工作；（10）综合行政执法办公室负责综合行政执法方面法律、法规和规章的宣传教育、集中行使依法授权或委托的行政执法权、配合县行政主管部门做好行政执法等工作；（11）综合行政执法大队负责配合综合行政执法办公室做好有关农林水利、规划建设、卫生健康、市容环卫、环境保护、文化旅游、民政管理等方面的执法工作；（12）农业服务中心、负责农业技术的引进、示范与推广，负责农业公共信息服务和实用技术培训，负责动植物病虫害、农业灾情的监测、预报、防治，负责农业生态环境和农业投入品使用监测，承担农产品、水产种苗、水产品质量等农林水安全监管和公共服务，负责农机、林业、气象、水利、河长制、乡村振兴、扶贫开发、脱贫攻坚、精准扶贫、精准脱贫等工作；（13）文化服务中心负责宣传（含政府网站、网络舆情、网络宣传、网络安全、舆情系统管理）、统战工作，负责宣传思想、精神文明、意识形态、统战、民族、宗教、侨台、工商联、通讯报道、党务政务信息、文化、体育、广播电视、通讯、文化、旅游、风景名胜区管理和设施建设、维护、组织群众文化活动，开展文化宣传、文化广播业务培训、文艺活动、文物宣传保护等工作；（14）劳动就业和社会保障服务所负责劳动就业和社会保障、农村劳务开发管理、养老、医疗、工伤、生育、失业保险、劳动关系协调、离退休人员社会管理服务等工作；（15）退役军人服务站负责退役军人来访接待、政策咨询、就业指导、帮扶救助、权益保障、法制服务、军队转业干部、复员干部、退役士兵（士官）和自主择业退役军人服务管理、待遇保障，组织开展退役军人教育培训、优待抚恤等工作，负责双拥工作，负责烈士及退役军人荣誉奖励申报及纪念活动等工作；（16）镇纪委负责纪检监察、巡视巡察整改</w:t>
      </w:r>
      <w:r>
        <w:rPr>
          <w:rFonts w:hint="eastAsia"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rPr>
        <w:t>全面工作；（17）武装负责做好武装工作；（18）工会负责做好工会全面工作；（19）妇联负责做好妇联全面工作；（20）团委负责做好团委全面工作；（21）残联负责残联工作。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后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二是太平镇设置5个相当于行政正股级财政全额拨款公益一类事业单位。具体设置分别是：农业服务中心、文化服务中心、劳动就业和社会保障服务所、退役军人服务站、综合行政执法大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部门2024年度决算编制的预算单位只有一个一级，没有二级预算单位。其中：行政部门1个：</w:t>
      </w:r>
      <w:r>
        <w:rPr>
          <w:rFonts w:hint="eastAsia" w:ascii="Times New Roman" w:hAnsi="Times New Roman" w:eastAsia="方正仿宋_GBK" w:cs="Times New Roman"/>
          <w:sz w:val="32"/>
          <w:szCs w:val="32"/>
          <w:highlight w:val="none"/>
          <w:lang w:eastAsia="zh-CN"/>
        </w:rPr>
        <w:t>涵括</w:t>
      </w:r>
      <w:r>
        <w:rPr>
          <w:rFonts w:hint="default" w:ascii="Times New Roman" w:hAnsi="Times New Roman" w:eastAsia="方正仿宋_GBK" w:cs="Times New Roman"/>
          <w:sz w:val="32"/>
          <w:szCs w:val="32"/>
        </w:rPr>
        <w:t>党政办、党群办、人大办、经发办、财政办、民政和社会事务办、平安建设办、规划建设管理环保办公室、应急管理办、综合</w:t>
      </w:r>
      <w:r>
        <w:rPr>
          <w:rFonts w:hint="eastAsia" w:ascii="Times New Roman" w:hAnsi="Times New Roman" w:eastAsia="方正仿宋_GBK" w:cs="Times New Roman"/>
          <w:sz w:val="32"/>
          <w:szCs w:val="32"/>
          <w:highlight w:val="none"/>
          <w:lang w:eastAsia="zh-CN"/>
        </w:rPr>
        <w:t>行政</w:t>
      </w:r>
      <w:r>
        <w:rPr>
          <w:rFonts w:hint="default" w:ascii="Times New Roman" w:hAnsi="Times New Roman" w:eastAsia="方正仿宋_GBK" w:cs="Times New Roman"/>
          <w:sz w:val="32"/>
          <w:szCs w:val="32"/>
        </w:rPr>
        <w:t>执法办、纪委、武装、妇联、团委、残联。事业部门5个：农业服务中心、文化服务中心、劳动就业和社会保障服务所、退役军人服务站、综合</w:t>
      </w:r>
      <w:r>
        <w:rPr>
          <w:rFonts w:hint="eastAsia" w:ascii="Times New Roman" w:hAnsi="Times New Roman" w:eastAsia="方正仿宋_GBK" w:cs="Times New Roman"/>
          <w:sz w:val="32"/>
          <w:szCs w:val="32"/>
          <w:highlight w:val="none"/>
          <w:lang w:eastAsia="zh-CN"/>
        </w:rPr>
        <w:t>行政</w:t>
      </w:r>
      <w:r>
        <w:rPr>
          <w:rFonts w:hint="default" w:ascii="Times New Roman" w:hAnsi="Times New Roman" w:eastAsia="方正仿宋_GBK" w:cs="Times New Roman"/>
          <w:sz w:val="32"/>
          <w:szCs w:val="32"/>
        </w:rPr>
        <w:t>执法大队。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机关核定行政编制30名，其中机关后勤服务人员事业编制1名（按“退一减一”进行核销）；所属事业单位共核定财政全额拨款事业编制34名，其中：农业服务中心14名，文化服务中心3名，劳动就业和社会保障服务所8名，退役军人服务站2名，综合行政执法大队5名，产业融合发展中心2名。当年行政退休1人，机关后勤服务人员退休1人，招录2人，事业人员调入3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1.总体情况。2024年度收入总计6769.99万元，支出总计6769.99万元。收、支与2023年度相比，增加1521.36万元，增长28.99%，主要原因是本级工商税收增加及专项补助收入增加。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6737.78万元，与2023年度相比，增加1494.64万元，增长28.51%，主要原因是本级工商税收增加及专项补助收入增加。其中：财政拨款收入6737.78万元，占100.00%；事业收入0.00万元，占0.00%；经营收入0.00万元，占0.00%；其他收入0.00万元，占0.00%。此外，使用非财政拨款结余和专用结余0.00万元，年初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6769.99万元，与2023年度相比，增加1521.36万元，增长28.99%，主要原因是加大了农村综合改革、乡村振兴、招商引资、企业扶持、基础设施建设等预算。其中：基本支出2129.64万元，占31.46%；项目支出4640.35万元，占68.54%；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2024年度财政拨款收、支总计6769.99万元。与2023年相比，财政拨款收、支总计各增加1521.36万元，增长28.99%。主要原因是追加安排年初未预算经费及县财政安排的项目资金增加。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5875.31万元，与2023年度相比，增加1649.44万元，增长39.03%。主要原因是工商税收增加、非税收入增加、专项补助增加。较年初预算数增加2892.03万元，增长96.94%。主要原因是追加安排年初未预算经费及县财政安排的项目资金增加。此外，年初财政拨款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5907.51万元，与2023年度相比，增加1676.15万元，增长39.61%。主要原因是本级工商税收增加，加大对辖区企业扶持等投入。较年初预算数增加2924.23万元，增长98.02%。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4.比较情况。本部门2024年度一般公共预算财政拨款支出主要用于以下几个方面：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（1）一般公共服务支出1318.77万元，占22.32%，较年初预算数减少83.62万元，下降5.96%，主要原因是过紧日子，压缩财政拨款项目支出。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（2）公共安全支出6.90万元，占0.12%，较年初预算数增加6.90万元，增长100.00%，主要原因是增加平安建设以及道路交通安全专项支出。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（3）文化旅游体育与传媒支出54.60万元，占0.92%，较年初预算数增加3.92万元，增长7.73%，主要原因是公共图书馆、群众文化活动等支出增加。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保障与就业支出619.09万元，占10.48%，较年初预算数增加215.24万元，增长53.30%，主要原因是退休人员增加，导致健康休养费以及一次性退休补贴增加、补缴事业人员养老保险，增加养老服务中心基础设施建设以及退役军人等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（5）卫生健康支出88.50万元，占1.50%，较年初预算数增加20.90万元，增长30.92%，主要原因是追加严重精神障碍患者监护人以奖代补、计划生育特殊家庭节日走访慰问等经费。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（6）节能环保支出28.50万元，占0.48%，较年初预算数增加28.50万元，增长100.00%，主要原因是追加烟熏腊肉以奖促治项目经费。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（7）城乡社区支出161.12万元，占2.73%，较年初预算数增加35.31万元，增长28.07%，主要原因是追加城乡社会环境卫生、市政设施运行维护、农村产业融合发展示范园创建等经费。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（8）农林水支出1376.11万元，占23.29%，较年初预算数增加563.52万元，增长69.35%，主要原因是追加离任村干部生活补贴、中央农业生产和水利救灾资金、森林防火、一事一议奖补资金、农业救灾资金等经费。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（9）交通运输支出76.31万元，占1.29%，较年初预算数增加76.31万元，增长100.00%，主要原因是追加农村公路建设补助、农村公路日常养护保洁维修等经费。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（10）资源勘探信息等支出1979.45万元，占33.51%，较年初预算数增加1949.45万元，增长6498.17%，主要原因是年初未预算中小企业扶持项目。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（11）商业服务业等支出7.38万元，占0.12%，较年初预算数增加7.38万元，增长100.00%，主要原因是追加2022年限额以上商贸企业和个体补助经费。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（12）自然资源海洋气象等支出24.50万元，占0.41%，较年初预算数增加24.50万元，增长100.00%，主要原因是自然资源经费增加。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（13）住房保障支出103.42万元，占1.75%，较年初预算数增加16.33万元，增长18.75%，主要原因是减少农村危房改造项目，同时增加人员调标补缴住房公积金差额。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（14）灾害防治及应急管理支出62.88万元，占1.06%，较年初预算数增加59.60万元，增长1817.07%，主要原因是追加冬春救助、金土工程搬迁避让补助资金。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2129.64万元。其中：人员经费1601.33万元，与2023年度相比，减少196.65万元，下降10.94%，主要原因是人员退休与调离导致减少、2024年度无往年补发经费。人员经费用途主要包括基本工资、津贴补贴、奖金、社会保障缴费、养老保险，职业年金、住房公积金等。公用经费528.31万元，与2023年度相比，增加89.77万元，增长20.47%，主要原因是财政税收增加，加大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862.48万元，与2023年度相比，减少154.79万元，下降15.22%，主要原因是巴蜀美丽庭院建设已完工，国有土地使用权出让收入安排的支出减少。本年支出862.48万元，与2023年度相比，减少154.79万元，下降15.22%，主要原因是巴蜀美丽庭院建设已完工，国有土地使用权出让收入安排的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2024年度国有资本经营预算财政拨本年支出0.00万元，基本支出0.00万元，项目支出0.00万元。本部门2024年度无国有资本经营预算财政拨款支出。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34.65万元，较年初预算数增加27.75万元，增长402.17%，主要年初未预算公车购置费用。较上年支出数增加9.37万元，增长37.06%，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）新购公车1台。</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2024年度本部门因公出国（境）费用0.00万元，</w:t>
      </w:r>
      <w:r>
        <w:rPr>
          <w:rFonts w:hint="eastAsia" w:ascii="Times New Roman" w:hAnsi="Times New Roman" w:eastAsia="方正仿宋_GBK" w:cs="Times New Roman"/>
          <w:sz w:val="32"/>
          <w:szCs w:val="32"/>
          <w:highlight w:val="none"/>
          <w:lang w:eastAsia="zh-CN"/>
        </w:rPr>
        <w:t>主要</w:t>
      </w:r>
      <w:r>
        <w:rPr>
          <w:rFonts w:hint="default" w:ascii="Times New Roman" w:hAnsi="Times New Roman" w:eastAsia="方正仿宋_GBK" w:cs="Times New Roman"/>
          <w:sz w:val="32"/>
          <w:szCs w:val="32"/>
        </w:rPr>
        <w:t>用于因公出国（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14.44万元，主要用于公车购置。费用支出较年初预算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较上年支出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4.29万元，主要用于机要文件交换、市内因公出行、各项工作检查等工作所需车辆的燃料费、维修费、过桥过路费、保险费等。费用支出较年初预算数增加1.29万元，增长43.00%，主要原因是年初未预算公车购置费用。较上年支出数减少3.28万元，下降43.33%，主要原因是严格落实公车使用规定，严禁公车私用，公车运行维护成本下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15.92万元，主要用于接待招商引资、接待县级部门及相关业务单位到我单位学习调研工作，接受相关部门检查指导工作发生的接待支出。费用支出较年初预算数增加12.02万元，增长308.21%，主要原因是执行过程中预算不足，按要求追加预算。较上年支出数减少0.79万元，下降4.73%，主要原因是严把支出关，严格执行</w:t>
      </w:r>
      <w:r>
        <w:rPr>
          <w:rFonts w:hint="eastAsia" w:ascii="Times New Roman" w:hAnsi="Times New Roman" w:eastAsia="方正仿宋_GBK" w:cs="Times New Roman"/>
          <w:sz w:val="32"/>
          <w:szCs w:val="32"/>
          <w:highlight w:val="none"/>
          <w:lang w:eastAsia="zh-CN"/>
        </w:rPr>
        <w:t>中央八项规定精神</w:t>
      </w:r>
      <w:r>
        <w:rPr>
          <w:rFonts w:hint="default" w:ascii="Times New Roman" w:hAnsi="Times New Roman" w:eastAsia="方正仿宋_GBK" w:cs="Times New Roman"/>
          <w:sz w:val="32"/>
          <w:szCs w:val="32"/>
        </w:rPr>
        <w:t>和</w:t>
      </w:r>
      <w:bookmarkStart w:id="0" w:name="OLE_LINK1"/>
      <w:r>
        <w:rPr>
          <w:rFonts w:hint="default" w:ascii="Times New Roman" w:hAnsi="Times New Roman" w:eastAsia="方正仿宋_GBK" w:cs="Times New Roman"/>
          <w:sz w:val="32"/>
          <w:szCs w:val="32"/>
        </w:rPr>
        <w:t>厉行节约</w:t>
      </w:r>
      <w:bookmarkEnd w:id="0"/>
      <w:r>
        <w:rPr>
          <w:rFonts w:hint="default" w:ascii="Times New Roman" w:hAnsi="Times New Roman" w:eastAsia="方正仿宋_GBK" w:cs="Times New Roman"/>
          <w:sz w:val="32"/>
          <w:szCs w:val="32"/>
        </w:rPr>
        <w:t>要求，强化公务接待支出管理。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共计0个团组，0人；公务用车购置1辆，公务车保有量为2辆；国内公务接待286批次2289人，其中：国内外事接待0批次，0人；国（境）外公务接待0批次，0人。2024年本部门人均接待费69.54元，车均购置费14.44万元，车均维护费2.14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本年度会议费支出14.89万元，与2023年度相比，增加12.84万元，增长626.34%，主要原因是增加成功人士座谈会会议支出。本年度培训费支出4.41万元，与2023年度相比，增加2.47万元，增长127.32%，主要原因是财政</w:t>
      </w:r>
      <w:r>
        <w:rPr>
          <w:rFonts w:hint="eastAsia" w:ascii="Times New Roman" w:hAnsi="Times New Roman" w:eastAsia="方正仿宋_GBK" w:cs="Times New Roman"/>
          <w:sz w:val="32"/>
          <w:szCs w:val="32"/>
          <w:highlight w:val="none"/>
          <w:lang w:eastAsia="zh-CN"/>
        </w:rPr>
        <w:t>收入</w:t>
      </w:r>
      <w:r>
        <w:rPr>
          <w:rFonts w:hint="default" w:ascii="Times New Roman" w:hAnsi="Times New Roman" w:eastAsia="方正仿宋_GBK" w:cs="Times New Roman"/>
          <w:sz w:val="32"/>
          <w:szCs w:val="32"/>
        </w:rPr>
        <w:t>增加，各业务科室增加了业务培训会议费用。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475.96万元，机关运行经费主要用于开支办公费、公务车运行维护费、信息网络购置更新费等。机关运行经费较上年支出数增加125.43万元，增长35.78%，主要原因是因乡镇发展需要，劳务费与委托业务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3.42万元，其中：政府采购货物支出3.42万元、政府采购工程支出0.00万元、政府采购服务支出0.00万元。授予中小企业合同金额3.42万元，占政府采购支出总额的100.00%，其中：授予小微企业合同金额3.42万元，占政府采购支出总额的100.00 %。主要用于采购政府办公用空调与办公电脑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rPr>
        <w:t>根据预算绩效管理要求，我部门对部门整体绩效及92个二级项目开展了绩效自评，涉及财政拨款项目支出资金4316.65万元。</w:t>
      </w:r>
    </w:p>
    <w:p>
      <w:pPr>
        <w:pStyle w:val="12"/>
        <w:autoSpaceDE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部门整体绩效自评表样</w:t>
      </w:r>
    </w:p>
    <w:tbl>
      <w:tblPr>
        <w:tblStyle w:val="7"/>
        <w:tblW w:w="8517" w:type="dxa"/>
        <w:tblInd w:w="0" w:type="dxa"/>
        <w:tblLayout w:type="fixed"/>
        <w:tblCellMar>
          <w:top w:w="0" w:type="dxa"/>
          <w:left w:w="0" w:type="dxa"/>
          <w:bottom w:w="0" w:type="dxa"/>
          <w:right w:w="0" w:type="dxa"/>
        </w:tblCellMar>
      </w:tblPr>
      <w:tblGrid>
        <w:gridCol w:w="1377"/>
        <w:gridCol w:w="750"/>
        <w:gridCol w:w="690"/>
        <w:gridCol w:w="1020"/>
        <w:gridCol w:w="777"/>
        <w:gridCol w:w="688"/>
        <w:gridCol w:w="691"/>
        <w:gridCol w:w="688"/>
        <w:gridCol w:w="437"/>
        <w:gridCol w:w="640"/>
        <w:gridCol w:w="759"/>
      </w:tblGrid>
      <w:tr>
        <w:tblPrEx>
          <w:tblLayout w:type="fixed"/>
          <w:tblCellMar>
            <w:top w:w="0" w:type="dxa"/>
            <w:left w:w="0" w:type="dxa"/>
            <w:bottom w:w="0" w:type="dxa"/>
            <w:right w:w="0" w:type="dxa"/>
          </w:tblCellMar>
        </w:tblPrEx>
        <w:trPr>
          <w:trHeight w:val="8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Layout w:type="fixed"/>
          <w:tblCellMar>
            <w:top w:w="0" w:type="dxa"/>
            <w:left w:w="0" w:type="dxa"/>
            <w:bottom w:w="0" w:type="dxa"/>
            <w:right w:w="0" w:type="dxa"/>
          </w:tblCellMar>
        </w:tblPrEx>
        <w:trPr>
          <w:trHeight w:val="5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垫江县太平镇人民政府整体自评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50023100024P000143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古</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32,832,844.00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67,701,030.00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67,699,918.00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32,832,844.00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67,701,030.00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67,699,918.00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59,076,261.20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59,075,149.20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83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3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eastAsia" w:eastAsia="宋体" w:cs="宋体"/>
                <w:color w:val="000000"/>
                <w:sz w:val="22"/>
                <w:szCs w:val="22"/>
                <w:lang w:eastAsia="zh-CN"/>
              </w:rPr>
            </w:pPr>
            <w:r>
              <w:rPr>
                <w:rFonts w:cs="宋体"/>
                <w:color w:val="000000"/>
                <w:sz w:val="21"/>
                <w:szCs w:val="21"/>
                <w:lang w:bidi="ar"/>
              </w:rPr>
              <w:t>组织群众文化活动，繁荣文化旅游事业</w:t>
            </w:r>
            <w:r>
              <w:rPr>
                <w:rFonts w:hint="eastAsia" w:cs="宋体"/>
                <w:color w:val="000000"/>
                <w:sz w:val="21"/>
                <w:szCs w:val="21"/>
                <w:highlight w:val="none"/>
                <w:lang w:eastAsia="zh-CN" w:bidi="ar"/>
              </w:rPr>
              <w:t>；</w:t>
            </w:r>
            <w:r>
              <w:rPr>
                <w:rFonts w:cs="宋体"/>
                <w:color w:val="000000"/>
                <w:sz w:val="21"/>
                <w:szCs w:val="21"/>
                <w:lang w:bidi="ar"/>
              </w:rPr>
              <w:t>完成党委、政府机关文秘、会务、档案、保密、后勤服务，牵头协调办理人大代表和政协委员的议案、提案、建议、意见</w:t>
            </w:r>
            <w:r>
              <w:rPr>
                <w:rFonts w:hint="eastAsia" w:cs="宋体"/>
                <w:color w:val="000000"/>
                <w:sz w:val="21"/>
                <w:szCs w:val="21"/>
                <w:highlight w:val="none"/>
                <w:lang w:eastAsia="zh-CN" w:bidi="ar"/>
              </w:rPr>
              <w:t>。</w:t>
            </w:r>
            <w:r>
              <w:rPr>
                <w:rFonts w:cs="宋体"/>
                <w:color w:val="000000"/>
                <w:sz w:val="21"/>
                <w:szCs w:val="21"/>
                <w:lang w:bidi="ar"/>
              </w:rPr>
              <w:t>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21"/>
                <w:szCs w:val="21"/>
                <w:highlight w:val="none"/>
                <w:lang w:eastAsia="zh-CN" w:bidi="ar"/>
              </w:rPr>
              <w:t>；</w:t>
            </w:r>
            <w:r>
              <w:rPr>
                <w:rFonts w:cs="宋体"/>
                <w:color w:val="000000"/>
                <w:sz w:val="21"/>
                <w:szCs w:val="21"/>
                <w:lang w:bidi="ar"/>
              </w:rPr>
              <w:t>实现财政收支平衡，如期完成预决算、百分百兑现惠农资金兑付，财政票据合法合规，杜绝一切不</w:t>
            </w:r>
            <w:r>
              <w:rPr>
                <w:rFonts w:hint="eastAsia" w:cs="宋体"/>
                <w:color w:val="000000"/>
                <w:sz w:val="21"/>
                <w:szCs w:val="21"/>
                <w:highlight w:val="none"/>
                <w:lang w:eastAsia="zh-CN" w:bidi="ar"/>
              </w:rPr>
              <w:t>规</w:t>
            </w:r>
            <w:r>
              <w:rPr>
                <w:rFonts w:cs="宋体"/>
                <w:color w:val="000000"/>
                <w:sz w:val="21"/>
                <w:szCs w:val="21"/>
                <w:lang w:bidi="ar"/>
              </w:rPr>
              <w:t>开支</w:t>
            </w:r>
            <w:r>
              <w:rPr>
                <w:rFonts w:hint="eastAsia" w:cs="宋体"/>
                <w:color w:val="000000"/>
                <w:sz w:val="21"/>
                <w:szCs w:val="21"/>
                <w:highlight w:val="none"/>
                <w:lang w:eastAsia="zh-CN" w:bidi="ar"/>
              </w:rPr>
              <w:t>。</w:t>
            </w:r>
            <w:r>
              <w:rPr>
                <w:rFonts w:cs="宋体"/>
                <w:color w:val="000000"/>
                <w:sz w:val="21"/>
                <w:szCs w:val="21"/>
                <w:lang w:bidi="ar"/>
              </w:rPr>
              <w:t>完成公共服务中心和村（社区）便民服务中心的监督和管理</w:t>
            </w:r>
            <w:r>
              <w:rPr>
                <w:rFonts w:hint="eastAsia" w:cs="宋体"/>
                <w:color w:val="000000"/>
                <w:sz w:val="22"/>
                <w:szCs w:val="22"/>
                <w:highlight w:val="none"/>
                <w:lang w:eastAsia="zh-CN" w:bidi="ar"/>
              </w:rPr>
              <w:t>。</w:t>
            </w:r>
          </w:p>
        </w:tc>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0"/>
                <w:szCs w:val="20"/>
                <w:lang w:bidi="ar"/>
              </w:rPr>
              <w:t>组织群众文化活动，繁荣文化旅游事业</w:t>
            </w:r>
            <w:r>
              <w:rPr>
                <w:rFonts w:hint="eastAsia" w:cs="宋体"/>
                <w:color w:val="000000"/>
                <w:sz w:val="20"/>
                <w:szCs w:val="20"/>
                <w:highlight w:val="none"/>
                <w:lang w:eastAsia="zh-CN" w:bidi="ar"/>
              </w:rPr>
              <w:t>；</w:t>
            </w:r>
            <w:r>
              <w:rPr>
                <w:rFonts w:cs="宋体"/>
                <w:color w:val="000000"/>
                <w:sz w:val="20"/>
                <w:szCs w:val="20"/>
                <w:lang w:bidi="ar"/>
              </w:rPr>
              <w:t>完成党委、政府机关文秘、会务、档案、保密、后勤服务，牵头协调办理人大代表和政协委员的议案、提案、建议、意见</w:t>
            </w:r>
            <w:r>
              <w:rPr>
                <w:rFonts w:hint="eastAsia" w:cs="宋体"/>
                <w:color w:val="000000"/>
                <w:sz w:val="20"/>
                <w:szCs w:val="20"/>
                <w:highlight w:val="none"/>
                <w:lang w:eastAsia="zh-CN" w:bidi="ar"/>
              </w:rPr>
              <w:t>。</w:t>
            </w:r>
            <w:r>
              <w:rPr>
                <w:rFonts w:cs="宋体"/>
                <w:color w:val="000000"/>
                <w:sz w:val="20"/>
                <w:szCs w:val="20"/>
                <w:lang w:bidi="ar"/>
              </w:rPr>
              <w:t>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20"/>
                <w:szCs w:val="20"/>
                <w:highlight w:val="none"/>
                <w:lang w:eastAsia="zh-CN" w:bidi="ar"/>
              </w:rPr>
              <w:t>；</w:t>
            </w:r>
            <w:r>
              <w:rPr>
                <w:rFonts w:cs="宋体"/>
                <w:color w:val="000000"/>
                <w:sz w:val="20"/>
                <w:szCs w:val="20"/>
                <w:lang w:bidi="ar"/>
              </w:rPr>
              <w:t>实现财政收支平衡，如期完成预决算、百分百兑现惠农资金兑付，财政票据合法合规，杜绝一切不</w:t>
            </w:r>
            <w:r>
              <w:rPr>
                <w:rFonts w:hint="eastAsia" w:cs="宋体"/>
                <w:color w:val="000000"/>
                <w:sz w:val="20"/>
                <w:szCs w:val="20"/>
                <w:highlight w:val="none"/>
                <w:lang w:eastAsia="zh-CN" w:bidi="ar"/>
              </w:rPr>
              <w:t>规</w:t>
            </w:r>
            <w:r>
              <w:rPr>
                <w:rFonts w:cs="宋体"/>
                <w:color w:val="000000"/>
                <w:sz w:val="20"/>
                <w:szCs w:val="20"/>
                <w:lang w:bidi="ar"/>
              </w:rPr>
              <w:t>开支</w:t>
            </w:r>
            <w:r>
              <w:rPr>
                <w:rFonts w:hint="eastAsia" w:cs="宋体"/>
                <w:color w:val="000000"/>
                <w:sz w:val="20"/>
                <w:szCs w:val="20"/>
                <w:highlight w:val="none"/>
                <w:lang w:eastAsia="zh-CN" w:bidi="ar"/>
              </w:rPr>
              <w:t>。</w:t>
            </w:r>
            <w:r>
              <w:rPr>
                <w:rFonts w:cs="宋体"/>
                <w:color w:val="000000"/>
                <w:sz w:val="20"/>
                <w:szCs w:val="20"/>
                <w:lang w:bidi="ar"/>
              </w:rPr>
              <w:t>完成公共服务中心和村（社区）便民服务中心的监督和管理</w:t>
            </w:r>
            <w:r>
              <w:rPr>
                <w:rFonts w:hint="eastAsia" w:cs="宋体"/>
                <w:color w:val="000000"/>
                <w:sz w:val="20"/>
                <w:szCs w:val="20"/>
                <w:highlight w:val="none"/>
                <w:lang w:eastAsia="zh-CN" w:bidi="ar"/>
              </w:rPr>
              <w:t>。</w:t>
            </w:r>
            <w:r>
              <w:rPr>
                <w:rFonts w:cs="宋体"/>
                <w:color w:val="000000"/>
                <w:sz w:val="20"/>
                <w:szCs w:val="20"/>
                <w:lang w:bidi="ar"/>
              </w:rPr>
              <w:br w:type="textWrapping"/>
            </w:r>
            <w:r>
              <w:rPr>
                <w:rFonts w:cs="宋体"/>
                <w:color w:val="000000"/>
                <w:sz w:val="20"/>
                <w:szCs w:val="20"/>
                <w:lang w:bidi="ar"/>
              </w:rPr>
              <w:t>　</w:t>
            </w: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城区绿化面积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123400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123400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抚、民政、计生等困难群众补助人数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4500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应公开的政务信息公开率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hint="eastAsia" w:cs="宋体"/>
                <w:color w:val="000000"/>
                <w:sz w:val="22"/>
                <w:szCs w:val="22"/>
                <w:highlight w:val="none"/>
                <w:lang w:eastAsia="zh-CN" w:bidi="ar"/>
              </w:rPr>
              <w:t>突发事件</w:t>
            </w:r>
            <w:r>
              <w:rPr>
                <w:rFonts w:cs="宋体"/>
                <w:color w:val="000000"/>
                <w:sz w:val="22"/>
                <w:szCs w:val="22"/>
                <w:lang w:bidi="ar"/>
              </w:rPr>
              <w:t>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辖区农民人均纯收入增长量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tbl>
      <w:tblPr>
        <w:tblStyle w:val="7"/>
        <w:tblW w:w="8345" w:type="dxa"/>
        <w:tblInd w:w="0" w:type="dxa"/>
        <w:tblLayout w:type="fixed"/>
        <w:tblCellMar>
          <w:top w:w="0" w:type="dxa"/>
          <w:left w:w="0" w:type="dxa"/>
          <w:bottom w:w="0" w:type="dxa"/>
          <w:right w:w="0" w:type="dxa"/>
        </w:tblCellMar>
      </w:tblPr>
      <w:tblGrid>
        <w:gridCol w:w="707"/>
        <w:gridCol w:w="571"/>
        <w:gridCol w:w="571"/>
        <w:gridCol w:w="719"/>
        <w:gridCol w:w="1007"/>
        <w:gridCol w:w="1250"/>
        <w:gridCol w:w="633"/>
        <w:gridCol w:w="836"/>
        <w:gridCol w:w="431"/>
        <w:gridCol w:w="534"/>
        <w:gridCol w:w="1086"/>
      </w:tblGrid>
      <w:tr>
        <w:tblPrEx>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老党员生活补贴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50023123T000003484556</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0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及时发放党龄40年以上老党员生活补贴</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涉及村居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补贴条件合格率</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补贴发放及时性</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老党员生活稳定</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稳定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老党员满意度</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生活补贴费用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29840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29840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1"/>
        <w:autoSpaceDE w:val="0"/>
        <w:spacing w:line="594" w:lineRule="exact"/>
        <w:ind w:firstLine="643"/>
        <w:rPr>
          <w:rFonts w:ascii="楷体" w:hAnsi="楷体" w:eastAsia="楷体" w:cs="楷体"/>
          <w:b/>
          <w:bCs/>
          <w:sz w:val="32"/>
          <w:szCs w:val="32"/>
          <w:shd w:val="clear" w:color="auto" w:fill="FFFFFF"/>
        </w:rPr>
      </w:pPr>
    </w:p>
    <w:tbl>
      <w:tblPr>
        <w:tblStyle w:val="7"/>
        <w:tblW w:w="8345" w:type="dxa"/>
        <w:tblInd w:w="0" w:type="dxa"/>
        <w:tblLayout w:type="fixed"/>
        <w:tblCellMar>
          <w:top w:w="0" w:type="dxa"/>
          <w:left w:w="0" w:type="dxa"/>
          <w:bottom w:w="0" w:type="dxa"/>
          <w:right w:w="0" w:type="dxa"/>
        </w:tblCellMar>
      </w:tblPr>
      <w:tblGrid>
        <w:gridCol w:w="710"/>
        <w:gridCol w:w="466"/>
        <w:gridCol w:w="466"/>
        <w:gridCol w:w="931"/>
        <w:gridCol w:w="1105"/>
        <w:gridCol w:w="1202"/>
        <w:gridCol w:w="538"/>
        <w:gridCol w:w="715"/>
        <w:gridCol w:w="583"/>
        <w:gridCol w:w="647"/>
        <w:gridCol w:w="982"/>
      </w:tblGrid>
      <w:tr>
        <w:tblPrEx>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50023123T000003558305</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25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5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25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c>
          <w:tcPr>
            <w:tcW w:w="3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离任村干部补贴人数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143</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补贴条件合格率</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资金支付及时性</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保障离任村干部稳定</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18.5681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18.5681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县财政局未委托第三方对我部门开展绩效评价。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本部门决算公开信息反馈和联系方式： 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p>
    <w:p>
      <w:pPr>
        <w:pStyle w:val="11"/>
        <w:autoSpaceDE w:val="0"/>
        <w:spacing w:line="594" w:lineRule="exact"/>
        <w:ind w:firstLine="643"/>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垫江县太平镇人民政府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5,875.31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862.48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6,737.78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垫江县太平镇人民政府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6,737.78</w:t>
            </w:r>
            <w:r>
              <w:rPr>
                <w:rFonts w:ascii="Times New Roman" w:hAnsi="Times New Roman"/>
                <w:b/>
                <w:color w:val="000000"/>
                <w:sz w:val="20"/>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6,737.78</w:t>
            </w:r>
            <w:r>
              <w:rPr>
                <w:rFonts w:ascii="Times New Roman" w:hAnsi="Times New Roman"/>
                <w:b/>
                <w:color w:val="000000"/>
                <w:sz w:val="20"/>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1,001.34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1,001.34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垫江县太平镇人民政府 </w:t>
            </w: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6,769.99</w:t>
            </w:r>
            <w:r>
              <w:rPr>
                <w:rFonts w:ascii="Times New Roman" w:hAnsi="Times New Roman"/>
                <w:b/>
                <w:color w:val="000000"/>
                <w:sz w:val="20"/>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2,129.64</w:t>
            </w:r>
            <w:r>
              <w:rPr>
                <w:rFonts w:ascii="Times New Roman" w:hAnsi="Times New Roman"/>
                <w:b/>
                <w:color w:val="000000"/>
                <w:sz w:val="20"/>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4,640.35</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531.73</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112.35</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1,009.68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334.19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31.43</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垫江县太平镇人民政府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5,875.31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6,737.78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5,907.51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2,129.64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3,777.87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531.73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334.19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垫江县太平镇人民政府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1,426.07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highlight w:val="none"/>
                <w:lang w:val="en-US" w:eastAsia="zh-CN"/>
              </w:rPr>
            </w:pPr>
            <w:r>
              <w:rPr>
                <w:rFonts w:cs="宋体"/>
                <w:color w:val="000000"/>
                <w:sz w:val="18"/>
                <w:szCs w:val="18"/>
                <w:highlight w:val="none"/>
              </w:rPr>
              <w:t xml:space="preserve">  房屋建筑物购</w:t>
            </w:r>
            <w:r>
              <w:rPr>
                <w:rFonts w:hint="eastAsia" w:cs="宋体"/>
                <w:color w:val="000000"/>
                <w:sz w:val="18"/>
                <w:szCs w:val="18"/>
                <w:highlight w:val="none"/>
                <w:lang w:val="en-US" w:eastAsia="zh-CN"/>
              </w:rPr>
              <w:t>置</w:t>
            </w:r>
            <w:r>
              <w:rPr>
                <w:rFonts w:cs="宋体"/>
                <w:color w:val="000000"/>
                <w:sz w:val="18"/>
                <w:szCs w:val="18"/>
                <w:highlight w:val="none"/>
              </w:rPr>
              <w:t>建</w:t>
            </w:r>
            <w:r>
              <w:rPr>
                <w:rFonts w:hint="eastAsia" w:cs="宋体"/>
                <w:color w:val="000000"/>
                <w:sz w:val="18"/>
                <w:szCs w:val="18"/>
                <w:highlight w:val="none"/>
                <w:lang w:val="en-US" w:eastAsia="zh-CN"/>
              </w:rPr>
              <w:t>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1,601.33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垫江县太平镇人民政府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r>
              <w:rPr>
                <w:rFonts w:hint="eastAsia" w:cs="宋体"/>
                <w:b/>
                <w:bCs/>
                <w:color w:val="000000"/>
                <w:kern w:val="2"/>
                <w:sz w:val="16"/>
                <w:szCs w:val="16"/>
                <w:highlight w:val="none"/>
                <w:lang w:eastAsia="zh-CN"/>
              </w:rPr>
              <w:t>数据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62.77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619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10B4B"/>
    <w:rsid w:val="0032196C"/>
    <w:rsid w:val="00407E2D"/>
    <w:rsid w:val="004C12FF"/>
    <w:rsid w:val="00550ABE"/>
    <w:rsid w:val="005B023C"/>
    <w:rsid w:val="00600322"/>
    <w:rsid w:val="006137D7"/>
    <w:rsid w:val="00634FA8"/>
    <w:rsid w:val="0063613A"/>
    <w:rsid w:val="006E2034"/>
    <w:rsid w:val="006F1AC4"/>
    <w:rsid w:val="00732392"/>
    <w:rsid w:val="00792285"/>
    <w:rsid w:val="007A0D2E"/>
    <w:rsid w:val="007A3314"/>
    <w:rsid w:val="007B419D"/>
    <w:rsid w:val="0080765A"/>
    <w:rsid w:val="00810F13"/>
    <w:rsid w:val="008B5239"/>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4098F"/>
    <w:rsid w:val="00DF7706"/>
    <w:rsid w:val="00E05175"/>
    <w:rsid w:val="00E654E2"/>
    <w:rsid w:val="00E76362"/>
    <w:rsid w:val="00EE7A60"/>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3C6E64"/>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3C7AB2"/>
    <w:rsid w:val="163A6CEE"/>
    <w:rsid w:val="173708E3"/>
    <w:rsid w:val="17C374FC"/>
    <w:rsid w:val="17C708F2"/>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392D6C"/>
    <w:rsid w:val="2A73162E"/>
    <w:rsid w:val="2B167953"/>
    <w:rsid w:val="2B200583"/>
    <w:rsid w:val="2B8209DE"/>
    <w:rsid w:val="2C6762A3"/>
    <w:rsid w:val="2E196F2D"/>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424BB5"/>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AC70D2"/>
    <w:rsid w:val="42E86A87"/>
    <w:rsid w:val="43307B09"/>
    <w:rsid w:val="438D0E97"/>
    <w:rsid w:val="43BB152F"/>
    <w:rsid w:val="44C37687"/>
    <w:rsid w:val="45CB699A"/>
    <w:rsid w:val="465B470D"/>
    <w:rsid w:val="469D6AD4"/>
    <w:rsid w:val="471E6C84"/>
    <w:rsid w:val="4748792B"/>
    <w:rsid w:val="475D719D"/>
    <w:rsid w:val="47674801"/>
    <w:rsid w:val="481D303F"/>
    <w:rsid w:val="48225EF7"/>
    <w:rsid w:val="488F422B"/>
    <w:rsid w:val="48E36915"/>
    <w:rsid w:val="495C4A24"/>
    <w:rsid w:val="497135DF"/>
    <w:rsid w:val="49AD605C"/>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7502DB"/>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432002"/>
    <w:rsid w:val="656152C6"/>
    <w:rsid w:val="6587477F"/>
    <w:rsid w:val="658C3A08"/>
    <w:rsid w:val="65C031CA"/>
    <w:rsid w:val="65CE6852"/>
    <w:rsid w:val="66267C04"/>
    <w:rsid w:val="663F505A"/>
    <w:rsid w:val="66967186"/>
    <w:rsid w:val="66EE5541"/>
    <w:rsid w:val="66F45858"/>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0F97DBF"/>
    <w:rsid w:val="71903860"/>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7B6D48"/>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5913</Words>
  <Characters>33706</Characters>
  <Lines>280</Lines>
  <Paragraphs>79</Paragraphs>
  <TotalTime>176</TotalTime>
  <ScaleCrop>false</ScaleCrop>
  <LinksUpToDate>false</LinksUpToDate>
  <CharactersWithSpaces>39540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2025-09-18T03:28:48Z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