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hd w:val="clear" w:color="auto" w:fill="FFFFFF"/>
        <w:spacing w:line="560" w:lineRule="exact"/>
        <w:jc w:val="center"/>
        <w:rPr>
          <w:rFonts w:ascii="方正小标宋_GBK" w:eastAsia="方正小标宋_GBK"/>
          <w:sz w:val="44"/>
          <w:szCs w:val="44"/>
          <w:shd w:val="clear" w:color="auto" w:fill="FFFFFF"/>
        </w:rPr>
      </w:pPr>
      <w:r>
        <w:rPr>
          <w:rStyle w:val="35"/>
          <w:rFonts w:hint="eastAsia" w:ascii="方正小标宋_GBK" w:hAnsi="宋体" w:eastAsia="方正小标宋_GBK"/>
          <w:sz w:val="44"/>
          <w:szCs w:val="44"/>
          <w:shd w:val="clear" w:color="auto" w:fill="FFFFFF"/>
        </w:rPr>
        <w:t>垫江县五洞镇人民政府</w:t>
      </w:r>
    </w:p>
    <w:p>
      <w:pPr>
        <w:pStyle w:val="30"/>
        <w:shd w:val="clear" w:color="auto" w:fill="FFFFFF"/>
        <w:spacing w:line="560" w:lineRule="exact"/>
        <w:jc w:val="center"/>
        <w:rPr>
          <w:rFonts w:ascii="方正小标宋_GBK" w:eastAsia="方正小标宋_GBK"/>
          <w:sz w:val="44"/>
          <w:szCs w:val="44"/>
          <w:shd w:val="clear" w:color="auto" w:fill="FFFFFF"/>
        </w:rPr>
      </w:pPr>
      <w:r>
        <w:rPr>
          <w:rStyle w:val="35"/>
          <w:rFonts w:hint="eastAsia" w:ascii="方正小标宋_GBK" w:hAnsi="宋体" w:eastAsia="方正小标宋_GBK"/>
          <w:sz w:val="44"/>
          <w:szCs w:val="44"/>
          <w:shd w:val="clear" w:color="auto" w:fill="FFFFFF"/>
        </w:rPr>
        <w:t>2022年度部门决算情况说明</w:t>
      </w:r>
    </w:p>
    <w:p>
      <w:pPr>
        <w:pStyle w:val="30"/>
        <w:shd w:val="clear" w:color="auto" w:fill="FFFFFF"/>
        <w:spacing w:before="0" w:beforeAutospacing="0" w:after="0" w:afterAutospacing="0" w:line="500" w:lineRule="exact"/>
        <w:ind w:firstLine="964" w:firstLineChars="3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一、部门基本情况</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eastAsia="方正仿宋_GBK"/>
          <w:sz w:val="32"/>
          <w:szCs w:val="32"/>
          <w:shd w:val="clear" w:color="auto" w:fill="FFFFFF"/>
        </w:rPr>
        <w:t>（一）职能职责。</w:t>
      </w:r>
    </w:p>
    <w:p>
      <w:pPr>
        <w:pStyle w:val="33"/>
        <w:spacing w:line="500" w:lineRule="exact"/>
        <w:ind w:firstLine="643"/>
        <w:jc w:val="both"/>
        <w:rPr>
          <w:rFonts w:ascii="方正仿宋_GBK" w:eastAsia="方正仿宋_GBK"/>
          <w:sz w:val="32"/>
          <w:szCs w:val="32"/>
        </w:rPr>
      </w:pPr>
      <w:r>
        <w:rPr>
          <w:rFonts w:hint="eastAsia" w:ascii="方正仿宋_GBK" w:eastAsia="方正仿宋_GBK"/>
          <w:b/>
          <w:color w:val="000000"/>
          <w:sz w:val="32"/>
          <w:szCs w:val="32"/>
        </w:rPr>
        <w:t>1、加强基层党的建设。</w:t>
      </w:r>
      <w:r>
        <w:rPr>
          <w:rFonts w:hint="eastAsia" w:ascii="方正仿宋_GBK" w:eastAsia="方正仿宋_GBK"/>
          <w:color w:val="000000"/>
          <w:sz w:val="32"/>
          <w:szCs w:val="32"/>
        </w:rPr>
        <w:t>加强党的基层组织建设、夯实党在基层的执政根基，推动全面从严治党向基层延伸。</w:t>
      </w:r>
    </w:p>
    <w:p>
      <w:pPr>
        <w:spacing w:line="500" w:lineRule="exact"/>
        <w:ind w:firstLine="643" w:firstLineChars="200"/>
        <w:jc w:val="both"/>
        <w:rPr>
          <w:rFonts w:ascii="方正仿宋_GBK" w:hAnsi="Times New Roman" w:eastAsia="方正仿宋_GBK" w:cs="Times New Roman"/>
          <w:color w:val="000000"/>
          <w:sz w:val="32"/>
          <w:szCs w:val="32"/>
        </w:rPr>
      </w:pPr>
      <w:r>
        <w:rPr>
          <w:rFonts w:hint="eastAsia" w:ascii="方正仿宋_GBK" w:hAnsi="Times New Roman" w:eastAsia="方正仿宋_GBK" w:cs="Times New Roman"/>
          <w:b/>
          <w:color w:val="000000"/>
          <w:sz w:val="32"/>
          <w:szCs w:val="32"/>
        </w:rPr>
        <w:t>2</w:t>
      </w:r>
      <w:r>
        <w:rPr>
          <w:rFonts w:hint="eastAsia" w:ascii="方正仿宋_GBK" w:eastAsia="方正仿宋_GBK"/>
          <w:b/>
          <w:color w:val="000000"/>
          <w:sz w:val="32"/>
          <w:szCs w:val="32"/>
        </w:rPr>
        <w:t>、强化服务管理职能。</w:t>
      </w:r>
      <w:r>
        <w:rPr>
          <w:rFonts w:hint="eastAsia" w:ascii="方正仿宋_GBK" w:eastAsia="方正仿宋_GBK"/>
          <w:color w:val="000000"/>
          <w:sz w:val="32"/>
          <w:szCs w:val="32"/>
        </w:rPr>
        <w:t>强化企业投资、规划建设、城镇管理、环境保护、安全生产、农业发展、农村经营管理、生态建设、防灾减灾、扶贫济困等方面的服务管理职能。</w:t>
      </w:r>
    </w:p>
    <w:p>
      <w:pPr>
        <w:spacing w:line="500" w:lineRule="exact"/>
        <w:ind w:firstLine="643" w:firstLineChars="200"/>
        <w:jc w:val="both"/>
        <w:rPr>
          <w:rFonts w:ascii="方正仿宋_GBK" w:hAnsi="Times New Roman" w:eastAsia="方正仿宋_GBK" w:cs="Times New Roman"/>
          <w:color w:val="000000"/>
          <w:sz w:val="32"/>
          <w:szCs w:val="32"/>
        </w:rPr>
      </w:pPr>
      <w:r>
        <w:rPr>
          <w:rFonts w:hint="eastAsia" w:ascii="方正仿宋_GBK" w:hAnsi="Times New Roman" w:eastAsia="方正仿宋_GBK" w:cs="Times New Roman"/>
          <w:b/>
          <w:color w:val="000000"/>
          <w:sz w:val="32"/>
          <w:szCs w:val="32"/>
        </w:rPr>
        <w:t>3</w:t>
      </w:r>
      <w:r>
        <w:rPr>
          <w:rFonts w:hint="eastAsia" w:ascii="方正仿宋_GBK" w:eastAsia="方正仿宋_GBK"/>
          <w:b/>
          <w:color w:val="000000"/>
          <w:sz w:val="32"/>
          <w:szCs w:val="32"/>
        </w:rPr>
        <w:t>、提高审批服务便民化水平。</w:t>
      </w:r>
      <w:r>
        <w:rPr>
          <w:rFonts w:hint="eastAsia" w:ascii="方正仿宋_GBK" w:eastAsia="方正仿宋_GBK"/>
          <w:color w:val="000000"/>
          <w:sz w:val="32"/>
          <w:szCs w:val="32"/>
        </w:rPr>
        <w:t>推进审批服务标准化，着力提升</w:t>
      </w:r>
      <w:r>
        <w:rPr>
          <w:rFonts w:hint="eastAsia" w:ascii="方正仿宋_GBK" w:hAnsi="Times New Roman" w:eastAsia="方正仿宋_GBK" w:cs="Times New Roman"/>
          <w:color w:val="000000"/>
          <w:sz w:val="32"/>
          <w:szCs w:val="32"/>
        </w:rPr>
        <w:t>“</w:t>
      </w:r>
      <w:r>
        <w:rPr>
          <w:rFonts w:hint="eastAsia" w:ascii="方正仿宋_GBK" w:eastAsia="方正仿宋_GBK"/>
          <w:color w:val="000000"/>
          <w:sz w:val="32"/>
          <w:szCs w:val="32"/>
        </w:rPr>
        <w:t>互联网</w:t>
      </w:r>
      <w:r>
        <w:rPr>
          <w:rFonts w:hint="eastAsia" w:ascii="方正仿宋_GBK" w:hAnsi="Times New Roman" w:eastAsia="方正仿宋_GBK" w:cs="Times New Roman"/>
          <w:color w:val="000000"/>
          <w:sz w:val="32"/>
          <w:szCs w:val="32"/>
        </w:rPr>
        <w:t>+</w:t>
      </w:r>
      <w:r>
        <w:rPr>
          <w:rFonts w:hint="eastAsia" w:ascii="方正仿宋_GBK" w:eastAsia="方正仿宋_GBK"/>
          <w:color w:val="000000"/>
          <w:sz w:val="32"/>
          <w:szCs w:val="32"/>
        </w:rPr>
        <w:t>政务服务</w:t>
      </w:r>
      <w:r>
        <w:rPr>
          <w:rFonts w:hint="eastAsia" w:ascii="方正仿宋_GBK" w:hAnsi="Times New Roman" w:eastAsia="方正仿宋_GBK" w:cs="Times New Roman"/>
          <w:color w:val="000000"/>
          <w:sz w:val="32"/>
          <w:szCs w:val="32"/>
        </w:rPr>
        <w:t>”</w:t>
      </w:r>
      <w:r>
        <w:rPr>
          <w:rFonts w:hint="eastAsia" w:ascii="方正仿宋_GBK" w:eastAsia="方正仿宋_GBK"/>
          <w:color w:val="000000"/>
          <w:sz w:val="32"/>
          <w:szCs w:val="32"/>
        </w:rPr>
        <w:t>能力。</w:t>
      </w:r>
    </w:p>
    <w:p>
      <w:pPr>
        <w:spacing w:line="500" w:lineRule="exact"/>
        <w:ind w:firstLine="643" w:firstLineChars="200"/>
        <w:jc w:val="both"/>
        <w:rPr>
          <w:rFonts w:ascii="方正仿宋_GBK" w:hAnsi="Times New Roman" w:eastAsia="方正仿宋_GBK" w:cs="Times New Roman"/>
          <w:color w:val="000000"/>
          <w:kern w:val="2"/>
          <w:sz w:val="32"/>
          <w:szCs w:val="32"/>
        </w:rPr>
      </w:pPr>
      <w:r>
        <w:rPr>
          <w:rFonts w:hint="eastAsia" w:ascii="方正仿宋_GBK" w:hAnsi="Times New Roman" w:eastAsia="方正仿宋_GBK" w:cs="Times New Roman"/>
          <w:b/>
          <w:color w:val="000000"/>
          <w:sz w:val="32"/>
          <w:szCs w:val="32"/>
        </w:rPr>
        <w:t>4</w:t>
      </w:r>
      <w:r>
        <w:rPr>
          <w:rFonts w:hint="eastAsia" w:ascii="方正仿宋_GBK" w:eastAsia="方正仿宋_GBK"/>
          <w:b/>
          <w:color w:val="000000"/>
          <w:sz w:val="32"/>
          <w:szCs w:val="32"/>
        </w:rPr>
        <w:t>、</w:t>
      </w:r>
      <w:r>
        <w:rPr>
          <w:rFonts w:hint="eastAsia" w:ascii="方正仿宋_GBK" w:eastAsia="方正仿宋_GBK"/>
          <w:b/>
          <w:color w:val="000000"/>
          <w:kern w:val="2"/>
          <w:sz w:val="32"/>
          <w:szCs w:val="32"/>
        </w:rPr>
        <w:t>推进综合行政执法。</w:t>
      </w:r>
      <w:r>
        <w:rPr>
          <w:rFonts w:hint="eastAsia" w:ascii="方正仿宋_GBK" w:eastAsia="方正仿宋_GBK"/>
          <w:color w:val="000000"/>
          <w:kern w:val="2"/>
          <w:sz w:val="32"/>
          <w:szCs w:val="32"/>
        </w:rPr>
        <w:t>集中行使依法授权或委托的农林水利、规划建设、环境保护、卫生健康、市容环卫、文化旅游、民政管理、消防等领域的行政执法权。加强综合行政执法队伍建设，实行综合行政执法。</w:t>
      </w:r>
    </w:p>
    <w:p>
      <w:pPr>
        <w:spacing w:line="500" w:lineRule="exact"/>
        <w:ind w:firstLine="643" w:firstLineChars="200"/>
        <w:jc w:val="both"/>
        <w:rPr>
          <w:rStyle w:val="35"/>
          <w:rFonts w:hint="eastAsia" w:ascii="方正仿宋_GBK" w:hAnsi="宋体" w:eastAsia="方正仿宋_GBK"/>
          <w:sz w:val="32"/>
          <w:szCs w:val="32"/>
        </w:rPr>
      </w:pPr>
      <w:r>
        <w:rPr>
          <w:rStyle w:val="35"/>
          <w:rFonts w:hint="eastAsia" w:ascii="方正仿宋_GBK" w:hAnsi="宋体" w:eastAsia="方正仿宋_GBK"/>
          <w:sz w:val="32"/>
          <w:szCs w:val="32"/>
        </w:rPr>
        <w:t>（二）机构设置。</w:t>
      </w:r>
    </w:p>
    <w:p>
      <w:pPr>
        <w:spacing w:line="500" w:lineRule="exact"/>
        <w:ind w:firstLine="640" w:firstLineChars="200"/>
        <w:jc w:val="both"/>
        <w:rPr>
          <w:rFonts w:hint="eastAsia" w:ascii="方正仿宋_GBK" w:hAnsi="Times New Roman" w:eastAsia="方正仿宋_GBK" w:cs="Times New Roman"/>
          <w:color w:val="000000"/>
          <w:kern w:val="2"/>
          <w:sz w:val="32"/>
          <w:szCs w:val="32"/>
        </w:rPr>
      </w:pPr>
      <w:r>
        <w:rPr>
          <w:rFonts w:hint="eastAsia" w:ascii="方正仿宋_GBK" w:eastAsia="方正仿宋_GBK"/>
          <w:color w:val="000000"/>
          <w:kern w:val="2"/>
          <w:sz w:val="32"/>
          <w:szCs w:val="32"/>
        </w:rPr>
        <w:t>五洞镇人民政府共设置行政机构10个，事业站所室</w:t>
      </w:r>
      <w:r>
        <w:rPr>
          <w:rFonts w:ascii="方正仿宋_GBK" w:eastAsia="方正仿宋_GBK"/>
          <w:color w:val="000000"/>
          <w:kern w:val="2"/>
          <w:sz w:val="32"/>
          <w:szCs w:val="32"/>
        </w:rPr>
        <w:t>5</w:t>
      </w:r>
      <w:r>
        <w:rPr>
          <w:rFonts w:hint="eastAsia" w:ascii="方正仿宋_GBK" w:eastAsia="方正仿宋_GBK"/>
          <w:color w:val="000000"/>
          <w:kern w:val="2"/>
          <w:sz w:val="32"/>
          <w:szCs w:val="32"/>
        </w:rPr>
        <w:t>个。分别是党政办公室、党群工作办公室、人大办公室、经济发展办公室、民政和社会事务办公室、平安建设办公室、规划建设环保办公室、财政办公室、应急管理办公室、综合行政执法办公室、农业服务中心、文化服务中心、劳动就业和社会保障服务所、退役军人服务站、综合行政执法大队。</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二、部门决算情况说明</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（一）收入支出决算总体情况说明</w:t>
      </w:r>
    </w:p>
    <w:p>
      <w:pPr>
        <w:spacing w:line="500" w:lineRule="exact"/>
        <w:ind w:firstLine="643" w:firstLineChars="200"/>
        <w:rPr>
          <w:rFonts w:ascii="方正仿宋_GBK" w:eastAsia="方正仿宋_GBK" w:cs="Arial"/>
          <w:sz w:val="32"/>
          <w:szCs w:val="32"/>
        </w:rPr>
      </w:pPr>
      <w:r>
        <w:rPr>
          <w:rStyle w:val="35"/>
          <w:rFonts w:hint="eastAsia" w:ascii="方正仿宋_GBK" w:hAnsi="宋体" w:eastAsia="方正仿宋_GBK"/>
          <w:sz w:val="32"/>
          <w:szCs w:val="32"/>
        </w:rPr>
        <w:t>1.总体情况。</w:t>
      </w:r>
      <w:r>
        <w:rPr>
          <w:rFonts w:hint="eastAsia" w:ascii="方正仿宋_GBK" w:eastAsia="方正仿宋_GBK"/>
          <w:sz w:val="32"/>
          <w:szCs w:val="32"/>
        </w:rPr>
        <w:t>2022年度收入总计2654.89万元，支出总计2654.89万元。收支平衡</w:t>
      </w:r>
      <w:r>
        <w:rPr>
          <w:rFonts w:hint="eastAsia" w:ascii="方正仿宋_GBK" w:eastAsia="方正仿宋_GBK"/>
          <w:color w:val="000000"/>
          <w:sz w:val="32"/>
          <w:szCs w:val="32"/>
        </w:rPr>
        <w:t>。</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rPr>
      </w:pPr>
      <w:r>
        <w:rPr>
          <w:rStyle w:val="35"/>
          <w:rFonts w:hint="eastAsia" w:ascii="方正仿宋_GBK" w:hAnsi="宋体" w:eastAsia="方正仿宋_GBK"/>
          <w:sz w:val="32"/>
          <w:szCs w:val="32"/>
          <w:shd w:val="clear" w:color="auto" w:fill="FFFFFF"/>
        </w:rPr>
        <w:t>2.收入情况。</w:t>
      </w:r>
      <w:r>
        <w:rPr>
          <w:rFonts w:hint="eastAsia" w:ascii="方正仿宋_GBK" w:eastAsia="方正仿宋_GBK"/>
          <w:sz w:val="32"/>
          <w:szCs w:val="32"/>
        </w:rPr>
        <w:t>2022年度收入合计2595.86万元，较上年决算数减少728.88万元，下降21.9%，主要原因是项目资金安排减少、体制补助减少。其中：财政拨款收入2,595.86万元，占100.0%。年初结转和结余59.02万元。</w:t>
      </w:r>
    </w:p>
    <w:p>
      <w:pPr>
        <w:pStyle w:val="30"/>
        <w:shd w:val="clear" w:color="auto" w:fill="FFFFFF"/>
        <w:spacing w:before="0" w:beforeAutospacing="0" w:after="0" w:afterAutospacing="0" w:line="500" w:lineRule="exact"/>
        <w:ind w:firstLine="643" w:firstLineChars="200"/>
        <w:rPr>
          <w:rFonts w:hint="eastAsia"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3.支出情况。</w:t>
      </w:r>
      <w:r>
        <w:rPr>
          <w:rFonts w:hint="eastAsia" w:ascii="方正仿宋_GBK" w:eastAsia="方正仿宋_GBK"/>
          <w:sz w:val="32"/>
          <w:szCs w:val="32"/>
          <w:shd w:val="clear" w:color="auto" w:fill="FFFFFF"/>
        </w:rPr>
        <w:t>2022年度支出合计2654.89万元，较上年决算减少734万元，下降21.7%，主要原因是</w:t>
      </w:r>
      <w:r>
        <w:rPr>
          <w:rFonts w:hint="eastAsia" w:ascii="方正仿宋_GBK" w:eastAsia="方正仿宋_GBK"/>
          <w:color w:val="000000"/>
          <w:sz w:val="32"/>
          <w:szCs w:val="32"/>
          <w:shd w:val="clear" w:color="auto" w:fill="FFFFFF"/>
        </w:rPr>
        <w:t>项目资金安排减少、体制补助减少、机关运行经费减少。</w:t>
      </w:r>
      <w:r>
        <w:rPr>
          <w:rFonts w:hint="eastAsia" w:ascii="方正仿宋_GBK" w:eastAsia="方正仿宋_GBK"/>
          <w:sz w:val="32"/>
          <w:szCs w:val="32"/>
          <w:shd w:val="clear" w:color="auto" w:fill="FFFFFF"/>
        </w:rPr>
        <w:t>其中：基本支出1,414.64万元，占53.3%；项目支出1240.24万元，占46.7%。</w:t>
      </w:r>
    </w:p>
    <w:p>
      <w:pPr>
        <w:pStyle w:val="30"/>
        <w:shd w:val="clear" w:color="auto" w:fill="FFFFFF"/>
        <w:spacing w:before="0" w:beforeAutospacing="0" w:after="0" w:afterAutospacing="0" w:line="500" w:lineRule="exact"/>
        <w:ind w:firstLine="643" w:firstLineChars="200"/>
        <w:rPr>
          <w:rFonts w:ascii="方正仿宋_GBK" w:hAnsi="Times New Roman" w:eastAsia="方正仿宋_GBK" w:cs="Times New Roman"/>
          <w:sz w:val="32"/>
          <w:szCs w:val="32"/>
          <w:shd w:val="clear" w:color="auto" w:fill="FFFFFF"/>
        </w:rPr>
      </w:pPr>
      <w:r>
        <w:rPr>
          <w:rStyle w:val="35"/>
          <w:rFonts w:hint="eastAsia" w:ascii="方正仿宋_GBK" w:hAnsi="宋体" w:eastAsia="方正仿宋_GBK"/>
          <w:sz w:val="32"/>
          <w:szCs w:val="32"/>
          <w:shd w:val="clear" w:color="auto" w:fill="FFFFFF"/>
        </w:rPr>
        <w:t>4.结转结余情况。</w:t>
      </w:r>
      <w:r>
        <w:rPr>
          <w:rFonts w:hint="eastAsia" w:ascii="方正仿宋_GBK" w:hAnsi="Times New Roman" w:eastAsia="方正仿宋_GBK" w:cs="Times New Roman"/>
          <w:sz w:val="32"/>
          <w:szCs w:val="32"/>
          <w:shd w:val="clear" w:color="auto" w:fill="FFFFFF"/>
        </w:rPr>
        <w:t>2022</w:t>
      </w:r>
      <w:r>
        <w:rPr>
          <w:rFonts w:hint="eastAsia" w:ascii="方正仿宋_GBK" w:eastAsia="方正仿宋_GBK"/>
          <w:sz w:val="32"/>
          <w:szCs w:val="32"/>
          <w:shd w:val="clear" w:color="auto" w:fill="FFFFFF"/>
        </w:rPr>
        <w:t>年度无结转结余。</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（二）财政拨款收入支出决算总体情况说明</w:t>
      </w:r>
    </w:p>
    <w:p>
      <w:pPr>
        <w:pStyle w:val="30"/>
        <w:shd w:val="clear" w:color="auto" w:fill="FFFFFF"/>
        <w:spacing w:before="0" w:beforeAutospacing="0" w:after="0" w:afterAutospacing="0" w:line="500" w:lineRule="exact"/>
        <w:ind w:firstLine="640" w:firstLineChars="200"/>
        <w:rPr>
          <w:rFonts w:ascii="方正仿宋_GBK" w:hAnsi="仿宋" w:eastAsia="方正仿宋_GBK" w:cs="仿宋"/>
          <w:color w:val="000000"/>
          <w:sz w:val="32"/>
          <w:szCs w:val="32"/>
          <w:shd w:val="clear" w:color="auto" w:fill="FFFFFF"/>
        </w:rPr>
      </w:pPr>
      <w:r>
        <w:rPr>
          <w:rFonts w:hint="eastAsia" w:ascii="方正仿宋_GBK" w:eastAsia="方正仿宋_GBK"/>
          <w:sz w:val="32"/>
          <w:szCs w:val="32"/>
          <w:shd w:val="clear" w:color="auto" w:fill="FFFFFF"/>
        </w:rPr>
        <w:t>2022年度财政拨款收、支总计2654.89万元。与2021年相比，财政拨款收、支总计各减少734万元，下降21.7%。主要原因是</w:t>
      </w:r>
      <w:r>
        <w:rPr>
          <w:rFonts w:hint="eastAsia" w:ascii="方正仿宋_GBK" w:eastAsia="方正仿宋_GBK"/>
          <w:color w:val="000000"/>
          <w:sz w:val="32"/>
          <w:szCs w:val="32"/>
          <w:shd w:val="clear" w:color="auto" w:fill="FFFFFF"/>
        </w:rPr>
        <w:t>项目资金安排减少、体制补助减少、机关运行经费减少。</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（三）一般公共预算财政拨款收入支出决算情况说明</w:t>
      </w:r>
    </w:p>
    <w:p>
      <w:pPr>
        <w:snapToGrid w:val="0"/>
        <w:spacing w:line="500" w:lineRule="exact"/>
        <w:ind w:firstLine="643" w:firstLineChars="200"/>
        <w:rPr>
          <w:rFonts w:ascii="方正仿宋_GBK" w:hAnsi="仿宋" w:eastAsia="方正仿宋_GBK"/>
          <w:sz w:val="32"/>
          <w:szCs w:val="32"/>
        </w:rPr>
      </w:pPr>
      <w:r>
        <w:rPr>
          <w:rStyle w:val="35"/>
          <w:rFonts w:hint="eastAsia" w:ascii="方正仿宋_GBK" w:hAnsi="宋体" w:eastAsia="方正仿宋_GBK"/>
          <w:sz w:val="32"/>
          <w:szCs w:val="32"/>
        </w:rPr>
        <w:t>1.收入情况。</w:t>
      </w:r>
      <w:r>
        <w:rPr>
          <w:rFonts w:hint="eastAsia" w:ascii="方正仿宋_GBK" w:eastAsia="方正仿宋_GBK"/>
          <w:sz w:val="32"/>
          <w:szCs w:val="32"/>
        </w:rPr>
        <w:t>2022年度一般公共预算财政拨款收入2575.58万元，较上年决算数减少80.97万元，下降3%。主要原因是减少了项目资金安排。较年初预算数增加1309.81万元，增长103.5%。主要原因是</w:t>
      </w:r>
      <w:r>
        <w:rPr>
          <w:rFonts w:hint="eastAsia" w:ascii="方正仿宋_GBK" w:eastAsia="方正仿宋_GBK"/>
          <w:color w:val="000000"/>
          <w:sz w:val="32"/>
          <w:szCs w:val="32"/>
        </w:rPr>
        <w:t>因工作不确定性，年中追加安排部分财政拨款预算。</w:t>
      </w:r>
      <w:r>
        <w:rPr>
          <w:rFonts w:hint="eastAsia" w:ascii="方正仿宋_GBK" w:eastAsia="方正仿宋_GBK"/>
          <w:sz w:val="32"/>
          <w:szCs w:val="32"/>
        </w:rPr>
        <w:t>此外，年初财政拨款结转和结余59.02万元。</w:t>
      </w:r>
    </w:p>
    <w:p>
      <w:pPr>
        <w:pStyle w:val="30"/>
        <w:shd w:val="clear" w:color="auto" w:fill="FFFFFF"/>
        <w:spacing w:before="0" w:beforeAutospacing="0" w:after="0" w:afterAutospacing="0" w:line="500" w:lineRule="exact"/>
        <w:ind w:firstLine="643" w:firstLineChars="200"/>
        <w:rPr>
          <w:rFonts w:ascii="方正仿宋_GBK" w:hAnsi="仿宋" w:eastAsia="方正仿宋_GBK" w:cs="仿宋"/>
          <w:color w:val="000000"/>
          <w:sz w:val="32"/>
          <w:szCs w:val="32"/>
          <w:shd w:val="clear" w:color="auto" w:fill="FFFFFF"/>
        </w:rPr>
      </w:pPr>
      <w:r>
        <w:rPr>
          <w:rStyle w:val="35"/>
          <w:rFonts w:hint="eastAsia" w:ascii="方正仿宋_GBK" w:hAnsi="宋体" w:eastAsia="方正仿宋_GBK"/>
          <w:sz w:val="32"/>
          <w:szCs w:val="32"/>
          <w:shd w:val="clear" w:color="auto" w:fill="FFFFFF"/>
        </w:rPr>
        <w:t>2.支出情况。</w:t>
      </w:r>
      <w:r>
        <w:rPr>
          <w:rFonts w:hint="eastAsia" w:ascii="方正仿宋_GBK" w:eastAsia="方正仿宋_GBK"/>
          <w:sz w:val="32"/>
          <w:szCs w:val="32"/>
          <w:shd w:val="clear" w:color="auto" w:fill="FFFFFF"/>
        </w:rPr>
        <w:t>2022年度一般公共预算财政拨款支出2634.61万元，较上年决算数减少86.09万元，下降3.2%。主要原因是</w:t>
      </w:r>
      <w:r>
        <w:rPr>
          <w:rFonts w:hint="eastAsia" w:ascii="方正仿宋_GBK" w:eastAsia="方正仿宋_GBK"/>
          <w:color w:val="000000"/>
          <w:sz w:val="32"/>
          <w:szCs w:val="32"/>
          <w:shd w:val="clear" w:color="auto" w:fill="FFFFFF"/>
        </w:rPr>
        <w:t>项目资金安排减少、体制补助减少、机关运行经费减少。</w:t>
      </w:r>
      <w:r>
        <w:rPr>
          <w:rFonts w:hint="eastAsia" w:ascii="方正仿宋_GBK" w:eastAsia="方正仿宋_GBK"/>
          <w:sz w:val="32"/>
          <w:szCs w:val="32"/>
          <w:shd w:val="clear" w:color="auto" w:fill="FFFFFF"/>
        </w:rPr>
        <w:t>较年初预算数增加1305.36万元，增长98.2%。</w:t>
      </w:r>
      <w:r>
        <w:rPr>
          <w:rFonts w:hint="eastAsia" w:ascii="方正仿宋_GBK" w:eastAsia="方正仿宋_GBK"/>
          <w:color w:val="000000"/>
          <w:sz w:val="32"/>
          <w:szCs w:val="32"/>
          <w:shd w:val="clear" w:color="auto" w:fill="FFFFFF"/>
        </w:rPr>
        <w:t>主要原因是因工作不确定性，年中追加安排部分财政拨款预算。</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3.结转结余情况。</w:t>
      </w:r>
      <w:r>
        <w:rPr>
          <w:rFonts w:hint="eastAsia" w:ascii="方正仿宋_GBK" w:eastAsia="方正仿宋_GBK"/>
          <w:sz w:val="32"/>
          <w:szCs w:val="32"/>
          <w:shd w:val="clear" w:color="auto" w:fill="FFFFFF"/>
        </w:rPr>
        <w:t>2022年度年末一般公共预算财政拨款结转和结余0万元。</w:t>
      </w:r>
    </w:p>
    <w:p>
      <w:pPr>
        <w:pStyle w:val="30"/>
        <w:shd w:val="clear" w:color="auto" w:fill="FFFFFF"/>
        <w:spacing w:before="0" w:beforeAutospacing="0" w:after="0" w:afterAutospacing="0" w:line="500" w:lineRule="exact"/>
        <w:ind w:firstLine="643" w:firstLineChars="200"/>
        <w:rPr>
          <w:rFonts w:ascii="方正仿宋_GBK" w:eastAsia="方正仿宋_GBK"/>
          <w:color w:val="FF0000"/>
          <w:sz w:val="32"/>
          <w:szCs w:val="32"/>
          <w:shd w:val="clear" w:color="auto" w:fill="FFFF00"/>
        </w:rPr>
      </w:pPr>
      <w:r>
        <w:rPr>
          <w:rStyle w:val="35"/>
          <w:rFonts w:hint="eastAsia" w:ascii="方正仿宋_GBK" w:hAnsi="宋体" w:eastAsia="方正仿宋_GBK"/>
          <w:sz w:val="32"/>
          <w:szCs w:val="32"/>
          <w:shd w:val="clear" w:color="auto" w:fill="FFFFFF"/>
        </w:rPr>
        <w:t>4.比较情况。</w:t>
      </w:r>
      <w:r>
        <w:rPr>
          <w:rFonts w:hint="eastAsia" w:ascii="方正仿宋_GBK" w:eastAsia="方正仿宋_GBK"/>
          <w:sz w:val="32"/>
          <w:szCs w:val="32"/>
          <w:shd w:val="clear" w:color="auto" w:fill="FFFFFF"/>
        </w:rPr>
        <w:t>本部门2022年度一般公共预算财政拨款支出主要用于以下几个方面：</w:t>
      </w:r>
    </w:p>
    <w:p>
      <w:pPr>
        <w:pStyle w:val="30"/>
        <w:shd w:val="clear" w:color="auto" w:fill="FFFFFF"/>
        <w:spacing w:before="0" w:beforeAutospacing="0" w:after="0" w:afterAutospacing="0" w:line="500" w:lineRule="exact"/>
        <w:ind w:firstLine="640" w:firstLineChars="200"/>
        <w:rPr>
          <w:rFonts w:ascii="方正仿宋_GBK" w:hAnsi="仿宋" w:eastAsia="方正仿宋_GBK" w:cs="仿宋"/>
          <w:color w:val="000000"/>
          <w:sz w:val="32"/>
          <w:szCs w:val="32"/>
          <w:shd w:val="clear" w:color="auto" w:fill="FFFFFF"/>
        </w:rPr>
      </w:pPr>
      <w:r>
        <w:rPr>
          <w:rFonts w:hint="eastAsia" w:ascii="方正仿宋_GBK" w:eastAsia="方正仿宋_GBK"/>
          <w:sz w:val="32"/>
          <w:szCs w:val="32"/>
          <w:shd w:val="clear" w:color="auto" w:fill="FFFFFF"/>
        </w:rPr>
        <w:t>（1）一般公共服务支出783.22万元，占29.7%，较年初预算数增加411.91万元，增长110.9%，</w:t>
      </w:r>
      <w:r>
        <w:rPr>
          <w:rFonts w:hint="eastAsia" w:ascii="方正仿宋_GBK" w:eastAsia="方正仿宋_GBK"/>
          <w:color w:val="000000"/>
          <w:sz w:val="32"/>
          <w:szCs w:val="32"/>
          <w:shd w:val="clear" w:color="auto" w:fill="FFFFFF"/>
        </w:rPr>
        <w:t>主要原因是年中追加安排部分财政拨款预算。</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（2）公共安全支出2.07万元，占0.1%，较年初预算数增加2.07万元，增长100.0%，主要原因是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（3）文化旅游体育与传媒支出94.25万元，占3.6%，较年初预算数增加5.15万元，增长5.8%，</w:t>
      </w:r>
      <w:r>
        <w:rPr>
          <w:rFonts w:hint="eastAsia" w:ascii="方正仿宋_GBK" w:eastAsia="方正仿宋_GBK"/>
          <w:color w:val="000000"/>
          <w:sz w:val="32"/>
          <w:szCs w:val="32"/>
          <w:shd w:val="clear" w:color="auto" w:fill="FFFFFF"/>
        </w:rPr>
        <w:t>主要原因加大文化支持力度。</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（4）社会保障与就业支出393.52万元，占14.9%，较年初预算数增加97.14万元，增长32.8%，主要原因是</w:t>
      </w:r>
      <w:r>
        <w:rPr>
          <w:rFonts w:hint="eastAsia" w:ascii="方正仿宋_GBK" w:eastAsia="方正仿宋_GBK"/>
          <w:color w:val="000000"/>
          <w:sz w:val="32"/>
          <w:szCs w:val="32"/>
          <w:shd w:val="clear" w:color="auto" w:fill="FFFFFF"/>
        </w:rPr>
        <w:t>年初不确定性，年终根据工作实际予以追加。</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（5）卫生健康支出78.92万元，占3%，较年初预算数增加34.31万元，增长76.9%，原因是</w:t>
      </w:r>
      <w:r>
        <w:rPr>
          <w:rFonts w:hint="eastAsia" w:ascii="方正仿宋_GBK" w:eastAsia="方正仿宋_GBK"/>
          <w:color w:val="000000"/>
          <w:sz w:val="32"/>
          <w:szCs w:val="32"/>
          <w:shd w:val="clear" w:color="auto" w:fill="FFFFFF"/>
        </w:rPr>
        <w:t>新冠疫情防</w:t>
      </w:r>
      <w:r>
        <w:rPr>
          <w:rFonts w:hint="eastAsia" w:ascii="方正仿宋_GBK" w:eastAsia="方正仿宋_GBK"/>
          <w:color w:val="000000"/>
          <w:sz w:val="32"/>
          <w:szCs w:val="32"/>
          <w:shd w:val="clear" w:color="auto" w:fill="FFFFFF"/>
          <w:lang w:eastAsia="zh-CN"/>
        </w:rPr>
        <w:t>控</w:t>
      </w:r>
      <w:r>
        <w:rPr>
          <w:rFonts w:hint="eastAsia" w:ascii="方正仿宋_GBK" w:eastAsia="方正仿宋_GBK"/>
          <w:color w:val="000000"/>
          <w:sz w:val="32"/>
          <w:szCs w:val="32"/>
          <w:shd w:val="clear" w:color="auto" w:fill="FFFFFF"/>
        </w:rPr>
        <w:t>支出。</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（6）城乡社区支出122.63万元，占4.7%，较年初预算数增加35.02万元，增长40%，主要原因是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（7）农林水支出894.73万元，占34%，较年初预算数增加504.85万元，增长129.5%，主要原因是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（8）交通运输支出187.57万元，占7.1%，较年初预算数增加187.57万元，增长100.0%，主要原因是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（9）住房保障支出73.35万元，占2.8%，较年初预算数增加22.98万元，增长45.6%，主要原因是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（10）灾害防治及应急管理支出4.35万元，占0.2%，较年初预算数增加4.35万元，增长100.0%，主要原因是</w:t>
      </w:r>
      <w:r>
        <w:rPr>
          <w:rFonts w:hint="eastAsia" w:ascii="方正仿宋_GBK" w:eastAsia="方正仿宋_GBK"/>
          <w:color w:val="000000"/>
          <w:sz w:val="32"/>
          <w:szCs w:val="32"/>
          <w:shd w:val="clear" w:color="auto" w:fill="FFFFFF"/>
        </w:rPr>
        <w:t>因不确定性年初预算未安排，年终根据工作实际予以追加。</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（四）一般公共预算财政拨款基本支出决算情况说明</w:t>
      </w:r>
    </w:p>
    <w:p>
      <w:pPr>
        <w:pStyle w:val="30"/>
        <w:shd w:val="clear" w:color="auto" w:fill="FFFFFF"/>
        <w:spacing w:before="0" w:beforeAutospacing="0" w:after="0" w:afterAutospacing="0" w:line="500" w:lineRule="exact"/>
        <w:ind w:firstLine="640" w:firstLineChars="200"/>
        <w:jc w:val="both"/>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2022年度一般公共预算财政拨款基本支出1414.64万元。其中：人员经费1255.07万元，较上年决算数增加84.29万元，增长7.2%，主要原因是原因为新进人员1人、职级晋升工资待遇上调、公务员工资清算及基础绩效增加</w:t>
      </w:r>
      <w:r>
        <w:rPr>
          <w:rFonts w:hint="eastAsia" w:ascii="方正仿宋_GBK" w:eastAsia="方正仿宋_GBK"/>
          <w:color w:val="FF0000"/>
          <w:sz w:val="32"/>
          <w:szCs w:val="32"/>
          <w:shd w:val="clear" w:color="auto" w:fill="FFFFFF"/>
        </w:rPr>
        <w:t>。</w:t>
      </w:r>
      <w:r>
        <w:rPr>
          <w:rFonts w:hint="eastAsia" w:ascii="方正仿宋_GBK" w:eastAsia="方正仿宋_GBK"/>
          <w:sz w:val="32"/>
          <w:szCs w:val="32"/>
          <w:shd w:val="clear" w:color="auto" w:fill="FFFFFF"/>
        </w:rPr>
        <w:t>公用经费159.57万元，较上年决算数减少34.51万元，下降17.8%，</w:t>
      </w:r>
      <w:r>
        <w:rPr>
          <w:rFonts w:hint="eastAsia" w:ascii="方正仿宋_GBK" w:eastAsia="方正仿宋_GBK"/>
          <w:color w:val="000000"/>
          <w:sz w:val="32"/>
          <w:szCs w:val="32"/>
          <w:shd w:val="clear" w:color="auto" w:fill="FFFFFF"/>
        </w:rPr>
        <w:t>主要原因是厉行节约，精简支出，压缩活动支出。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（五）政府性基金预算收支决算情况说明。</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00"/>
        </w:rPr>
      </w:pPr>
      <w:r>
        <w:rPr>
          <w:rFonts w:hint="eastAsia" w:ascii="方正仿宋_GBK" w:eastAsia="方正仿宋_GBK"/>
          <w:sz w:val="32"/>
          <w:szCs w:val="32"/>
          <w:shd w:val="clear" w:color="auto" w:fill="FFFFFF"/>
        </w:rPr>
        <w:t>2022年度政府性基金预算财政拨款年初结转结余0万元，年末结转结余0万元。本年收入20.28万元，较上年决算数减少647.91万元，下降97.0%，主要原因是</w:t>
      </w:r>
      <w:r>
        <w:rPr>
          <w:rFonts w:hint="eastAsia" w:ascii="方正仿宋_GBK" w:eastAsia="方正仿宋_GBK"/>
          <w:color w:val="000000"/>
          <w:sz w:val="32"/>
          <w:szCs w:val="32"/>
          <w:shd w:val="clear" w:color="auto" w:fill="FFFFFF"/>
        </w:rPr>
        <w:t>因不确定性年初预算未安排，年末按实际支出。</w:t>
      </w:r>
      <w:r>
        <w:rPr>
          <w:rFonts w:hint="eastAsia" w:ascii="方正仿宋_GBK" w:eastAsia="方正仿宋_GBK"/>
          <w:sz w:val="32"/>
          <w:szCs w:val="32"/>
          <w:shd w:val="clear" w:color="auto" w:fill="FFFFFF"/>
        </w:rPr>
        <w:t>本年支出20.28万元，较上年决算数减少647.91万元，下降97.0%，主要原因是</w:t>
      </w:r>
      <w:r>
        <w:rPr>
          <w:rFonts w:hint="eastAsia" w:ascii="方正仿宋_GBK" w:eastAsia="方正仿宋_GBK"/>
          <w:color w:val="000000"/>
          <w:sz w:val="32"/>
          <w:szCs w:val="32"/>
          <w:shd w:val="clear" w:color="auto" w:fill="FFFFFF"/>
        </w:rPr>
        <w:t>按实际支出。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（六）国有资本经营预算财政拨款支出决算情况说明。</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本部门2022年度无国有资本经营预算财政拨款支出。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三、“三公”经费情况说明</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（一）“三公”经费支出总体情况说明</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b/>
          <w:sz w:val="32"/>
          <w:szCs w:val="32"/>
          <w:shd w:val="clear" w:color="auto" w:fill="FFFFFF"/>
        </w:rPr>
      </w:pPr>
      <w:r>
        <w:rPr>
          <w:rFonts w:hint="eastAsia" w:ascii="方正仿宋_GBK" w:eastAsia="方正仿宋_GBK"/>
          <w:sz w:val="32"/>
          <w:szCs w:val="32"/>
          <w:shd w:val="clear" w:color="auto" w:fill="FFFFFF"/>
        </w:rPr>
        <w:t>2022年度“三公”经费支出共计9.07万元，较年初预算数增加3.57万元，增长64.9%，主要原因是因不确定性年初预算少了，年终根据工作实际予以追加。较上年支出数减少2.42万元，下降21.1%，主要原因</w:t>
      </w:r>
      <w:r>
        <w:rPr>
          <w:rFonts w:hint="eastAsia" w:ascii="方正仿宋_GBK" w:eastAsia="方正仿宋_GBK"/>
          <w:color w:val="000000"/>
          <w:sz w:val="32"/>
          <w:szCs w:val="32"/>
          <w:shd w:val="clear" w:color="auto" w:fill="FFFFFF"/>
        </w:rPr>
        <w:t>：</w:t>
      </w:r>
      <w:r>
        <w:rPr>
          <w:rFonts w:hint="eastAsia" w:ascii="方正仿宋_GBK" w:eastAsia="方正仿宋_GBK"/>
          <w:b/>
          <w:color w:val="000000"/>
          <w:sz w:val="32"/>
          <w:szCs w:val="32"/>
          <w:shd w:val="clear" w:color="auto" w:fill="FFFFFF"/>
        </w:rPr>
        <w:t>一是</w:t>
      </w:r>
      <w:r>
        <w:rPr>
          <w:rFonts w:hint="eastAsia" w:ascii="方正仿宋_GBK" w:eastAsia="方正仿宋_GBK"/>
          <w:color w:val="000000"/>
          <w:sz w:val="32"/>
          <w:szCs w:val="32"/>
          <w:shd w:val="clear" w:color="auto" w:fill="FFFFFF"/>
        </w:rPr>
        <w:t>认真贯彻落实中央八项规定精神，按照只减不增的要求从严控制</w:t>
      </w:r>
      <w:r>
        <w:rPr>
          <w:rFonts w:hint="eastAsia" w:ascii="方正仿宋_GBK" w:hAnsi="Times New Roman" w:eastAsia="方正仿宋_GBK" w:cs="Times New Roman"/>
          <w:color w:val="000000"/>
          <w:sz w:val="32"/>
          <w:szCs w:val="32"/>
          <w:shd w:val="clear" w:color="auto" w:fill="FFFFFF"/>
        </w:rPr>
        <w:t>“</w:t>
      </w:r>
      <w:r>
        <w:rPr>
          <w:rFonts w:hint="eastAsia" w:ascii="方正仿宋_GBK" w:eastAsia="方正仿宋_GBK"/>
          <w:color w:val="000000"/>
          <w:sz w:val="32"/>
          <w:szCs w:val="32"/>
          <w:shd w:val="clear" w:color="auto" w:fill="FFFFFF"/>
        </w:rPr>
        <w:t>三公</w:t>
      </w:r>
      <w:r>
        <w:rPr>
          <w:rFonts w:hint="eastAsia" w:ascii="方正仿宋_GBK" w:hAnsi="Times New Roman" w:eastAsia="方正仿宋_GBK" w:cs="Times New Roman"/>
          <w:color w:val="000000"/>
          <w:sz w:val="32"/>
          <w:szCs w:val="32"/>
          <w:shd w:val="clear" w:color="auto" w:fill="FFFFFF"/>
        </w:rPr>
        <w:t>”</w:t>
      </w:r>
      <w:r>
        <w:rPr>
          <w:rFonts w:hint="eastAsia" w:ascii="方正仿宋_GBK" w:eastAsia="方正仿宋_GBK"/>
          <w:color w:val="000000"/>
          <w:sz w:val="32"/>
          <w:szCs w:val="32"/>
          <w:shd w:val="clear" w:color="auto" w:fill="FFFFFF"/>
        </w:rPr>
        <w:t>经费，严格控制全年实际支出。</w:t>
      </w:r>
      <w:r>
        <w:rPr>
          <w:rFonts w:hint="eastAsia" w:ascii="方正仿宋_GBK" w:eastAsia="方正仿宋_GBK"/>
          <w:b/>
          <w:color w:val="000000"/>
          <w:sz w:val="32"/>
          <w:szCs w:val="32"/>
          <w:shd w:val="clear" w:color="auto" w:fill="FFFFFF"/>
        </w:rPr>
        <w:t>二是</w:t>
      </w:r>
      <w:r>
        <w:rPr>
          <w:rFonts w:hint="eastAsia" w:ascii="方正仿宋_GBK" w:eastAsia="方正仿宋_GBK"/>
          <w:color w:val="000000"/>
          <w:sz w:val="32"/>
          <w:szCs w:val="32"/>
          <w:shd w:val="clear" w:color="auto" w:fill="FFFFFF"/>
        </w:rPr>
        <w:t>严格落实公车使用规定，公车运行维护成本大幅下降。</w:t>
      </w:r>
      <w:r>
        <w:rPr>
          <w:rFonts w:hint="eastAsia" w:ascii="方正仿宋_GBK" w:eastAsia="方正仿宋_GBK"/>
          <w:b/>
          <w:color w:val="000000"/>
          <w:sz w:val="32"/>
          <w:szCs w:val="32"/>
          <w:shd w:val="clear" w:color="auto" w:fill="FFFFFF"/>
        </w:rPr>
        <w:t>三是</w:t>
      </w:r>
      <w:r>
        <w:rPr>
          <w:rFonts w:hint="eastAsia" w:ascii="方正仿宋_GBK" w:eastAsia="方正仿宋_GBK"/>
          <w:color w:val="000000"/>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eastAsia" w:ascii="方正仿宋_GBK" w:eastAsia="方正仿宋_GBK"/>
          <w:b/>
          <w:color w:val="000000"/>
          <w:sz w:val="32"/>
          <w:szCs w:val="32"/>
          <w:shd w:val="clear" w:color="auto" w:fill="FFFFFF"/>
        </w:rPr>
        <w:t>四是</w:t>
      </w:r>
      <w:r>
        <w:rPr>
          <w:rFonts w:hint="eastAsia" w:ascii="方正仿宋_GBK" w:eastAsia="方正仿宋_GBK"/>
          <w:color w:val="000000"/>
          <w:sz w:val="32"/>
          <w:szCs w:val="32"/>
          <w:shd w:val="clear" w:color="auto" w:fill="FFFFFF"/>
        </w:rPr>
        <w:t>进一步规范因公出国（境）活动，今年未安排人员出国出访。</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（二）“三公”经费分项支出情况</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2022年度本部门因公出国（境）费用0万元，</w:t>
      </w:r>
      <w:r>
        <w:rPr>
          <w:rFonts w:hint="eastAsia" w:ascii="方正仿宋_GBK" w:eastAsia="方正仿宋_GBK"/>
          <w:color w:val="000000"/>
          <w:sz w:val="32"/>
          <w:szCs w:val="32"/>
          <w:shd w:val="clear" w:color="auto" w:fill="FFFFFF"/>
        </w:rPr>
        <w:t>主要是因为本单位</w:t>
      </w:r>
      <w:r>
        <w:rPr>
          <w:rFonts w:hint="eastAsia" w:ascii="方正仿宋_GBK" w:hAnsi="Times New Roman" w:eastAsia="方正仿宋_GBK" w:cs="Times New Roman"/>
          <w:color w:val="000000"/>
          <w:sz w:val="32"/>
          <w:szCs w:val="32"/>
          <w:shd w:val="clear" w:color="auto" w:fill="FFFFFF"/>
        </w:rPr>
        <w:t>2022</w:t>
      </w:r>
      <w:r>
        <w:rPr>
          <w:rFonts w:hint="eastAsia" w:ascii="方正仿宋_GBK" w:eastAsia="方正仿宋_GBK"/>
          <w:color w:val="000000"/>
          <w:sz w:val="32"/>
          <w:szCs w:val="32"/>
          <w:shd w:val="clear" w:color="auto" w:fill="FFFFFF"/>
        </w:rPr>
        <w:t>年度未发生因公出国（境）支出。</w:t>
      </w:r>
    </w:p>
    <w:p>
      <w:pPr>
        <w:pStyle w:val="30"/>
        <w:shd w:val="clear" w:color="auto" w:fill="FFFFFF"/>
        <w:spacing w:before="0" w:beforeAutospacing="0" w:after="0" w:afterAutospacing="0" w:line="500" w:lineRule="exact"/>
        <w:ind w:firstLine="640" w:firstLineChars="200"/>
        <w:jc w:val="both"/>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公务车购置费0万元，</w:t>
      </w:r>
      <w:r>
        <w:rPr>
          <w:rFonts w:hint="eastAsia" w:ascii="方正仿宋_GBK" w:eastAsia="方正仿宋_GBK"/>
          <w:color w:val="000000"/>
          <w:sz w:val="32"/>
          <w:szCs w:val="32"/>
          <w:shd w:val="clear" w:color="auto" w:fill="FFFFFF"/>
        </w:rPr>
        <w:t>主要因为本单位</w:t>
      </w:r>
      <w:r>
        <w:rPr>
          <w:rFonts w:hint="eastAsia" w:ascii="方正仿宋_GBK" w:hAnsi="Times New Roman" w:eastAsia="方正仿宋_GBK" w:cs="Times New Roman"/>
          <w:color w:val="000000"/>
          <w:sz w:val="32"/>
          <w:szCs w:val="32"/>
          <w:shd w:val="clear" w:color="auto" w:fill="FFFFFF"/>
        </w:rPr>
        <w:t>2022</w:t>
      </w:r>
      <w:r>
        <w:rPr>
          <w:rFonts w:hint="eastAsia" w:ascii="方正仿宋_GBK" w:eastAsia="方正仿宋_GBK"/>
          <w:color w:val="000000"/>
          <w:sz w:val="32"/>
          <w:szCs w:val="32"/>
          <w:shd w:val="clear" w:color="auto" w:fill="FFFFFF"/>
        </w:rPr>
        <w:t>年度未发生公务车购置支出。</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公务车运行维护费4.04万元，主要用于</w:t>
      </w:r>
      <w:r>
        <w:rPr>
          <w:rFonts w:hint="eastAsia" w:ascii="方正仿宋_GBK" w:eastAsia="方正仿宋_GBK"/>
          <w:color w:val="000000"/>
          <w:sz w:val="32"/>
          <w:szCs w:val="32"/>
          <w:shd w:val="clear" w:color="auto" w:fill="FFFFFF"/>
        </w:rPr>
        <w:t>按规定保留的公务用车机要文件交换、市内因公出行等工作所需车辆的燃料费、维修费、过桥过路费、保险费等支出。</w:t>
      </w:r>
      <w:r>
        <w:rPr>
          <w:rFonts w:hint="eastAsia" w:ascii="方正仿宋_GBK" w:eastAsia="方正仿宋_GBK"/>
          <w:sz w:val="32"/>
          <w:szCs w:val="32"/>
          <w:shd w:val="clear" w:color="auto" w:fill="FFFFFF"/>
        </w:rPr>
        <w:t>费用支出较年初预算数增加4.04万元，增长100.0%，主要原因是年初未预算此项支出，年中根据实际工作予以追加。较上年支出数减少2.41万元，下降37.4%，</w:t>
      </w:r>
      <w:r>
        <w:rPr>
          <w:rFonts w:hint="eastAsia" w:ascii="方正仿宋_GBK" w:eastAsia="方正仿宋_GBK"/>
          <w:color w:val="000000"/>
          <w:sz w:val="32"/>
          <w:szCs w:val="32"/>
          <w:shd w:val="clear" w:color="auto" w:fill="FFFFFF"/>
        </w:rPr>
        <w:t>主要原因是严格落实公车使用规定，严格控制公车运行维护成本。</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color w:val="000000"/>
          <w:sz w:val="32"/>
          <w:szCs w:val="32"/>
          <w:shd w:val="clear" w:color="auto" w:fill="FFFFFF"/>
        </w:rPr>
      </w:pPr>
      <w:r>
        <w:rPr>
          <w:rFonts w:hint="eastAsia" w:ascii="方正仿宋_GBK" w:eastAsia="方正仿宋_GBK"/>
          <w:sz w:val="32"/>
          <w:szCs w:val="32"/>
          <w:shd w:val="clear" w:color="auto" w:fill="FFFFFF"/>
        </w:rPr>
        <w:t>公务接待费5.03万元，</w:t>
      </w:r>
      <w:r>
        <w:rPr>
          <w:rFonts w:hint="eastAsia" w:ascii="方正仿宋_GBK" w:eastAsia="方正仿宋_GBK"/>
          <w:color w:val="000000"/>
          <w:sz w:val="32"/>
          <w:szCs w:val="32"/>
          <w:shd w:val="clear" w:color="auto" w:fill="FFFFFF"/>
        </w:rPr>
        <w:t>主要用于接待上级部门到我单位学习调研督导各项工作推进情况、接受相关部门检查指导工作及相关单位到我镇招商引资考察学习发生的接待支出。</w:t>
      </w:r>
      <w:r>
        <w:rPr>
          <w:rFonts w:hint="eastAsia" w:ascii="方正仿宋_GBK" w:eastAsia="方正仿宋_GBK"/>
          <w:sz w:val="32"/>
          <w:szCs w:val="32"/>
          <w:shd w:val="clear" w:color="auto" w:fill="FFFFFF"/>
        </w:rPr>
        <w:t>费用支出较年初预算数减少0.47万元，下降8.5%，较上年支出数减少0.01万元，下降0.2%。主要原因是</w:t>
      </w:r>
      <w:r>
        <w:rPr>
          <w:rFonts w:hint="eastAsia" w:ascii="方正仿宋_GBK" w:eastAsia="方正仿宋_GBK"/>
          <w:color w:val="000000"/>
          <w:sz w:val="32"/>
          <w:szCs w:val="32"/>
          <w:shd w:val="clear" w:color="auto" w:fill="FFFFFF"/>
        </w:rPr>
        <w:t>主要原因是严格落实中央和市委有关规定，厉行勤俭节约，进一步压缩了公务接待费支出。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（三）“三公”经费实物量情况</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2022年度本部门因公出国（境）共计0个团组，0人；公务用车购置0辆，公务车保有量为2辆；国内公务接待227批次1,132人， 2022年本部门人均接待费44.43元，车均维护费2.02万元。</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四、其他需要说明的事项</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（一）财政拨款会议费和培训费情况说明</w:t>
      </w:r>
    </w:p>
    <w:p>
      <w:pPr>
        <w:pStyle w:val="30"/>
        <w:shd w:val="clear" w:color="auto" w:fill="FFFFFF"/>
        <w:spacing w:before="0" w:beforeAutospacing="0" w:after="0" w:afterAutospacing="0" w:line="500" w:lineRule="exact"/>
        <w:ind w:firstLine="640" w:firstLineChars="200"/>
        <w:rPr>
          <w:rFonts w:ascii="方正仿宋_GBK" w:eastAsia="方正仿宋_GBK"/>
          <w:color w:val="000000"/>
          <w:sz w:val="32"/>
          <w:szCs w:val="32"/>
          <w:shd w:val="clear" w:color="auto" w:fill="FFFFFF"/>
        </w:rPr>
      </w:pPr>
      <w:r>
        <w:rPr>
          <w:rFonts w:hint="eastAsia" w:ascii="方正仿宋_GBK" w:eastAsia="方正仿宋_GBK"/>
          <w:sz w:val="32"/>
          <w:szCs w:val="32"/>
          <w:shd w:val="clear" w:color="auto" w:fill="FFFFFF"/>
        </w:rPr>
        <w:t>本年度会议费支出5.54万元，较上年决算数增加1.58万元，增长39.9%，主要原因是</w:t>
      </w:r>
      <w:r>
        <w:rPr>
          <w:rFonts w:hint="eastAsia" w:ascii="方正仿宋_GBK" w:eastAsia="方正仿宋_GBK"/>
          <w:color w:val="000000"/>
          <w:sz w:val="32"/>
          <w:szCs w:val="32"/>
          <w:shd w:val="clear" w:color="auto" w:fill="FFFFFF"/>
        </w:rPr>
        <w:t>人大代表换届选举推选县人大代表和镇长选举。</w:t>
      </w:r>
      <w:r>
        <w:rPr>
          <w:rFonts w:hint="eastAsia" w:ascii="方正仿宋_GBK" w:eastAsia="方正仿宋_GBK"/>
          <w:sz w:val="32"/>
          <w:szCs w:val="32"/>
          <w:shd w:val="clear" w:color="auto" w:fill="FFFFFF"/>
        </w:rPr>
        <w:t>本年度培训费支出0.17万元，较上年决算数减少6.08万元，下降97.3%，主要原因是</w:t>
      </w:r>
      <w:r>
        <w:rPr>
          <w:rFonts w:hint="eastAsia" w:ascii="方正仿宋_GBK" w:eastAsia="方正仿宋_GBK"/>
          <w:color w:val="000000"/>
          <w:sz w:val="32"/>
          <w:szCs w:val="32"/>
          <w:shd w:val="clear" w:color="auto" w:fill="FFFFFF"/>
        </w:rPr>
        <w:t>因本年新冠疫情严重，为减少人员聚集，减少了培训。</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（二）机关运行经费支出情况说明</w:t>
      </w:r>
    </w:p>
    <w:p>
      <w:pPr>
        <w:pStyle w:val="30"/>
        <w:shd w:val="clear" w:color="auto" w:fill="FFFFFF"/>
        <w:spacing w:before="0" w:beforeAutospacing="0" w:after="0" w:afterAutospacing="0" w:line="500" w:lineRule="exact"/>
        <w:ind w:firstLine="640" w:firstLineChars="200"/>
        <w:rPr>
          <w:rFonts w:ascii="方正仿宋_GBK" w:hAnsi="Times New Roman" w:eastAsia="方正仿宋_GBK" w:cs="Times New Roman"/>
          <w:sz w:val="32"/>
          <w:szCs w:val="32"/>
          <w:shd w:val="clear" w:color="auto" w:fill="FFFFFF"/>
        </w:rPr>
      </w:pPr>
      <w:r>
        <w:rPr>
          <w:rFonts w:hint="eastAsia" w:ascii="方正仿宋_GBK" w:eastAsia="方正仿宋_GBK"/>
          <w:sz w:val="32"/>
          <w:szCs w:val="32"/>
          <w:shd w:val="clear" w:color="auto" w:fill="FFFFFF"/>
        </w:rPr>
        <w:t>2022年度本部门机关运行经费支出130.42万元，</w:t>
      </w:r>
      <w:r>
        <w:rPr>
          <w:rFonts w:hint="eastAsia" w:ascii="方正仿宋_GBK" w:eastAsia="方正仿宋_GBK"/>
          <w:color w:val="000000"/>
          <w:sz w:val="32"/>
          <w:szCs w:val="32"/>
          <w:shd w:val="clear" w:color="auto" w:fill="FFFFFF"/>
        </w:rPr>
        <w:t>机关运行经费主要用于开支办公费、公务车运行维护费等。</w:t>
      </w:r>
      <w:r>
        <w:rPr>
          <w:rFonts w:hint="eastAsia" w:ascii="方正仿宋_GBK" w:eastAsia="方正仿宋_GBK"/>
          <w:sz w:val="32"/>
          <w:szCs w:val="32"/>
          <w:shd w:val="clear" w:color="auto" w:fill="FFFFFF"/>
        </w:rPr>
        <w:t>机关运行经费较上年决算数减少27.49万元，下降17.4%，主要原因是我单位厉行勤俭节约，精简支出。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（三）国有资产占用情况说明</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截至2022年12月31日，本部门共有车辆2辆，为应急保障用车。单价100万元（含）以上设备（不含车辆）0台（套）。</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（四）政府采购支出说明</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2022年度我单位未发生政府采购事项，无相关经费支出。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五、预算绩效管理情况说明</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w:t>
      </w:r>
      <w:r>
        <w:rPr>
          <w:rFonts w:hint="eastAsia" w:ascii="方正仿宋_GBK" w:hAnsi="Times New Roman" w:eastAsia="方正仿宋_GBK" w:cs="Times New Roman"/>
          <w:b/>
          <w:color w:val="333333"/>
          <w:kern w:val="2"/>
          <w:sz w:val="32"/>
          <w:szCs w:val="32"/>
        </w:rPr>
        <w:t>单位自评情况</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根据预算绩效管理要求，我单位对部</w:t>
      </w:r>
      <w:r>
        <w:rPr>
          <w:rFonts w:hint="eastAsia" w:ascii="方正仿宋_GBK" w:eastAsia="方正仿宋_GBK"/>
          <w:color w:val="000000" w:themeColor="text1"/>
          <w:sz w:val="32"/>
          <w:szCs w:val="32"/>
          <w:shd w:val="clear" w:color="auto" w:fill="FFFFFF"/>
        </w:rPr>
        <w:t>门整体和48个项目开展了绩效自评，其中，以填报自评表形式开展自评48项，涉及资金1189.94万元；</w:t>
      </w:r>
      <w:r>
        <w:rPr>
          <w:rFonts w:hint="eastAsia" w:ascii="方正仿宋_GBK" w:eastAsia="方正仿宋_GBK"/>
          <w:color w:val="000000"/>
          <w:sz w:val="32"/>
          <w:szCs w:val="32"/>
          <w:shd w:val="clear" w:color="auto" w:fill="FFFFFF"/>
        </w:rPr>
        <w:t>从评价情况来看，有关项目预算执行及时有效，绩效目标得到较好的实现。</w:t>
      </w:r>
    </w:p>
    <w:p>
      <w:pPr>
        <w:spacing w:line="500" w:lineRule="exact"/>
        <w:ind w:firstLine="206"/>
        <w:rPr>
          <w:rFonts w:ascii="方正仿宋_GBK" w:eastAsia="方正仿宋_GBK"/>
          <w:b/>
          <w:sz w:val="32"/>
          <w:szCs w:val="32"/>
          <w:shd w:val="clear" w:color="auto" w:fill="FFFFFF"/>
        </w:rPr>
      </w:pPr>
      <w:r>
        <w:rPr>
          <w:rFonts w:hint="eastAsia" w:ascii="方正仿宋_GBK" w:eastAsia="方正仿宋_GBK"/>
          <w:sz w:val="32"/>
          <w:szCs w:val="32"/>
        </w:rPr>
        <w:t>整体绩效自评表：</w:t>
      </w:r>
    </w:p>
    <w:tbl>
      <w:tblPr>
        <w:tblStyle w:val="15"/>
        <w:tblW w:w="9652" w:type="dxa"/>
        <w:tblInd w:w="95" w:type="dxa"/>
        <w:tblLayout w:type="fixed"/>
        <w:tblCellMar>
          <w:top w:w="0" w:type="dxa"/>
          <w:left w:w="108" w:type="dxa"/>
          <w:bottom w:w="0" w:type="dxa"/>
          <w:right w:w="108" w:type="dxa"/>
        </w:tblCellMar>
      </w:tblPr>
      <w:tblGrid>
        <w:gridCol w:w="439"/>
        <w:gridCol w:w="261"/>
        <w:gridCol w:w="447"/>
        <w:gridCol w:w="1134"/>
        <w:gridCol w:w="339"/>
        <w:gridCol w:w="370"/>
        <w:gridCol w:w="425"/>
        <w:gridCol w:w="1276"/>
        <w:gridCol w:w="567"/>
        <w:gridCol w:w="567"/>
        <w:gridCol w:w="142"/>
        <w:gridCol w:w="850"/>
        <w:gridCol w:w="142"/>
        <w:gridCol w:w="903"/>
        <w:gridCol w:w="231"/>
        <w:gridCol w:w="567"/>
        <w:gridCol w:w="171"/>
        <w:gridCol w:w="113"/>
        <w:gridCol w:w="708"/>
      </w:tblGrid>
      <w:tr>
        <w:tblPrEx>
          <w:tblCellMar>
            <w:top w:w="0" w:type="dxa"/>
            <w:left w:w="108" w:type="dxa"/>
            <w:bottom w:w="0" w:type="dxa"/>
            <w:right w:w="108" w:type="dxa"/>
          </w:tblCellMar>
        </w:tblPrEx>
        <w:trPr>
          <w:trHeight w:val="270" w:hRule="atLeast"/>
        </w:trPr>
        <w:tc>
          <w:tcPr>
            <w:tcW w:w="700" w:type="dxa"/>
            <w:gridSpan w:val="2"/>
            <w:tcBorders>
              <w:top w:val="nil"/>
              <w:left w:val="nil"/>
              <w:bottom w:val="single" w:color="auto" w:sz="4" w:space="0"/>
              <w:right w:val="nil"/>
            </w:tcBorders>
            <w:shd w:val="clear" w:color="auto" w:fill="auto"/>
            <w:noWrap/>
            <w:vAlign w:val="bottom"/>
          </w:tcPr>
          <w:p>
            <w:pPr>
              <w:rPr>
                <w:color w:val="FF0000"/>
                <w:sz w:val="16"/>
                <w:szCs w:val="16"/>
              </w:rPr>
            </w:pPr>
          </w:p>
        </w:tc>
        <w:tc>
          <w:tcPr>
            <w:tcW w:w="8952" w:type="dxa"/>
            <w:gridSpan w:val="17"/>
            <w:tcBorders>
              <w:top w:val="nil"/>
              <w:left w:val="nil"/>
              <w:bottom w:val="single" w:color="auto" w:sz="4" w:space="0"/>
              <w:right w:val="single" w:color="000000" w:sz="4" w:space="0"/>
            </w:tcBorders>
            <w:shd w:val="clear" w:color="auto" w:fill="auto"/>
            <w:noWrap/>
            <w:vAlign w:val="bottom"/>
          </w:tcPr>
          <w:p>
            <w:pPr>
              <w:rPr>
                <w:color w:val="000000"/>
                <w:sz w:val="16"/>
                <w:szCs w:val="16"/>
              </w:rPr>
            </w:pPr>
          </w:p>
        </w:tc>
      </w:tr>
      <w:tr>
        <w:tblPrEx>
          <w:tblCellMar>
            <w:top w:w="0" w:type="dxa"/>
            <w:left w:w="108" w:type="dxa"/>
            <w:bottom w:w="0" w:type="dxa"/>
            <w:right w:w="108" w:type="dxa"/>
          </w:tblCellMar>
        </w:tblPrEx>
        <w:trPr>
          <w:trHeight w:val="285" w:hRule="atLeast"/>
        </w:trPr>
        <w:tc>
          <w:tcPr>
            <w:tcW w:w="9652" w:type="dxa"/>
            <w:gridSpan w:val="19"/>
            <w:tcBorders>
              <w:top w:val="nil"/>
              <w:left w:val="single" w:color="auto" w:sz="4" w:space="0"/>
              <w:bottom w:val="nil"/>
              <w:right w:val="single" w:color="000000" w:sz="4" w:space="0"/>
            </w:tcBorders>
            <w:shd w:val="clear" w:color="000000" w:fill="FFFFFF"/>
            <w:vAlign w:val="center"/>
          </w:tcPr>
          <w:p>
            <w:pPr>
              <w:jc w:val="center"/>
              <w:rPr>
                <w:rFonts w:ascii="微软雅黑" w:hAnsi="微软雅黑" w:eastAsia="微软雅黑"/>
                <w:b/>
                <w:bCs/>
                <w:color w:val="7F7F7F"/>
                <w:sz w:val="16"/>
                <w:szCs w:val="16"/>
              </w:rPr>
            </w:pPr>
            <w:r>
              <w:rPr>
                <w:rFonts w:hint="eastAsia" w:ascii="微软雅黑" w:hAnsi="微软雅黑" w:eastAsia="微软雅黑"/>
                <w:b/>
                <w:bCs/>
                <w:color w:val="7F7F7F"/>
                <w:sz w:val="16"/>
                <w:szCs w:val="16"/>
              </w:rPr>
              <w:t>部门（单位）整体支出绩效目标申报表</w:t>
            </w:r>
          </w:p>
        </w:tc>
      </w:tr>
      <w:tr>
        <w:tblPrEx>
          <w:tblCellMar>
            <w:top w:w="0" w:type="dxa"/>
            <w:left w:w="108" w:type="dxa"/>
            <w:bottom w:w="0" w:type="dxa"/>
            <w:right w:w="108" w:type="dxa"/>
          </w:tblCellMar>
        </w:tblPrEx>
        <w:trPr>
          <w:trHeight w:val="270" w:hRule="atLeast"/>
        </w:trPr>
        <w:tc>
          <w:tcPr>
            <w:tcW w:w="9652" w:type="dxa"/>
            <w:gridSpan w:val="19"/>
            <w:tcBorders>
              <w:top w:val="nil"/>
              <w:left w:val="single" w:color="auto" w:sz="4" w:space="0"/>
              <w:bottom w:val="nil"/>
              <w:right w:val="single" w:color="000000" w:sz="4" w:space="0"/>
            </w:tcBorders>
            <w:shd w:val="clear" w:color="auto" w:fill="auto"/>
            <w:noWrap/>
            <w:vAlign w:val="center"/>
          </w:tcPr>
          <w:p>
            <w:pPr>
              <w:jc w:val="center"/>
              <w:rPr>
                <w:color w:val="000000"/>
                <w:sz w:val="16"/>
                <w:szCs w:val="16"/>
              </w:rPr>
            </w:pPr>
            <w:r>
              <w:rPr>
                <w:rFonts w:hint="eastAsia"/>
                <w:color w:val="000000"/>
                <w:sz w:val="16"/>
                <w:szCs w:val="16"/>
              </w:rPr>
              <w:t>预算年度:2022</w:t>
            </w:r>
          </w:p>
        </w:tc>
      </w:tr>
      <w:tr>
        <w:tblPrEx>
          <w:tblCellMar>
            <w:top w:w="0" w:type="dxa"/>
            <w:left w:w="108" w:type="dxa"/>
            <w:bottom w:w="0" w:type="dxa"/>
            <w:right w:w="108" w:type="dxa"/>
          </w:tblCellMar>
        </w:tblPrEx>
        <w:trPr>
          <w:trHeight w:val="742" w:hRule="atLeast"/>
        </w:trPr>
        <w:tc>
          <w:tcPr>
            <w:tcW w:w="1147" w:type="dxa"/>
            <w:gridSpan w:val="3"/>
            <w:tcBorders>
              <w:top w:val="nil"/>
              <w:left w:val="single" w:color="auto" w:sz="4" w:space="0"/>
              <w:bottom w:val="single" w:color="auto" w:sz="4" w:space="0"/>
              <w:right w:val="nil"/>
            </w:tcBorders>
            <w:shd w:val="clear" w:color="000000" w:fill="FFFFFF"/>
            <w:vAlign w:val="center"/>
          </w:tcPr>
          <w:p>
            <w:pPr>
              <w:jc w:val="right"/>
              <w:rPr>
                <w:color w:val="000000"/>
                <w:sz w:val="16"/>
                <w:szCs w:val="16"/>
              </w:rPr>
            </w:pPr>
            <w:r>
              <w:rPr>
                <w:rFonts w:hint="eastAsia"/>
                <w:color w:val="000000"/>
                <w:sz w:val="16"/>
                <w:szCs w:val="16"/>
              </w:rPr>
              <w:t>预算（单位）名称：</w:t>
            </w:r>
          </w:p>
        </w:tc>
        <w:tc>
          <w:tcPr>
            <w:tcW w:w="7684" w:type="dxa"/>
            <w:gridSpan w:val="14"/>
            <w:tcBorders>
              <w:top w:val="nil"/>
              <w:left w:val="nil"/>
              <w:bottom w:val="single" w:color="auto" w:sz="4" w:space="0"/>
              <w:right w:val="nil"/>
            </w:tcBorders>
            <w:shd w:val="clear" w:color="000000" w:fill="FFFFFF"/>
            <w:vAlign w:val="center"/>
          </w:tcPr>
          <w:p>
            <w:pPr>
              <w:rPr>
                <w:color w:val="000000"/>
                <w:sz w:val="16"/>
                <w:szCs w:val="16"/>
              </w:rPr>
            </w:pPr>
            <w:r>
              <w:rPr>
                <w:rFonts w:hint="eastAsia"/>
                <w:color w:val="000000"/>
                <w:sz w:val="16"/>
                <w:szCs w:val="16"/>
              </w:rPr>
              <w:t>716-垫江县五洞镇人民政府</w:t>
            </w:r>
          </w:p>
        </w:tc>
        <w:tc>
          <w:tcPr>
            <w:tcW w:w="821" w:type="dxa"/>
            <w:gridSpan w:val="2"/>
            <w:tcBorders>
              <w:top w:val="nil"/>
              <w:left w:val="nil"/>
              <w:bottom w:val="single" w:color="auto" w:sz="4" w:space="0"/>
              <w:right w:val="single" w:color="000000" w:sz="4" w:space="0"/>
            </w:tcBorders>
            <w:shd w:val="clear" w:color="000000" w:fill="FFFFFF"/>
            <w:vAlign w:val="center"/>
          </w:tcPr>
          <w:p>
            <w:pPr>
              <w:ind w:right="80"/>
              <w:jc w:val="right"/>
              <w:rPr>
                <w:b/>
                <w:bCs/>
                <w:color w:val="FF0000"/>
                <w:sz w:val="16"/>
                <w:szCs w:val="16"/>
              </w:rPr>
            </w:pPr>
            <w:r>
              <w:rPr>
                <w:rFonts w:hint="eastAsia"/>
                <w:b/>
                <w:bCs/>
                <w:color w:val="FF0000"/>
                <w:sz w:val="16"/>
                <w:szCs w:val="16"/>
              </w:rPr>
              <w:t>状态：绩效科审核已审</w:t>
            </w:r>
          </w:p>
        </w:tc>
      </w:tr>
      <w:tr>
        <w:tblPrEx>
          <w:tblCellMar>
            <w:top w:w="0" w:type="dxa"/>
            <w:left w:w="108" w:type="dxa"/>
            <w:bottom w:w="0" w:type="dxa"/>
            <w:right w:w="108" w:type="dxa"/>
          </w:tblCellMar>
        </w:tblPrEx>
        <w:trPr>
          <w:trHeight w:val="177" w:hRule="atLeast"/>
        </w:trPr>
        <w:tc>
          <w:tcPr>
            <w:tcW w:w="1147"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总体资金情况（元）</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b/>
                <w:bCs/>
                <w:color w:val="000000"/>
                <w:sz w:val="16"/>
                <w:szCs w:val="16"/>
              </w:rPr>
            </w:pPr>
            <w:r>
              <w:rPr>
                <w:rFonts w:hint="eastAsia"/>
                <w:b/>
                <w:bCs/>
                <w:color w:val="000000"/>
                <w:sz w:val="16"/>
                <w:szCs w:val="16"/>
              </w:rPr>
              <w:t>预算支出总额</w:t>
            </w:r>
          </w:p>
        </w:tc>
        <w:tc>
          <w:tcPr>
            <w:tcW w:w="3544" w:type="dxa"/>
            <w:gridSpan w:val="6"/>
            <w:tcBorders>
              <w:top w:val="nil"/>
              <w:left w:val="nil"/>
              <w:bottom w:val="single" w:color="auto" w:sz="4" w:space="0"/>
              <w:right w:val="single" w:color="auto" w:sz="4" w:space="0"/>
            </w:tcBorders>
            <w:shd w:val="clear" w:color="000000" w:fill="FFFFFF"/>
            <w:vAlign w:val="center"/>
          </w:tcPr>
          <w:p>
            <w:pPr>
              <w:jc w:val="center"/>
              <w:rPr>
                <w:b/>
                <w:bCs/>
                <w:color w:val="000000"/>
                <w:sz w:val="16"/>
                <w:szCs w:val="16"/>
              </w:rPr>
            </w:pPr>
            <w:r>
              <w:rPr>
                <w:rFonts w:hint="eastAsia"/>
                <w:b/>
                <w:bCs/>
                <w:color w:val="000000"/>
                <w:sz w:val="16"/>
                <w:szCs w:val="16"/>
              </w:rPr>
              <w:t>基本支出</w:t>
            </w:r>
          </w:p>
        </w:tc>
        <w:tc>
          <w:tcPr>
            <w:tcW w:w="3827" w:type="dxa"/>
            <w:gridSpan w:val="9"/>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项目支出</w:t>
            </w:r>
          </w:p>
        </w:tc>
      </w:tr>
      <w:tr>
        <w:tblPrEx>
          <w:tblCellMar>
            <w:top w:w="0" w:type="dxa"/>
            <w:left w:w="108" w:type="dxa"/>
            <w:bottom w:w="0" w:type="dxa"/>
            <w:right w:w="108" w:type="dxa"/>
          </w:tblCellMar>
        </w:tblPrEx>
        <w:trPr>
          <w:trHeight w:val="439" w:hRule="atLeast"/>
        </w:trPr>
        <w:tc>
          <w:tcPr>
            <w:tcW w:w="1147" w:type="dxa"/>
            <w:gridSpan w:val="3"/>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134"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1134" w:type="dxa"/>
            <w:gridSpan w:val="3"/>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合计</w:t>
            </w:r>
          </w:p>
        </w:tc>
        <w:tc>
          <w:tcPr>
            <w:tcW w:w="1276"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财政拨款</w:t>
            </w:r>
          </w:p>
        </w:tc>
        <w:tc>
          <w:tcPr>
            <w:tcW w:w="567"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专户资金</w:t>
            </w:r>
          </w:p>
        </w:tc>
        <w:tc>
          <w:tcPr>
            <w:tcW w:w="567"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单位资金</w:t>
            </w:r>
          </w:p>
        </w:tc>
        <w:tc>
          <w:tcPr>
            <w:tcW w:w="992" w:type="dxa"/>
            <w:gridSpan w:val="2"/>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合计</w:t>
            </w:r>
          </w:p>
        </w:tc>
        <w:tc>
          <w:tcPr>
            <w:tcW w:w="1045" w:type="dxa"/>
            <w:gridSpan w:val="2"/>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财政拨款</w:t>
            </w:r>
          </w:p>
        </w:tc>
        <w:tc>
          <w:tcPr>
            <w:tcW w:w="798" w:type="dxa"/>
            <w:gridSpan w:val="2"/>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专户资金</w:t>
            </w:r>
          </w:p>
        </w:tc>
        <w:tc>
          <w:tcPr>
            <w:tcW w:w="992" w:type="dxa"/>
            <w:gridSpan w:val="3"/>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单位资金</w:t>
            </w:r>
          </w:p>
        </w:tc>
      </w:tr>
      <w:tr>
        <w:tblPrEx>
          <w:tblCellMar>
            <w:top w:w="0" w:type="dxa"/>
            <w:left w:w="108" w:type="dxa"/>
            <w:bottom w:w="0" w:type="dxa"/>
            <w:right w:w="108" w:type="dxa"/>
          </w:tblCellMar>
        </w:tblPrEx>
        <w:trPr>
          <w:trHeight w:val="371" w:hRule="atLeast"/>
        </w:trPr>
        <w:tc>
          <w:tcPr>
            <w:tcW w:w="1147" w:type="dxa"/>
            <w:gridSpan w:val="3"/>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jc w:val="right"/>
              <w:rPr>
                <w:color w:val="000000"/>
                <w:sz w:val="16"/>
                <w:szCs w:val="16"/>
              </w:rPr>
            </w:pPr>
            <w:r>
              <w:rPr>
                <w:rFonts w:hint="eastAsia"/>
                <w:color w:val="000000"/>
                <w:sz w:val="16"/>
                <w:szCs w:val="16"/>
              </w:rPr>
              <w:t xml:space="preserve">12657661.51 </w:t>
            </w:r>
          </w:p>
        </w:tc>
        <w:tc>
          <w:tcPr>
            <w:tcW w:w="1134" w:type="dxa"/>
            <w:gridSpan w:val="3"/>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12288569.51 </w:t>
            </w:r>
          </w:p>
        </w:tc>
        <w:tc>
          <w:tcPr>
            <w:tcW w:w="127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12288569.51 </w:t>
            </w:r>
          </w:p>
        </w:tc>
        <w:tc>
          <w:tcPr>
            <w:tcW w:w="567"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w:t>
            </w:r>
          </w:p>
        </w:tc>
        <w:tc>
          <w:tcPr>
            <w:tcW w:w="567"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w:t>
            </w:r>
          </w:p>
        </w:tc>
        <w:tc>
          <w:tcPr>
            <w:tcW w:w="992" w:type="dxa"/>
            <w:gridSpan w:val="2"/>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369092.00 </w:t>
            </w:r>
          </w:p>
        </w:tc>
        <w:tc>
          <w:tcPr>
            <w:tcW w:w="1045" w:type="dxa"/>
            <w:gridSpan w:val="2"/>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369092.00 </w:t>
            </w:r>
          </w:p>
        </w:tc>
        <w:tc>
          <w:tcPr>
            <w:tcW w:w="798" w:type="dxa"/>
            <w:gridSpan w:val="2"/>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w:t>
            </w:r>
          </w:p>
        </w:tc>
        <w:tc>
          <w:tcPr>
            <w:tcW w:w="992" w:type="dxa"/>
            <w:gridSpan w:val="3"/>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576" w:hRule="atLeast"/>
        </w:trPr>
        <w:tc>
          <w:tcPr>
            <w:tcW w:w="43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部</w:t>
            </w:r>
            <w:r>
              <w:rPr>
                <w:rFonts w:hint="eastAsia"/>
                <w:b/>
                <w:bCs/>
                <w:color w:val="000000"/>
                <w:sz w:val="16"/>
                <w:szCs w:val="16"/>
              </w:rPr>
              <w:br w:type="textWrapping"/>
            </w:r>
            <w:r>
              <w:rPr>
                <w:rFonts w:hint="eastAsia"/>
                <w:b/>
                <w:bCs/>
                <w:color w:val="000000"/>
                <w:sz w:val="16"/>
                <w:szCs w:val="16"/>
              </w:rPr>
              <w:t>门</w:t>
            </w:r>
            <w:r>
              <w:rPr>
                <w:rFonts w:hint="eastAsia"/>
                <w:b/>
                <w:bCs/>
                <w:color w:val="000000"/>
                <w:sz w:val="16"/>
                <w:szCs w:val="16"/>
              </w:rPr>
              <w:br w:type="textWrapping"/>
            </w:r>
            <w:r>
              <w:rPr>
                <w:rFonts w:hint="eastAsia"/>
                <w:b/>
                <w:bCs/>
                <w:color w:val="000000"/>
                <w:sz w:val="16"/>
                <w:szCs w:val="16"/>
              </w:rPr>
              <w:t>整</w:t>
            </w:r>
            <w:r>
              <w:rPr>
                <w:rFonts w:hint="eastAsia"/>
                <w:b/>
                <w:bCs/>
                <w:color w:val="000000"/>
                <w:sz w:val="16"/>
                <w:szCs w:val="16"/>
              </w:rPr>
              <w:br w:type="textWrapping"/>
            </w:r>
            <w:r>
              <w:rPr>
                <w:rFonts w:hint="eastAsia"/>
                <w:b/>
                <w:bCs/>
                <w:color w:val="000000"/>
                <w:sz w:val="16"/>
                <w:szCs w:val="16"/>
              </w:rPr>
              <w:t>体</w:t>
            </w:r>
            <w:r>
              <w:rPr>
                <w:rFonts w:hint="eastAsia"/>
                <w:b/>
                <w:bCs/>
                <w:color w:val="000000"/>
                <w:sz w:val="16"/>
                <w:szCs w:val="16"/>
              </w:rPr>
              <w:br w:type="textWrapping"/>
            </w:r>
            <w:r>
              <w:rPr>
                <w:rFonts w:hint="eastAsia"/>
                <w:b/>
                <w:bCs/>
                <w:color w:val="000000"/>
                <w:sz w:val="16"/>
                <w:szCs w:val="16"/>
              </w:rPr>
              <w:t>绩</w:t>
            </w:r>
            <w:r>
              <w:rPr>
                <w:rFonts w:hint="eastAsia"/>
                <w:b/>
                <w:bCs/>
                <w:color w:val="000000"/>
                <w:sz w:val="16"/>
                <w:szCs w:val="16"/>
              </w:rPr>
              <w:br w:type="textWrapping"/>
            </w:r>
            <w:r>
              <w:rPr>
                <w:rFonts w:hint="eastAsia"/>
                <w:b/>
                <w:bCs/>
                <w:color w:val="000000"/>
                <w:sz w:val="16"/>
                <w:szCs w:val="16"/>
              </w:rPr>
              <w:t>效</w:t>
            </w:r>
            <w:r>
              <w:rPr>
                <w:rFonts w:hint="eastAsia"/>
                <w:b/>
                <w:bCs/>
                <w:color w:val="000000"/>
                <w:sz w:val="16"/>
                <w:szCs w:val="16"/>
              </w:rPr>
              <w:br w:type="textWrapping"/>
            </w:r>
            <w:r>
              <w:rPr>
                <w:rFonts w:hint="eastAsia"/>
                <w:b/>
                <w:bCs/>
                <w:color w:val="000000"/>
                <w:sz w:val="16"/>
                <w:szCs w:val="16"/>
              </w:rPr>
              <w:t>情</w:t>
            </w:r>
            <w:r>
              <w:rPr>
                <w:rFonts w:hint="eastAsia"/>
                <w:b/>
                <w:bCs/>
                <w:color w:val="000000"/>
                <w:sz w:val="16"/>
                <w:szCs w:val="16"/>
              </w:rPr>
              <w:br w:type="textWrapping"/>
            </w:r>
            <w:r>
              <w:rPr>
                <w:rFonts w:hint="eastAsia"/>
                <w:b/>
                <w:bCs/>
                <w:color w:val="000000"/>
                <w:sz w:val="16"/>
                <w:szCs w:val="16"/>
              </w:rPr>
              <w:t>况</w:t>
            </w:r>
          </w:p>
        </w:tc>
        <w:tc>
          <w:tcPr>
            <w:tcW w:w="708" w:type="dxa"/>
            <w:gridSpan w:val="2"/>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整体绩效目标</w:t>
            </w:r>
          </w:p>
        </w:tc>
        <w:tc>
          <w:tcPr>
            <w:tcW w:w="8505" w:type="dxa"/>
            <w:gridSpan w:val="16"/>
            <w:tcBorders>
              <w:top w:val="single" w:color="auto" w:sz="4" w:space="0"/>
              <w:left w:val="nil"/>
              <w:bottom w:val="single" w:color="auto" w:sz="4" w:space="0"/>
              <w:right w:val="single" w:color="auto" w:sz="4" w:space="0"/>
            </w:tcBorders>
            <w:shd w:val="clear" w:color="auto" w:fill="auto"/>
          </w:tcPr>
          <w:p>
            <w:pPr>
              <w:rPr>
                <w:color w:val="000000"/>
                <w:sz w:val="16"/>
                <w:szCs w:val="16"/>
              </w:rPr>
            </w:pPr>
            <w:r>
              <w:rPr>
                <w:rFonts w:hint="eastAsia"/>
                <w:color w:val="000000"/>
                <w:sz w:val="16"/>
                <w:szCs w:val="16"/>
              </w:rPr>
              <w:t>五洞镇人民政府2022年认真贯彻落实上级党委政府的相关政策，在镇党委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tblPrEx>
          <w:tblCellMar>
            <w:top w:w="0" w:type="dxa"/>
            <w:left w:w="108" w:type="dxa"/>
            <w:bottom w:w="0" w:type="dxa"/>
            <w:right w:w="108" w:type="dxa"/>
          </w:tblCellMar>
        </w:tblPrEx>
        <w:trPr>
          <w:trHeight w:val="273"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9213" w:type="dxa"/>
            <w:gridSpan w:val="18"/>
            <w:tcBorders>
              <w:top w:val="single" w:color="auto" w:sz="4" w:space="0"/>
              <w:left w:val="nil"/>
              <w:bottom w:val="single" w:color="auto" w:sz="4" w:space="0"/>
              <w:right w:val="single" w:color="auto" w:sz="4" w:space="0"/>
            </w:tcBorders>
            <w:shd w:val="clear" w:color="000000" w:fill="FFFFFF"/>
            <w:vAlign w:val="center"/>
          </w:tcPr>
          <w:p>
            <w:pPr>
              <w:jc w:val="center"/>
              <w:rPr>
                <w:rFonts w:ascii="微软雅黑" w:hAnsi="微软雅黑" w:eastAsia="微软雅黑"/>
                <w:b/>
                <w:bCs/>
                <w:color w:val="7F7F7F"/>
                <w:sz w:val="16"/>
                <w:szCs w:val="16"/>
              </w:rPr>
            </w:pPr>
            <w:r>
              <w:rPr>
                <w:rFonts w:hint="eastAsia" w:ascii="微软雅黑" w:hAnsi="微软雅黑" w:eastAsia="微软雅黑"/>
                <w:b/>
                <w:bCs/>
                <w:color w:val="7F7F7F"/>
                <w:sz w:val="16"/>
                <w:szCs w:val="16"/>
              </w:rPr>
              <w:t>年度绩效指标</w:t>
            </w:r>
          </w:p>
        </w:tc>
      </w:tr>
      <w:tr>
        <w:tblPrEx>
          <w:tblCellMar>
            <w:top w:w="0" w:type="dxa"/>
            <w:left w:w="108" w:type="dxa"/>
            <w:bottom w:w="0" w:type="dxa"/>
            <w:right w:w="108" w:type="dxa"/>
          </w:tblCellMar>
        </w:tblPrEx>
        <w:trPr>
          <w:trHeight w:val="262"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一级指标</w:t>
            </w:r>
          </w:p>
        </w:tc>
        <w:tc>
          <w:tcPr>
            <w:tcW w:w="1843" w:type="dxa"/>
            <w:gridSpan w:val="3"/>
            <w:tcBorders>
              <w:top w:val="single" w:color="auto" w:sz="4" w:space="0"/>
              <w:left w:val="nil"/>
              <w:bottom w:val="single" w:color="auto" w:sz="4" w:space="0"/>
              <w:right w:val="single" w:color="000000" w:sz="4" w:space="0"/>
            </w:tcBorders>
            <w:shd w:val="clear" w:color="auto" w:fill="auto"/>
            <w:vAlign w:val="center"/>
          </w:tcPr>
          <w:p>
            <w:pPr>
              <w:jc w:val="center"/>
              <w:rPr>
                <w:b/>
                <w:bCs/>
                <w:color w:val="000000"/>
                <w:sz w:val="16"/>
                <w:szCs w:val="16"/>
              </w:rPr>
            </w:pPr>
            <w:r>
              <w:rPr>
                <w:rFonts w:hint="eastAsia"/>
                <w:b/>
                <w:bCs/>
                <w:color w:val="000000"/>
                <w:sz w:val="16"/>
                <w:szCs w:val="16"/>
              </w:rPr>
              <w:t>二级指标</w:t>
            </w:r>
          </w:p>
        </w:tc>
        <w:tc>
          <w:tcPr>
            <w:tcW w:w="2977" w:type="dxa"/>
            <w:gridSpan w:val="5"/>
            <w:tcBorders>
              <w:top w:val="single" w:color="auto" w:sz="4" w:space="0"/>
              <w:left w:val="nil"/>
              <w:bottom w:val="single" w:color="auto" w:sz="4" w:space="0"/>
              <w:right w:val="single" w:color="000000" w:sz="4" w:space="0"/>
            </w:tcBorders>
            <w:shd w:val="clear" w:color="auto" w:fill="auto"/>
            <w:vAlign w:val="center"/>
          </w:tcPr>
          <w:p>
            <w:pPr>
              <w:jc w:val="center"/>
              <w:rPr>
                <w:b/>
                <w:bCs/>
                <w:color w:val="000000"/>
                <w:sz w:val="16"/>
                <w:szCs w:val="16"/>
              </w:rPr>
            </w:pPr>
            <w:r>
              <w:rPr>
                <w:rFonts w:hint="eastAsia"/>
                <w:b/>
                <w:bCs/>
                <w:color w:val="000000"/>
                <w:sz w:val="16"/>
                <w:szCs w:val="16"/>
              </w:rPr>
              <w:t xml:space="preserve"> 三级指标</w:t>
            </w:r>
          </w:p>
        </w:tc>
        <w:tc>
          <w:tcPr>
            <w:tcW w:w="992" w:type="dxa"/>
            <w:gridSpan w:val="2"/>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绩效指标性质</w:t>
            </w:r>
          </w:p>
        </w:tc>
        <w:tc>
          <w:tcPr>
            <w:tcW w:w="1134" w:type="dxa"/>
            <w:gridSpan w:val="2"/>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绩效指标值</w:t>
            </w:r>
          </w:p>
        </w:tc>
        <w:tc>
          <w:tcPr>
            <w:tcW w:w="851" w:type="dxa"/>
            <w:gridSpan w:val="3"/>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绩效度量单位</w:t>
            </w:r>
          </w:p>
        </w:tc>
        <w:tc>
          <w:tcPr>
            <w:tcW w:w="708"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权重</w:t>
            </w:r>
          </w:p>
        </w:tc>
      </w:tr>
      <w:tr>
        <w:tblPrEx>
          <w:tblCellMar>
            <w:top w:w="0" w:type="dxa"/>
            <w:left w:w="108" w:type="dxa"/>
            <w:bottom w:w="0" w:type="dxa"/>
            <w:right w:w="108" w:type="dxa"/>
          </w:tblCellMar>
        </w:tblPrEx>
        <w:trPr>
          <w:trHeight w:val="411"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restart"/>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产出指标</w:t>
            </w:r>
          </w:p>
        </w:tc>
        <w:tc>
          <w:tcPr>
            <w:tcW w:w="1843" w:type="dxa"/>
            <w:gridSpan w:val="3"/>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rPr>
                <w:color w:val="000000"/>
                <w:sz w:val="16"/>
                <w:szCs w:val="16"/>
              </w:rPr>
            </w:pPr>
            <w:r>
              <w:rPr>
                <w:rFonts w:hint="eastAsia"/>
                <w:color w:val="000000"/>
                <w:sz w:val="16"/>
                <w:szCs w:val="16"/>
              </w:rPr>
              <w:t>数量指标</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场镇污水管网改造</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200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米</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75"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城区绿化面积</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36</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平方米</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4</w:t>
            </w:r>
          </w:p>
        </w:tc>
      </w:tr>
      <w:tr>
        <w:tblPrEx>
          <w:tblCellMar>
            <w:top w:w="0" w:type="dxa"/>
            <w:left w:w="108" w:type="dxa"/>
            <w:bottom w:w="0" w:type="dxa"/>
            <w:right w:w="108" w:type="dxa"/>
          </w:tblCellMar>
        </w:tblPrEx>
        <w:trPr>
          <w:trHeight w:val="278"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党建培训人次</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800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人次</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69"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到市、进京非访、集访次数</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人次</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72"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年生活垃圾处理量</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2000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吨</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77"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森林防火发生次数</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次</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67"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社区网格员覆盖率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71"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辖区内河道水质</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类</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74"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优抚、民政、计生等困难群众补助人数</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人</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79"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重大安全事故发生次数</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次</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83"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rPr>
                <w:color w:val="000000"/>
                <w:sz w:val="16"/>
                <w:szCs w:val="16"/>
              </w:rPr>
            </w:pPr>
            <w:r>
              <w:rPr>
                <w:rFonts w:hint="eastAsia"/>
                <w:color w:val="000000"/>
                <w:sz w:val="16"/>
                <w:szCs w:val="16"/>
              </w:rPr>
              <w:t>质量指标</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农村卫生厕所改造覆盖率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4</w:t>
            </w:r>
          </w:p>
        </w:tc>
      </w:tr>
      <w:tr>
        <w:tblPrEx>
          <w:tblCellMar>
            <w:top w:w="0" w:type="dxa"/>
            <w:left w:w="108" w:type="dxa"/>
            <w:bottom w:w="0" w:type="dxa"/>
            <w:right w:w="108" w:type="dxa"/>
          </w:tblCellMar>
        </w:tblPrEx>
        <w:trPr>
          <w:trHeight w:val="259"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一般公共预算收入完成率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77"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疫情防控处置率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90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81"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rPr>
                <w:color w:val="000000"/>
                <w:sz w:val="16"/>
                <w:szCs w:val="16"/>
              </w:rPr>
            </w:pPr>
            <w:r>
              <w:rPr>
                <w:rFonts w:hint="eastAsia"/>
                <w:color w:val="000000"/>
                <w:sz w:val="16"/>
                <w:szCs w:val="16"/>
              </w:rPr>
              <w:t>时效指标</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全年预算支出执行率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90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w:t>
            </w:r>
          </w:p>
        </w:tc>
      </w:tr>
      <w:tr>
        <w:tblPrEx>
          <w:tblCellMar>
            <w:top w:w="0" w:type="dxa"/>
            <w:left w:w="108" w:type="dxa"/>
            <w:bottom w:w="0" w:type="dxa"/>
            <w:right w:w="108" w:type="dxa"/>
          </w:tblCellMar>
        </w:tblPrEx>
        <w:trPr>
          <w:trHeight w:val="271"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三季度预算执行进度</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75</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w:t>
            </w:r>
          </w:p>
        </w:tc>
      </w:tr>
      <w:tr>
        <w:tblPrEx>
          <w:tblCellMar>
            <w:top w:w="0" w:type="dxa"/>
            <w:left w:w="108" w:type="dxa"/>
            <w:bottom w:w="0" w:type="dxa"/>
            <w:right w:w="108" w:type="dxa"/>
          </w:tblCellMar>
        </w:tblPrEx>
        <w:trPr>
          <w:trHeight w:val="261"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应公开的</w:t>
            </w:r>
            <w:bookmarkStart w:id="0" w:name="_GoBack"/>
            <w:r>
              <w:rPr>
                <w:rFonts w:hint="eastAsia"/>
                <w:color w:val="000000"/>
                <w:sz w:val="16"/>
                <w:szCs w:val="16"/>
              </w:rPr>
              <w:t>政务公开率</w:t>
            </w:r>
            <w:bookmarkEnd w:id="0"/>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3</w:t>
            </w:r>
          </w:p>
        </w:tc>
      </w:tr>
      <w:tr>
        <w:tblPrEx>
          <w:tblCellMar>
            <w:top w:w="0" w:type="dxa"/>
            <w:left w:w="108" w:type="dxa"/>
            <w:bottom w:w="0" w:type="dxa"/>
            <w:right w:w="108" w:type="dxa"/>
          </w:tblCellMar>
        </w:tblPrEx>
        <w:trPr>
          <w:trHeight w:val="293"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预决算按时公开率</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w:t>
            </w:r>
          </w:p>
        </w:tc>
      </w:tr>
      <w:tr>
        <w:tblPrEx>
          <w:tblCellMar>
            <w:top w:w="0" w:type="dxa"/>
            <w:left w:w="108" w:type="dxa"/>
            <w:bottom w:w="0" w:type="dxa"/>
            <w:right w:w="108" w:type="dxa"/>
          </w:tblCellMar>
        </w:tblPrEx>
        <w:trPr>
          <w:trHeight w:val="274"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效益指标</w:t>
            </w:r>
          </w:p>
        </w:tc>
        <w:tc>
          <w:tcPr>
            <w:tcW w:w="1473" w:type="dxa"/>
            <w:gridSpan w:val="2"/>
            <w:tcBorders>
              <w:top w:val="nil"/>
              <w:left w:val="nil"/>
              <w:bottom w:val="single" w:color="auto" w:sz="4" w:space="0"/>
              <w:right w:val="nil"/>
            </w:tcBorders>
            <w:shd w:val="clear" w:color="auto" w:fill="auto"/>
            <w:vAlign w:val="center"/>
          </w:tcPr>
          <w:p>
            <w:pPr>
              <w:rPr>
                <w:color w:val="000000"/>
                <w:sz w:val="16"/>
                <w:szCs w:val="16"/>
              </w:rPr>
            </w:pPr>
            <w:r>
              <w:rPr>
                <w:rFonts w:hint="eastAsia"/>
                <w:color w:val="000000"/>
                <w:sz w:val="16"/>
                <w:szCs w:val="16"/>
              </w:rPr>
              <w:t>社会效益</w:t>
            </w:r>
          </w:p>
        </w:tc>
        <w:tc>
          <w:tcPr>
            <w:tcW w:w="370"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辖区内农民人均纯收入增长量</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11.5</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4</w:t>
            </w:r>
          </w:p>
        </w:tc>
      </w:tr>
      <w:tr>
        <w:tblPrEx>
          <w:tblCellMar>
            <w:top w:w="0" w:type="dxa"/>
            <w:left w:w="108" w:type="dxa"/>
            <w:bottom w:w="0" w:type="dxa"/>
            <w:right w:w="108" w:type="dxa"/>
          </w:tblCellMar>
        </w:tblPrEx>
        <w:trPr>
          <w:trHeight w:val="280"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restart"/>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满意度指标</w:t>
            </w:r>
          </w:p>
        </w:tc>
        <w:tc>
          <w:tcPr>
            <w:tcW w:w="1843" w:type="dxa"/>
            <w:gridSpan w:val="3"/>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rPr>
                <w:color w:val="000000"/>
                <w:sz w:val="16"/>
                <w:szCs w:val="16"/>
              </w:rPr>
            </w:pPr>
            <w:r>
              <w:rPr>
                <w:rFonts w:hint="eastAsia"/>
                <w:color w:val="000000"/>
                <w:sz w:val="16"/>
                <w:szCs w:val="16"/>
              </w:rPr>
              <w:t>服务对象满意度指标</w:t>
            </w: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辖区干部满意度</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90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trHeight w:val="270" w:hRule="atLeast"/>
        </w:trPr>
        <w:tc>
          <w:tcPr>
            <w:tcW w:w="439" w:type="dxa"/>
            <w:vMerge w:val="continue"/>
            <w:tcBorders>
              <w:top w:val="nil"/>
              <w:left w:val="single" w:color="auto" w:sz="4" w:space="0"/>
              <w:bottom w:val="single" w:color="auto" w:sz="4" w:space="0"/>
              <w:right w:val="single" w:color="auto" w:sz="4" w:space="0"/>
            </w:tcBorders>
            <w:vAlign w:val="center"/>
          </w:tcPr>
          <w:p>
            <w:pPr>
              <w:rPr>
                <w:b/>
                <w:bCs/>
                <w:color w:val="000000"/>
                <w:sz w:val="16"/>
                <w:szCs w:val="16"/>
              </w:rPr>
            </w:pPr>
          </w:p>
        </w:tc>
        <w:tc>
          <w:tcPr>
            <w:tcW w:w="708" w:type="dxa"/>
            <w:gridSpan w:val="2"/>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1843" w:type="dxa"/>
            <w:gridSpan w:val="3"/>
            <w:vMerge w:val="continue"/>
            <w:tcBorders>
              <w:top w:val="single" w:color="auto" w:sz="4" w:space="0"/>
              <w:left w:val="single" w:color="auto" w:sz="4" w:space="0"/>
              <w:bottom w:val="single" w:color="auto" w:sz="4" w:space="0"/>
              <w:right w:val="single" w:color="000000" w:sz="4" w:space="0"/>
            </w:tcBorders>
            <w:vAlign w:val="center"/>
          </w:tcPr>
          <w:p>
            <w:pPr>
              <w:rPr>
                <w:color w:val="000000"/>
                <w:sz w:val="16"/>
                <w:szCs w:val="16"/>
              </w:rPr>
            </w:pPr>
          </w:p>
        </w:tc>
        <w:tc>
          <w:tcPr>
            <w:tcW w:w="2977" w:type="dxa"/>
            <w:gridSpan w:val="5"/>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辖区群众满意度</w:t>
            </w:r>
          </w:p>
        </w:tc>
        <w:tc>
          <w:tcPr>
            <w:tcW w:w="992"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1134" w:type="dxa"/>
            <w:gridSpan w:val="2"/>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90</w:t>
            </w:r>
          </w:p>
        </w:tc>
        <w:tc>
          <w:tcPr>
            <w:tcW w:w="851" w:type="dxa"/>
            <w:gridSpan w:val="3"/>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w:t>
            </w:r>
          </w:p>
        </w:tc>
      </w:tr>
      <w:tr>
        <w:tblPrEx>
          <w:tblCellMar>
            <w:top w:w="0" w:type="dxa"/>
            <w:left w:w="108" w:type="dxa"/>
            <w:bottom w:w="0" w:type="dxa"/>
            <w:right w:w="108" w:type="dxa"/>
          </w:tblCellMar>
        </w:tblPrEx>
        <w:trPr>
          <w:gridAfter w:val="1"/>
          <w:wAfter w:w="708" w:type="dxa"/>
          <w:trHeight w:val="838" w:hRule="atLeast"/>
        </w:trPr>
        <w:tc>
          <w:tcPr>
            <w:tcW w:w="439"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rFonts w:hint="eastAsia"/>
                <w:color w:val="000000"/>
                <w:sz w:val="16"/>
                <w:szCs w:val="16"/>
              </w:rPr>
              <w:t>其他说明</w:t>
            </w:r>
          </w:p>
        </w:tc>
        <w:tc>
          <w:tcPr>
            <w:tcW w:w="8505" w:type="dxa"/>
            <w:gridSpan w:val="17"/>
            <w:tcBorders>
              <w:top w:val="single" w:color="auto" w:sz="4" w:space="0"/>
              <w:left w:val="nil"/>
              <w:bottom w:val="single" w:color="auto" w:sz="4" w:space="0"/>
              <w:right w:val="single" w:color="auto" w:sz="4" w:space="0"/>
            </w:tcBorders>
            <w:shd w:val="clear" w:color="auto" w:fill="auto"/>
          </w:tcPr>
          <w:p>
            <w:pPr>
              <w:rPr>
                <w:color w:val="000000"/>
                <w:sz w:val="16"/>
                <w:szCs w:val="16"/>
              </w:rPr>
            </w:pPr>
            <w:r>
              <w:rPr>
                <w:rFonts w:hint="eastAsia"/>
                <w:color w:val="000000"/>
                <w:sz w:val="16"/>
                <w:szCs w:val="16"/>
              </w:rPr>
              <w:t>　</w:t>
            </w:r>
          </w:p>
        </w:tc>
      </w:tr>
    </w:tbl>
    <w:p>
      <w:pPr>
        <w:pStyle w:val="30"/>
        <w:shd w:val="clear" w:color="auto" w:fill="FFFFFF"/>
        <w:jc w:val="both"/>
        <w:rPr>
          <w:rFonts w:eastAsia="方正仿宋_GBK"/>
          <w:b/>
          <w:shd w:val="clear" w:color="auto" w:fill="FFFFFF"/>
        </w:rPr>
      </w:pPr>
      <w:r>
        <w:rPr>
          <w:rFonts w:hint="eastAsia" w:ascii="方正仿宋_GBK" w:eastAsia="方正仿宋_GBK"/>
          <w:sz w:val="32"/>
          <w:szCs w:val="32"/>
          <w:shd w:val="clear" w:color="auto" w:fill="FFFFFF"/>
        </w:rPr>
        <w:t>一级项目自评表表:</w:t>
      </w:r>
    </w:p>
    <w:tbl>
      <w:tblPr>
        <w:tblStyle w:val="15"/>
        <w:tblW w:w="9581" w:type="dxa"/>
        <w:tblInd w:w="95" w:type="dxa"/>
        <w:tblLayout w:type="fixed"/>
        <w:tblCellMar>
          <w:top w:w="0" w:type="dxa"/>
          <w:left w:w="108" w:type="dxa"/>
          <w:bottom w:w="0" w:type="dxa"/>
          <w:right w:w="108" w:type="dxa"/>
        </w:tblCellMar>
      </w:tblPr>
      <w:tblGrid>
        <w:gridCol w:w="700"/>
        <w:gridCol w:w="583"/>
        <w:gridCol w:w="674"/>
        <w:gridCol w:w="820"/>
        <w:gridCol w:w="2316"/>
        <w:gridCol w:w="985"/>
        <w:gridCol w:w="548"/>
        <w:gridCol w:w="598"/>
        <w:gridCol w:w="668"/>
        <w:gridCol w:w="796"/>
        <w:gridCol w:w="893"/>
      </w:tblGrid>
      <w:tr>
        <w:tblPrEx>
          <w:tblCellMar>
            <w:top w:w="0" w:type="dxa"/>
            <w:left w:w="108" w:type="dxa"/>
            <w:bottom w:w="0" w:type="dxa"/>
            <w:right w:w="108" w:type="dxa"/>
          </w:tblCellMar>
        </w:tblPrEx>
        <w:trPr>
          <w:trHeight w:val="359" w:hRule="atLeast"/>
        </w:trPr>
        <w:tc>
          <w:tcPr>
            <w:tcW w:w="9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b/>
                <w:bCs/>
                <w:color w:val="000000"/>
                <w:sz w:val="16"/>
                <w:szCs w:val="16"/>
              </w:rPr>
            </w:pPr>
            <w:r>
              <w:rPr>
                <w:rFonts w:hint="eastAsia" w:ascii="微软雅黑" w:hAnsi="微软雅黑" w:eastAsia="微软雅黑"/>
                <w:b/>
                <w:bCs/>
                <w:color w:val="000000"/>
                <w:sz w:val="16"/>
                <w:szCs w:val="16"/>
              </w:rPr>
              <w:t>2022年度二级项目绩效自评表</w:t>
            </w:r>
          </w:p>
        </w:tc>
      </w:tr>
      <w:tr>
        <w:tblPrEx>
          <w:tblCellMar>
            <w:top w:w="0" w:type="dxa"/>
            <w:left w:w="108" w:type="dxa"/>
            <w:bottom w:w="0" w:type="dxa"/>
            <w:right w:w="108" w:type="dxa"/>
          </w:tblCellMar>
        </w:tblPrEx>
        <w:trPr>
          <w:trHeight w:val="266" w:hRule="atLeast"/>
        </w:trPr>
        <w:tc>
          <w:tcPr>
            <w:tcW w:w="958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61" w:firstLineChars="100"/>
              <w:jc w:val="right"/>
              <w:rPr>
                <w:b/>
                <w:bCs/>
                <w:color w:val="DA3232"/>
                <w:sz w:val="16"/>
                <w:szCs w:val="16"/>
              </w:rPr>
            </w:pPr>
            <w:r>
              <w:rPr>
                <w:rFonts w:hint="eastAsia"/>
                <w:b/>
                <w:bCs/>
                <w:color w:val="DA3232"/>
                <w:sz w:val="16"/>
                <w:szCs w:val="16"/>
              </w:rPr>
              <w:t>状态：绩效审核已审</w:t>
            </w:r>
          </w:p>
        </w:tc>
      </w:tr>
      <w:tr>
        <w:tblPrEx>
          <w:tblCellMar>
            <w:top w:w="0" w:type="dxa"/>
            <w:left w:w="108" w:type="dxa"/>
            <w:bottom w:w="0" w:type="dxa"/>
            <w:right w:w="108" w:type="dxa"/>
          </w:tblCellMar>
        </w:tblPrEx>
        <w:trPr>
          <w:trHeight w:val="121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项目名称：</w:t>
            </w:r>
          </w:p>
        </w:tc>
        <w:tc>
          <w:tcPr>
            <w:tcW w:w="1257"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调整清算下达2020年森林植被恢复费（第一批）（渝财农﹝2021﹞59号）</w:t>
            </w:r>
          </w:p>
        </w:tc>
        <w:tc>
          <w:tcPr>
            <w:tcW w:w="820"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项目编码：</w:t>
            </w:r>
          </w:p>
        </w:tc>
        <w:tc>
          <w:tcPr>
            <w:tcW w:w="231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50023122T000002115405</w:t>
            </w:r>
          </w:p>
        </w:tc>
        <w:tc>
          <w:tcPr>
            <w:tcW w:w="985"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自评总分：</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100.00</w:t>
            </w:r>
          </w:p>
        </w:tc>
        <w:tc>
          <w:tcPr>
            <w:tcW w:w="668"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　</w:t>
            </w:r>
          </w:p>
        </w:tc>
        <w:tc>
          <w:tcPr>
            <w:tcW w:w="1689"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8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项目主管部门：</w:t>
            </w:r>
          </w:p>
        </w:tc>
        <w:tc>
          <w:tcPr>
            <w:tcW w:w="1257"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716-垫江县五洞镇人民政府</w:t>
            </w:r>
          </w:p>
        </w:tc>
        <w:tc>
          <w:tcPr>
            <w:tcW w:w="820"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财政归口处室：</w:t>
            </w:r>
          </w:p>
        </w:tc>
        <w:tc>
          <w:tcPr>
            <w:tcW w:w="231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014-会计管理核算中心</w:t>
            </w:r>
          </w:p>
        </w:tc>
        <w:tc>
          <w:tcPr>
            <w:tcW w:w="985"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部门联系人：</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杨晓梅</w:t>
            </w:r>
          </w:p>
        </w:tc>
        <w:tc>
          <w:tcPr>
            <w:tcW w:w="668" w:type="dxa"/>
            <w:tcBorders>
              <w:top w:val="nil"/>
              <w:left w:val="nil"/>
              <w:bottom w:val="single" w:color="auto" w:sz="4" w:space="0"/>
              <w:right w:val="single" w:color="auto" w:sz="4" w:space="0"/>
            </w:tcBorders>
            <w:shd w:val="clear" w:color="auto" w:fill="auto"/>
            <w:vAlign w:val="center"/>
          </w:tcPr>
          <w:p>
            <w:pPr>
              <w:jc w:val="right"/>
              <w:rPr>
                <w:b/>
                <w:bCs/>
                <w:color w:val="000000"/>
                <w:sz w:val="16"/>
                <w:szCs w:val="16"/>
              </w:rPr>
            </w:pPr>
            <w:r>
              <w:rPr>
                <w:rFonts w:hint="eastAsia"/>
                <w:b/>
                <w:bCs/>
                <w:color w:val="000000"/>
                <w:sz w:val="16"/>
                <w:szCs w:val="16"/>
              </w:rPr>
              <w:t>联系电话：</w:t>
            </w:r>
          </w:p>
        </w:tc>
        <w:tc>
          <w:tcPr>
            <w:tcW w:w="1689" w:type="dxa"/>
            <w:gridSpan w:val="2"/>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13896707528</w:t>
            </w:r>
          </w:p>
        </w:tc>
      </w:tr>
      <w:tr>
        <w:tblPrEx>
          <w:tblCellMar>
            <w:top w:w="0" w:type="dxa"/>
            <w:left w:w="108" w:type="dxa"/>
            <w:bottom w:w="0" w:type="dxa"/>
            <w:right w:w="108" w:type="dxa"/>
          </w:tblCellMar>
        </w:tblPrEx>
        <w:trPr>
          <w:trHeight w:val="275" w:hRule="atLeast"/>
        </w:trPr>
        <w:tc>
          <w:tcPr>
            <w:tcW w:w="958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7F7F7F"/>
                <w:sz w:val="16"/>
                <w:szCs w:val="16"/>
              </w:rPr>
            </w:pPr>
            <w:r>
              <w:rPr>
                <w:rFonts w:hint="eastAsia" w:ascii="微软雅黑" w:hAnsi="微软雅黑" w:eastAsia="微软雅黑"/>
                <w:b/>
                <w:bCs/>
                <w:color w:val="7F7F7F"/>
                <w:sz w:val="16"/>
                <w:szCs w:val="16"/>
              </w:rPr>
              <w:t>资金情况</w:t>
            </w:r>
          </w:p>
        </w:tc>
      </w:tr>
      <w:tr>
        <w:tblPrEx>
          <w:tblCellMar>
            <w:top w:w="0" w:type="dxa"/>
            <w:left w:w="108" w:type="dxa"/>
            <w:bottom w:w="0" w:type="dxa"/>
            <w:right w:w="108" w:type="dxa"/>
          </w:tblCellMar>
        </w:tblPrEx>
        <w:trPr>
          <w:trHeight w:val="686" w:hRule="atLeast"/>
        </w:trPr>
        <w:tc>
          <w:tcPr>
            <w:tcW w:w="128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color w:val="000000"/>
                <w:sz w:val="16"/>
                <w:szCs w:val="16"/>
              </w:rPr>
            </w:pPr>
            <w:r>
              <w:rPr>
                <w:rFonts w:hint="eastAsia"/>
                <w:color w:val="000000"/>
                <w:sz w:val="16"/>
                <w:szCs w:val="16"/>
              </w:rPr>
              <w:t>　</w:t>
            </w:r>
          </w:p>
        </w:tc>
        <w:tc>
          <w:tcPr>
            <w:tcW w:w="1494" w:type="dxa"/>
            <w:gridSpan w:val="2"/>
            <w:tcBorders>
              <w:top w:val="single" w:color="auto" w:sz="4" w:space="0"/>
              <w:left w:val="nil"/>
              <w:bottom w:val="single" w:color="auto" w:sz="4" w:space="0"/>
              <w:right w:val="single" w:color="000000" w:sz="4" w:space="0"/>
            </w:tcBorders>
            <w:shd w:val="clear" w:color="auto" w:fill="auto"/>
            <w:vAlign w:val="center"/>
          </w:tcPr>
          <w:p>
            <w:pPr>
              <w:jc w:val="center"/>
              <w:rPr>
                <w:b/>
                <w:bCs/>
                <w:color w:val="000000"/>
                <w:sz w:val="16"/>
                <w:szCs w:val="16"/>
              </w:rPr>
            </w:pPr>
            <w:r>
              <w:rPr>
                <w:rFonts w:hint="eastAsia"/>
                <w:b/>
                <w:bCs/>
                <w:color w:val="000000"/>
                <w:sz w:val="16"/>
                <w:szCs w:val="16"/>
              </w:rPr>
              <w:t>年初预算数</w:t>
            </w:r>
          </w:p>
        </w:tc>
        <w:tc>
          <w:tcPr>
            <w:tcW w:w="2316" w:type="dxa"/>
            <w:tcBorders>
              <w:top w:val="nil"/>
              <w:left w:val="nil"/>
              <w:bottom w:val="single" w:color="auto" w:sz="4" w:space="0"/>
              <w:right w:val="nil"/>
            </w:tcBorders>
            <w:shd w:val="clear" w:color="auto" w:fill="auto"/>
            <w:vAlign w:val="center"/>
          </w:tcPr>
          <w:p>
            <w:pPr>
              <w:jc w:val="center"/>
              <w:rPr>
                <w:b/>
                <w:bCs/>
                <w:color w:val="000000"/>
                <w:sz w:val="16"/>
                <w:szCs w:val="16"/>
              </w:rPr>
            </w:pPr>
            <w:r>
              <w:rPr>
                <w:rFonts w:hint="eastAsia"/>
                <w:b/>
                <w:bCs/>
                <w:color w:val="000000"/>
                <w:sz w:val="16"/>
                <w:szCs w:val="16"/>
              </w:rPr>
              <w:t>全年（调整）预算数</w:t>
            </w:r>
          </w:p>
        </w:tc>
        <w:tc>
          <w:tcPr>
            <w:tcW w:w="1533" w:type="dxa"/>
            <w:gridSpan w:val="2"/>
            <w:tcBorders>
              <w:top w:val="single" w:color="auto" w:sz="4" w:space="0"/>
              <w:left w:val="nil"/>
              <w:bottom w:val="single" w:color="auto" w:sz="4" w:space="0"/>
              <w:right w:val="single" w:color="000000" w:sz="4" w:space="0"/>
            </w:tcBorders>
            <w:shd w:val="clear" w:color="auto" w:fill="auto"/>
            <w:vAlign w:val="center"/>
          </w:tcPr>
          <w:p>
            <w:pPr>
              <w:jc w:val="center"/>
              <w:rPr>
                <w:b/>
                <w:bCs/>
                <w:color w:val="000000"/>
                <w:sz w:val="16"/>
                <w:szCs w:val="16"/>
              </w:rPr>
            </w:pPr>
            <w:r>
              <w:rPr>
                <w:rFonts w:hint="eastAsia"/>
                <w:b/>
                <w:bCs/>
                <w:color w:val="000000"/>
                <w:sz w:val="16"/>
                <w:szCs w:val="16"/>
              </w:rPr>
              <w:t>全年执行数</w:t>
            </w:r>
          </w:p>
        </w:tc>
        <w:tc>
          <w:tcPr>
            <w:tcW w:w="1266" w:type="dxa"/>
            <w:gridSpan w:val="2"/>
            <w:tcBorders>
              <w:top w:val="single" w:color="auto" w:sz="4" w:space="0"/>
              <w:left w:val="nil"/>
              <w:bottom w:val="single" w:color="auto" w:sz="4" w:space="0"/>
              <w:right w:val="single" w:color="000000" w:sz="4" w:space="0"/>
            </w:tcBorders>
            <w:shd w:val="clear" w:color="auto" w:fill="auto"/>
            <w:vAlign w:val="center"/>
          </w:tcPr>
          <w:p>
            <w:pPr>
              <w:jc w:val="center"/>
              <w:rPr>
                <w:b/>
                <w:bCs/>
                <w:color w:val="000000"/>
                <w:sz w:val="16"/>
                <w:szCs w:val="16"/>
              </w:rPr>
            </w:pPr>
            <w:r>
              <w:rPr>
                <w:rFonts w:hint="eastAsia"/>
                <w:b/>
                <w:bCs/>
                <w:color w:val="000000"/>
                <w:sz w:val="16"/>
                <w:szCs w:val="16"/>
              </w:rPr>
              <w:t>执行率</w:t>
            </w:r>
          </w:p>
        </w:tc>
        <w:tc>
          <w:tcPr>
            <w:tcW w:w="796"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执行率权重</w:t>
            </w:r>
          </w:p>
        </w:tc>
        <w:tc>
          <w:tcPr>
            <w:tcW w:w="893"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执行率得分</w:t>
            </w:r>
          </w:p>
        </w:tc>
      </w:tr>
      <w:tr>
        <w:tblPrEx>
          <w:tblCellMar>
            <w:top w:w="0" w:type="dxa"/>
            <w:left w:w="108" w:type="dxa"/>
            <w:bottom w:w="0" w:type="dxa"/>
            <w:right w:w="108" w:type="dxa"/>
          </w:tblCellMar>
        </w:tblPrEx>
        <w:trPr>
          <w:trHeight w:val="300" w:hRule="atLeast"/>
        </w:trPr>
        <w:tc>
          <w:tcPr>
            <w:tcW w:w="12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年度总金额</w:t>
            </w:r>
          </w:p>
        </w:tc>
        <w:tc>
          <w:tcPr>
            <w:tcW w:w="1494"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1533"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jc w:val="right"/>
              <w:rPr>
                <w:sz w:val="16"/>
                <w:szCs w:val="16"/>
              </w:rPr>
            </w:pPr>
            <w:r>
              <w:rPr>
                <w:rFonts w:hint="eastAsia"/>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jc w:val="right"/>
              <w:rPr>
                <w:sz w:val="16"/>
                <w:szCs w:val="16"/>
              </w:rPr>
            </w:pPr>
            <w:r>
              <w:rPr>
                <w:rFonts w:hint="eastAsia"/>
                <w:sz w:val="16"/>
                <w:szCs w:val="16"/>
              </w:rPr>
              <w:t>　</w:t>
            </w:r>
          </w:p>
        </w:tc>
      </w:tr>
      <w:tr>
        <w:tblPrEx>
          <w:tblCellMar>
            <w:top w:w="0" w:type="dxa"/>
            <w:left w:w="108" w:type="dxa"/>
            <w:bottom w:w="0" w:type="dxa"/>
            <w:right w:w="108" w:type="dxa"/>
          </w:tblCellMar>
        </w:tblPrEx>
        <w:trPr>
          <w:trHeight w:val="499" w:hRule="atLeast"/>
        </w:trPr>
        <w:tc>
          <w:tcPr>
            <w:tcW w:w="12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其中：财政拨款</w:t>
            </w:r>
          </w:p>
        </w:tc>
        <w:tc>
          <w:tcPr>
            <w:tcW w:w="1494"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1533"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 xml:space="preserve">634,876.00 </w:t>
            </w: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796" w:type="dxa"/>
            <w:tcBorders>
              <w:top w:val="nil"/>
              <w:left w:val="nil"/>
              <w:bottom w:val="single" w:color="auto" w:sz="4" w:space="0"/>
              <w:right w:val="single" w:color="auto" w:sz="4" w:space="0"/>
            </w:tcBorders>
            <w:shd w:val="clear" w:color="auto" w:fill="auto"/>
            <w:vAlign w:val="center"/>
          </w:tcPr>
          <w:p>
            <w:pPr>
              <w:jc w:val="right"/>
              <w:rPr>
                <w:sz w:val="16"/>
                <w:szCs w:val="16"/>
              </w:rPr>
            </w:pPr>
            <w:r>
              <w:rPr>
                <w:rFonts w:hint="eastAsia"/>
                <w:sz w:val="16"/>
                <w:szCs w:val="16"/>
              </w:rPr>
              <w:t>10.00</w:t>
            </w:r>
          </w:p>
        </w:tc>
        <w:tc>
          <w:tcPr>
            <w:tcW w:w="893" w:type="dxa"/>
            <w:tcBorders>
              <w:top w:val="nil"/>
              <w:left w:val="nil"/>
              <w:bottom w:val="single" w:color="auto" w:sz="4" w:space="0"/>
              <w:right w:val="single" w:color="auto" w:sz="4" w:space="0"/>
            </w:tcBorders>
            <w:shd w:val="clear" w:color="auto" w:fill="auto"/>
            <w:vAlign w:val="center"/>
          </w:tcPr>
          <w:p>
            <w:pPr>
              <w:jc w:val="right"/>
              <w:rPr>
                <w:sz w:val="16"/>
                <w:szCs w:val="16"/>
              </w:rPr>
            </w:pPr>
            <w:r>
              <w:rPr>
                <w:rFonts w:hint="eastAsia"/>
                <w:sz w:val="16"/>
                <w:szCs w:val="16"/>
              </w:rPr>
              <w:t xml:space="preserve">10.00 </w:t>
            </w:r>
          </w:p>
        </w:tc>
      </w:tr>
      <w:tr>
        <w:tblPrEx>
          <w:tblCellMar>
            <w:top w:w="0" w:type="dxa"/>
            <w:left w:w="108" w:type="dxa"/>
            <w:bottom w:w="0" w:type="dxa"/>
            <w:right w:w="108" w:type="dxa"/>
          </w:tblCellMar>
        </w:tblPrEx>
        <w:trPr>
          <w:trHeight w:val="600" w:hRule="atLeast"/>
        </w:trPr>
        <w:tc>
          <w:tcPr>
            <w:tcW w:w="958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7F7F7F"/>
                <w:sz w:val="16"/>
                <w:szCs w:val="16"/>
              </w:rPr>
            </w:pPr>
            <w:r>
              <w:rPr>
                <w:rFonts w:hint="eastAsia" w:ascii="微软雅黑" w:hAnsi="微软雅黑" w:eastAsia="微软雅黑"/>
                <w:b/>
                <w:bCs/>
                <w:color w:val="7F7F7F"/>
                <w:sz w:val="16"/>
                <w:szCs w:val="16"/>
              </w:rPr>
              <w:t>绩效目标</w:t>
            </w:r>
          </w:p>
        </w:tc>
      </w:tr>
      <w:tr>
        <w:tblPrEx>
          <w:tblCellMar>
            <w:top w:w="0" w:type="dxa"/>
            <w:left w:w="108" w:type="dxa"/>
            <w:bottom w:w="0" w:type="dxa"/>
            <w:right w:w="108" w:type="dxa"/>
          </w:tblCellMar>
        </w:tblPrEx>
        <w:trPr>
          <w:trHeight w:val="499" w:hRule="atLeast"/>
        </w:trPr>
        <w:tc>
          <w:tcPr>
            <w:tcW w:w="27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年初绩效目标</w:t>
            </w:r>
          </w:p>
        </w:tc>
        <w:tc>
          <w:tcPr>
            <w:tcW w:w="3849"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全年（调整）绩效目标</w:t>
            </w:r>
          </w:p>
        </w:tc>
        <w:tc>
          <w:tcPr>
            <w:tcW w:w="2955"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全年目标实际完成情况</w:t>
            </w:r>
          </w:p>
        </w:tc>
      </w:tr>
      <w:tr>
        <w:tblPrEx>
          <w:tblCellMar>
            <w:top w:w="0" w:type="dxa"/>
            <w:left w:w="108" w:type="dxa"/>
            <w:bottom w:w="0" w:type="dxa"/>
            <w:right w:w="108" w:type="dxa"/>
          </w:tblCellMar>
        </w:tblPrEx>
        <w:trPr>
          <w:trHeight w:val="351" w:hRule="atLeast"/>
        </w:trPr>
        <w:tc>
          <w:tcPr>
            <w:tcW w:w="2777" w:type="dxa"/>
            <w:gridSpan w:val="4"/>
            <w:tcBorders>
              <w:top w:val="single" w:color="auto" w:sz="4" w:space="0"/>
              <w:left w:val="single" w:color="auto" w:sz="4" w:space="0"/>
              <w:bottom w:val="single" w:color="auto" w:sz="4" w:space="0"/>
              <w:right w:val="single" w:color="auto" w:sz="4" w:space="0"/>
            </w:tcBorders>
            <w:shd w:val="clear" w:color="auto" w:fill="auto"/>
          </w:tcPr>
          <w:p>
            <w:pPr>
              <w:rPr>
                <w:color w:val="000000"/>
                <w:sz w:val="16"/>
                <w:szCs w:val="16"/>
              </w:rPr>
            </w:pPr>
            <w:r>
              <w:rPr>
                <w:rFonts w:hint="eastAsia"/>
                <w:color w:val="000000"/>
                <w:sz w:val="16"/>
                <w:szCs w:val="16"/>
              </w:rPr>
              <w:t>　</w:t>
            </w:r>
          </w:p>
        </w:tc>
        <w:tc>
          <w:tcPr>
            <w:tcW w:w="3849" w:type="dxa"/>
            <w:gridSpan w:val="3"/>
            <w:tcBorders>
              <w:top w:val="single" w:color="auto" w:sz="4" w:space="0"/>
              <w:left w:val="nil"/>
              <w:bottom w:val="single" w:color="auto" w:sz="4" w:space="0"/>
              <w:right w:val="single" w:color="auto" w:sz="4" w:space="0"/>
            </w:tcBorders>
            <w:shd w:val="clear" w:color="auto" w:fill="auto"/>
          </w:tcPr>
          <w:p>
            <w:pPr>
              <w:rPr>
                <w:color w:val="000000"/>
                <w:sz w:val="16"/>
                <w:szCs w:val="16"/>
              </w:rPr>
            </w:pPr>
            <w:r>
              <w:rPr>
                <w:rFonts w:hint="eastAsia"/>
                <w:color w:val="000000"/>
                <w:sz w:val="16"/>
                <w:szCs w:val="16"/>
              </w:rPr>
              <w:t>森林植被恢复。</w:t>
            </w:r>
          </w:p>
        </w:tc>
        <w:tc>
          <w:tcPr>
            <w:tcW w:w="2955" w:type="dxa"/>
            <w:gridSpan w:val="4"/>
            <w:tcBorders>
              <w:top w:val="single" w:color="auto" w:sz="4" w:space="0"/>
              <w:left w:val="nil"/>
              <w:bottom w:val="single" w:color="auto" w:sz="4" w:space="0"/>
              <w:right w:val="single" w:color="auto" w:sz="4" w:space="0"/>
            </w:tcBorders>
            <w:shd w:val="clear" w:color="auto" w:fill="auto"/>
          </w:tcPr>
          <w:p>
            <w:pPr>
              <w:rPr>
                <w:color w:val="000000"/>
                <w:sz w:val="16"/>
                <w:szCs w:val="16"/>
              </w:rPr>
            </w:pPr>
            <w:r>
              <w:rPr>
                <w:rFonts w:hint="eastAsia"/>
                <w:color w:val="000000"/>
                <w:sz w:val="16"/>
                <w:szCs w:val="16"/>
              </w:rPr>
              <w:t>人工造林和退化林修复</w:t>
            </w:r>
          </w:p>
        </w:tc>
      </w:tr>
      <w:tr>
        <w:tblPrEx>
          <w:tblCellMar>
            <w:top w:w="0" w:type="dxa"/>
            <w:left w:w="108" w:type="dxa"/>
            <w:bottom w:w="0" w:type="dxa"/>
            <w:right w:w="108" w:type="dxa"/>
          </w:tblCellMar>
        </w:tblPrEx>
        <w:trPr>
          <w:trHeight w:val="412" w:hRule="atLeast"/>
        </w:trPr>
        <w:tc>
          <w:tcPr>
            <w:tcW w:w="958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7F7F7F"/>
                <w:sz w:val="16"/>
                <w:szCs w:val="16"/>
              </w:rPr>
            </w:pPr>
            <w:r>
              <w:rPr>
                <w:rFonts w:hint="eastAsia" w:ascii="微软雅黑" w:hAnsi="微软雅黑" w:eastAsia="微软雅黑"/>
                <w:b/>
                <w:bCs/>
                <w:color w:val="7F7F7F"/>
                <w:sz w:val="16"/>
                <w:szCs w:val="16"/>
              </w:rPr>
              <w:t>绩效指标</w:t>
            </w:r>
          </w:p>
        </w:tc>
      </w:tr>
      <w:tr>
        <w:tblPrEx>
          <w:tblCellMar>
            <w:top w:w="0" w:type="dxa"/>
            <w:left w:w="108" w:type="dxa"/>
            <w:bottom w:w="0" w:type="dxa"/>
            <w:right w:w="108" w:type="dxa"/>
          </w:tblCellMar>
        </w:tblPrEx>
        <w:trPr>
          <w:trHeight w:val="79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指标名称</w:t>
            </w:r>
          </w:p>
        </w:tc>
        <w:tc>
          <w:tcPr>
            <w:tcW w:w="583"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计量单位</w:t>
            </w:r>
          </w:p>
        </w:tc>
        <w:tc>
          <w:tcPr>
            <w:tcW w:w="674"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指标性质</w:t>
            </w:r>
          </w:p>
        </w:tc>
        <w:tc>
          <w:tcPr>
            <w:tcW w:w="820"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指标值</w:t>
            </w:r>
          </w:p>
        </w:tc>
        <w:tc>
          <w:tcPr>
            <w:tcW w:w="2316"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全年完成值</w:t>
            </w:r>
          </w:p>
        </w:tc>
        <w:tc>
          <w:tcPr>
            <w:tcW w:w="985"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得分系数（%）</w:t>
            </w:r>
          </w:p>
        </w:tc>
        <w:tc>
          <w:tcPr>
            <w:tcW w:w="548"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指标权重</w:t>
            </w:r>
          </w:p>
        </w:tc>
        <w:tc>
          <w:tcPr>
            <w:tcW w:w="598"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指标得分</w:t>
            </w:r>
          </w:p>
        </w:tc>
        <w:tc>
          <w:tcPr>
            <w:tcW w:w="668"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是否核心指标</w:t>
            </w:r>
          </w:p>
        </w:tc>
        <w:tc>
          <w:tcPr>
            <w:tcW w:w="796"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说明</w:t>
            </w:r>
          </w:p>
        </w:tc>
        <w:tc>
          <w:tcPr>
            <w:tcW w:w="893" w:type="dxa"/>
            <w:tcBorders>
              <w:top w:val="nil"/>
              <w:left w:val="nil"/>
              <w:bottom w:val="single" w:color="auto" w:sz="4" w:space="0"/>
              <w:right w:val="single" w:color="auto" w:sz="4" w:space="0"/>
            </w:tcBorders>
            <w:shd w:val="clear" w:color="auto" w:fill="auto"/>
            <w:vAlign w:val="center"/>
          </w:tcPr>
          <w:p>
            <w:pPr>
              <w:jc w:val="center"/>
              <w:rPr>
                <w:b/>
                <w:bCs/>
                <w:color w:val="000000"/>
                <w:sz w:val="16"/>
                <w:szCs w:val="16"/>
              </w:rPr>
            </w:pPr>
            <w:r>
              <w:rPr>
                <w:rFonts w:hint="eastAsia"/>
                <w:b/>
                <w:bCs/>
                <w:color w:val="000000"/>
                <w:sz w:val="16"/>
                <w:szCs w:val="16"/>
              </w:rPr>
              <w:t>市财政局建议</w:t>
            </w:r>
          </w:p>
        </w:tc>
      </w:tr>
      <w:tr>
        <w:tblPrEx>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涉及村个数</w:t>
            </w:r>
          </w:p>
        </w:tc>
        <w:tc>
          <w:tcPr>
            <w:tcW w:w="58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个</w:t>
            </w:r>
          </w:p>
        </w:tc>
        <w:tc>
          <w:tcPr>
            <w:tcW w:w="674"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820"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3</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3</w:t>
            </w:r>
          </w:p>
        </w:tc>
        <w:tc>
          <w:tcPr>
            <w:tcW w:w="985"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54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59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66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88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资金支付及时性</w:t>
            </w:r>
          </w:p>
        </w:tc>
        <w:tc>
          <w:tcPr>
            <w:tcW w:w="58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674"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820"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985"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54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59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66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64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保护生态环境</w:t>
            </w:r>
          </w:p>
        </w:tc>
        <w:tc>
          <w:tcPr>
            <w:tcW w:w="58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674"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820"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985"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54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59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66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8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服务对象满意度</w:t>
            </w:r>
          </w:p>
        </w:tc>
        <w:tc>
          <w:tcPr>
            <w:tcW w:w="58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674"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820"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90</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90</w:t>
            </w:r>
          </w:p>
        </w:tc>
        <w:tc>
          <w:tcPr>
            <w:tcW w:w="985"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54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w:t>
            </w:r>
          </w:p>
        </w:tc>
        <w:tc>
          <w:tcPr>
            <w:tcW w:w="59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w:t>
            </w:r>
          </w:p>
        </w:tc>
        <w:tc>
          <w:tcPr>
            <w:tcW w:w="66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r>
        <w:tblPrEx>
          <w:tblCellMar>
            <w:top w:w="0" w:type="dxa"/>
            <w:left w:w="108" w:type="dxa"/>
            <w:bottom w:w="0" w:type="dxa"/>
            <w:right w:w="108" w:type="dxa"/>
          </w:tblCellMar>
        </w:tblPrEx>
        <w:trPr>
          <w:trHeight w:val="499"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补助金额</w:t>
            </w:r>
          </w:p>
        </w:tc>
        <w:tc>
          <w:tcPr>
            <w:tcW w:w="58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元</w:t>
            </w:r>
          </w:p>
        </w:tc>
        <w:tc>
          <w:tcPr>
            <w:tcW w:w="674"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w:t>
            </w:r>
          </w:p>
        </w:tc>
        <w:tc>
          <w:tcPr>
            <w:tcW w:w="820"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634876</w:t>
            </w:r>
          </w:p>
        </w:tc>
        <w:tc>
          <w:tcPr>
            <w:tcW w:w="2316"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634876</w:t>
            </w:r>
          </w:p>
        </w:tc>
        <w:tc>
          <w:tcPr>
            <w:tcW w:w="985"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100</w:t>
            </w:r>
          </w:p>
        </w:tc>
        <w:tc>
          <w:tcPr>
            <w:tcW w:w="54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598" w:type="dxa"/>
            <w:tcBorders>
              <w:top w:val="nil"/>
              <w:left w:val="nil"/>
              <w:bottom w:val="single" w:color="auto" w:sz="4" w:space="0"/>
              <w:right w:val="single" w:color="auto" w:sz="4" w:space="0"/>
            </w:tcBorders>
            <w:shd w:val="clear" w:color="auto" w:fill="auto"/>
            <w:vAlign w:val="center"/>
          </w:tcPr>
          <w:p>
            <w:pPr>
              <w:jc w:val="right"/>
              <w:rPr>
                <w:color w:val="000000"/>
                <w:sz w:val="16"/>
                <w:szCs w:val="16"/>
              </w:rPr>
            </w:pPr>
            <w:r>
              <w:rPr>
                <w:rFonts w:hint="eastAsia"/>
                <w:color w:val="000000"/>
                <w:sz w:val="16"/>
                <w:szCs w:val="16"/>
              </w:rPr>
              <w:t>20</w:t>
            </w:r>
          </w:p>
        </w:tc>
        <w:tc>
          <w:tcPr>
            <w:tcW w:w="668"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796"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c>
          <w:tcPr>
            <w:tcW w:w="893" w:type="dxa"/>
            <w:tcBorders>
              <w:top w:val="nil"/>
              <w:left w:val="nil"/>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　</w:t>
            </w:r>
          </w:p>
        </w:tc>
      </w:tr>
    </w:tbl>
    <w:p>
      <w:pPr>
        <w:pStyle w:val="30"/>
        <w:shd w:val="clear" w:color="auto" w:fill="FFFFFF"/>
        <w:spacing w:before="0" w:beforeAutospacing="0" w:after="0" w:afterAutospacing="0" w:line="500" w:lineRule="exact"/>
        <w:ind w:firstLine="643" w:firstLineChars="200"/>
        <w:jc w:val="both"/>
        <w:rPr>
          <w:rStyle w:val="35"/>
          <w:rFonts w:ascii="方正仿宋_GBK" w:hAnsi="宋体" w:eastAsia="方正仿宋_GBK"/>
          <w:sz w:val="32"/>
          <w:szCs w:val="32"/>
          <w:shd w:val="clear" w:color="auto" w:fill="FFFFFF"/>
        </w:rPr>
      </w:pPr>
    </w:p>
    <w:p>
      <w:pPr>
        <w:pStyle w:val="30"/>
        <w:shd w:val="clear" w:color="auto" w:fill="FFFFFF"/>
        <w:spacing w:before="0" w:beforeAutospacing="0" w:after="0" w:afterAutospacing="0" w:line="500" w:lineRule="exact"/>
        <w:ind w:firstLine="643" w:firstLineChars="200"/>
        <w:jc w:val="both"/>
        <w:rPr>
          <w:rStyle w:val="35"/>
          <w:rFonts w:ascii="方正仿宋_GBK" w:hAnsi="宋体" w:eastAsia="方正仿宋_GBK"/>
          <w:sz w:val="32"/>
          <w:szCs w:val="32"/>
          <w:shd w:val="clear" w:color="auto" w:fill="FFFFFF"/>
        </w:rPr>
      </w:pPr>
      <w:r>
        <w:rPr>
          <w:rStyle w:val="35"/>
          <w:rFonts w:hint="eastAsia" w:ascii="方正仿宋_GBK" w:hAnsi="宋体" w:eastAsia="方正仿宋_GBK"/>
          <w:sz w:val="32"/>
          <w:szCs w:val="32"/>
          <w:shd w:val="clear" w:color="auto" w:fill="FFFFFF"/>
        </w:rPr>
        <w:t>（二）绩效自评报告或案例。</w:t>
      </w:r>
    </w:p>
    <w:p>
      <w:pPr>
        <w:pStyle w:val="30"/>
        <w:shd w:val="clear" w:color="auto" w:fill="FFFFFF"/>
        <w:spacing w:before="0" w:beforeAutospacing="0" w:after="0" w:afterAutospacing="0" w:line="500" w:lineRule="exact"/>
        <w:ind w:firstLine="640" w:firstLineChars="200"/>
        <w:jc w:val="both"/>
        <w:rPr>
          <w:rFonts w:hAnsi="Times New Roman"/>
        </w:rPr>
      </w:pPr>
      <w:r>
        <w:rPr>
          <w:rFonts w:hint="eastAsia" w:ascii="方正仿宋_GBK" w:eastAsia="方正仿宋_GBK"/>
          <w:color w:val="000000"/>
          <w:sz w:val="32"/>
          <w:szCs w:val="32"/>
          <w:shd w:val="clear" w:color="auto" w:fill="FFFFFF"/>
        </w:rPr>
        <w:t>我单位未委托第三方开展绩效自评。</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（三）关于绩效自评结果的说明。</w:t>
      </w:r>
    </w:p>
    <w:p>
      <w:pPr>
        <w:pStyle w:val="30"/>
        <w:shd w:val="clear" w:color="auto" w:fill="FFFFFF"/>
        <w:spacing w:before="0" w:beforeAutospacing="0" w:after="0" w:afterAutospacing="0" w:line="500" w:lineRule="exact"/>
        <w:ind w:firstLine="640" w:firstLineChars="200"/>
        <w:jc w:val="both"/>
        <w:rPr>
          <w:rFonts w:ascii="方正仿宋_GBK" w:hAnsi="Times New Roman" w:eastAsia="方正仿宋_GBK" w:cs="Times New Roman"/>
          <w:color w:val="000000"/>
          <w:sz w:val="32"/>
          <w:szCs w:val="32"/>
          <w:shd w:val="clear" w:color="auto" w:fill="FFFFFF"/>
        </w:rPr>
      </w:pPr>
      <w:r>
        <w:rPr>
          <w:rFonts w:hint="eastAsia" w:ascii="方正仿宋_GBK" w:eastAsia="方正仿宋_GBK"/>
          <w:color w:val="000000"/>
          <w:sz w:val="32"/>
          <w:szCs w:val="32"/>
          <w:shd w:val="clear" w:color="auto" w:fill="FFFFFF"/>
        </w:rPr>
        <w:t>我单位自评无未完成年度绩效目标。</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（四）重点绩效评价结果。</w:t>
      </w:r>
    </w:p>
    <w:p>
      <w:pPr>
        <w:pStyle w:val="30"/>
        <w:shd w:val="clear" w:color="auto" w:fill="FFFFFF"/>
        <w:spacing w:before="0" w:beforeAutospacing="0" w:after="0" w:afterAutospacing="0" w:line="500" w:lineRule="exact"/>
        <w:ind w:firstLine="640" w:firstLineChars="200"/>
        <w:jc w:val="both"/>
        <w:rPr>
          <w:rFonts w:ascii="方正仿宋_GBK" w:hAnsi="Times New Roman" w:eastAsia="方正仿宋_GBK" w:cs="Times New Roman"/>
          <w:sz w:val="32"/>
          <w:szCs w:val="32"/>
          <w:shd w:val="clear" w:color="auto" w:fill="FFFFFF"/>
        </w:rPr>
      </w:pPr>
      <w:r>
        <w:rPr>
          <w:rFonts w:hint="eastAsia" w:ascii="方正仿宋_GBK" w:eastAsia="方正仿宋_GBK"/>
          <w:color w:val="000000"/>
          <w:sz w:val="32"/>
          <w:szCs w:val="32"/>
          <w:shd w:val="clear" w:color="auto" w:fill="FFFFFF"/>
        </w:rPr>
        <w:t>本部门未开展重点绩效评价。</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六、专业名词解释</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（一）财政拨款收入</w:t>
      </w:r>
      <w:r>
        <w:rPr>
          <w:rFonts w:hint="eastAsia" w:ascii="方正仿宋_GBK" w:eastAsia="方正仿宋_GBK"/>
          <w:sz w:val="32"/>
          <w:szCs w:val="32"/>
          <w:shd w:val="clear" w:color="auto" w:fill="FFFFFF"/>
        </w:rPr>
        <w:t>：指本年度从本级财政部门取得的财政拨款，包括一般公共预算财政拨款和政府性基金预算财政拨款。</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（二）事业收入</w:t>
      </w:r>
      <w:r>
        <w:rPr>
          <w:rFonts w:hint="eastAsia" w:asci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（三）经营收入</w:t>
      </w:r>
      <w:r>
        <w:rPr>
          <w:rFonts w:hint="eastAsia" w:ascii="方正仿宋_GBK" w:eastAsia="方正仿宋_GBK"/>
          <w:sz w:val="32"/>
          <w:szCs w:val="32"/>
          <w:shd w:val="clear" w:color="auto" w:fill="FFFFFF"/>
        </w:rPr>
        <w:t>：指事业单位在专业业务活动及其辅助活动之外开展非独立核算经营活动取得的现金流入。</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（四）其他收入</w:t>
      </w:r>
      <w:r>
        <w:rPr>
          <w:rFonts w:hint="eastAsia" w:ascii="方正仿宋_GBK"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（五）使用非财政拨款结余</w:t>
      </w:r>
      <w:r>
        <w:rPr>
          <w:rFonts w:hint="eastAsia" w:ascii="方正仿宋_GBK"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（六）结余分配</w:t>
      </w:r>
      <w:r>
        <w:rPr>
          <w:rFonts w:hint="eastAsia" w:ascii="方正仿宋_GBK" w:eastAsia="方正仿宋_GBK"/>
          <w:sz w:val="32"/>
          <w:szCs w:val="32"/>
          <w:shd w:val="clear" w:color="auto" w:fill="FFFFFF"/>
        </w:rPr>
        <w:t>：指单位按照国家有关规定，缴纳所得税、提取专用基金、转入非财政拨款结余等当年结余的分配情况。</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（七）基本支出</w:t>
      </w:r>
      <w:r>
        <w:rPr>
          <w:rFonts w:hint="eastAsia" w:ascii="方正仿宋_GBK"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（八）经营支出</w:t>
      </w:r>
      <w:r>
        <w:rPr>
          <w:rFonts w:hint="eastAsia" w:ascii="方正仿宋_GBK" w:eastAsia="方正仿宋_GBK"/>
          <w:sz w:val="32"/>
          <w:szCs w:val="32"/>
          <w:shd w:val="clear" w:color="auto" w:fill="FFFFFF"/>
        </w:rPr>
        <w:t>：指事业单位在专业业务活动及其辅助活动之外开展非独立核算经营活动发生的支出。</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（九）“三公”经费</w:t>
      </w:r>
      <w:r>
        <w:rPr>
          <w:rFonts w:hint="eastAsia" w:ascii="方正仿宋_GBK" w:eastAsia="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（十）机关运行经费</w:t>
      </w:r>
      <w:r>
        <w:rPr>
          <w:rFonts w:hint="eastAsia" w:asci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（十一）工资福利支出（支出经济分类科目类级）</w:t>
      </w:r>
      <w:r>
        <w:rPr>
          <w:rFonts w:hint="eastAsia" w:ascii="方正仿宋_GBK" w:eastAsia="方正仿宋_GBK"/>
          <w:sz w:val="32"/>
          <w:szCs w:val="32"/>
          <w:shd w:val="clear" w:color="auto" w:fill="FFFFFF"/>
        </w:rPr>
        <w:t>：反映单位开支的在职职工和编制外长期聘用人员的各类劳动报酬，以及为上述人员缴纳的各项社会保险费等。</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（十二）商品和服务支出（支出经济分类科目类级）</w:t>
      </w:r>
      <w:r>
        <w:rPr>
          <w:rFonts w:hint="eastAsia" w:ascii="方正仿宋_GBK" w:eastAsia="方正仿宋_GBK"/>
          <w:sz w:val="32"/>
          <w:szCs w:val="32"/>
          <w:shd w:val="clear" w:color="auto" w:fill="FFFFFF"/>
        </w:rPr>
        <w:t>：反映单位购买商品和服务的支出（不包括用于购置固定资产的支出、战略性和应急储备支出）。</w:t>
      </w:r>
    </w:p>
    <w:p>
      <w:pPr>
        <w:pStyle w:val="30"/>
        <w:shd w:val="clear" w:color="auto" w:fill="FFFFFF"/>
        <w:spacing w:before="0" w:beforeAutospacing="0" w:after="0" w:afterAutospacing="0" w:line="500" w:lineRule="exact"/>
        <w:ind w:firstLine="630" w:firstLineChars="196"/>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（十三）其他资本性支出（支出经济分类科目类级）</w:t>
      </w:r>
      <w:r>
        <w:rPr>
          <w:rFonts w:hint="eastAsia" w:asci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0"/>
        <w:shd w:val="clear" w:color="auto" w:fill="FFFFFF"/>
        <w:spacing w:before="0" w:beforeAutospacing="0" w:after="0" w:afterAutospacing="0" w:line="500" w:lineRule="exact"/>
        <w:ind w:firstLine="643" w:firstLineChars="200"/>
        <w:rPr>
          <w:rFonts w:ascii="方正仿宋_GBK" w:eastAsia="方正仿宋_GBK"/>
          <w:sz w:val="32"/>
          <w:szCs w:val="32"/>
          <w:shd w:val="clear" w:color="auto" w:fill="FFFFFF"/>
        </w:rPr>
      </w:pPr>
      <w:r>
        <w:rPr>
          <w:rStyle w:val="35"/>
          <w:rFonts w:hint="eastAsia" w:ascii="方正仿宋_GBK" w:hAnsi="宋体" w:eastAsia="方正仿宋_GBK"/>
          <w:sz w:val="32"/>
          <w:szCs w:val="32"/>
          <w:shd w:val="clear" w:color="auto" w:fill="FFFFFF"/>
        </w:rPr>
        <w:t>七、决算公开联系方式及信息反馈渠道</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本单位决算公开信息反馈和联系方式：</w:t>
      </w:r>
    </w:p>
    <w:p>
      <w:pPr>
        <w:pStyle w:val="30"/>
        <w:shd w:val="clear" w:color="auto" w:fill="FFFFFF"/>
        <w:spacing w:before="0" w:beforeAutospacing="0" w:after="0" w:afterAutospacing="0" w:line="500" w:lineRule="exact"/>
        <w:ind w:firstLine="640" w:firstLineChars="20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龙　凤　   023-74562700</w:t>
      </w:r>
    </w:p>
    <w:p>
      <w:pPr>
        <w:pStyle w:val="30"/>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附表：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收入支出决算总表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收入决算表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支出决算表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财政拨款收入支出决算总表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一般公共预算财政拨款支出决算表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一般公共预算财政拨款基本支出决算表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政府性基金预算财政拨款收入支出决算表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国有资本经营预算财政拨款支出决算表</w:t>
      </w:r>
    </w:p>
    <w:p>
      <w:pPr>
        <w:pStyle w:val="30"/>
        <w:numPr>
          <w:ilvl w:val="0"/>
          <w:numId w:val="1"/>
        </w:numPr>
        <w:shd w:val="clear" w:color="auto" w:fill="FFFFFF"/>
        <w:spacing w:before="0" w:beforeAutospacing="0" w:after="0" w:afterAutospacing="0" w:line="500" w:lineRule="exact"/>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机构运行信息表</w:t>
      </w:r>
    </w:p>
    <w:tbl>
      <w:tblPr>
        <w:tblStyle w:val="15"/>
        <w:tblW w:w="10313" w:type="dxa"/>
        <w:tblInd w:w="-1133" w:type="dxa"/>
        <w:tblLayout w:type="fixed"/>
        <w:tblCellMar>
          <w:top w:w="0" w:type="dxa"/>
          <w:left w:w="108" w:type="dxa"/>
          <w:bottom w:w="0" w:type="dxa"/>
          <w:right w:w="108" w:type="dxa"/>
        </w:tblCellMar>
      </w:tblPr>
      <w:tblGrid>
        <w:gridCol w:w="3793"/>
        <w:gridCol w:w="366"/>
        <w:gridCol w:w="910"/>
        <w:gridCol w:w="3685"/>
        <w:gridCol w:w="402"/>
        <w:gridCol w:w="1157"/>
      </w:tblGrid>
      <w:tr>
        <w:tblPrEx>
          <w:tblCellMar>
            <w:top w:w="0" w:type="dxa"/>
            <w:left w:w="108" w:type="dxa"/>
            <w:bottom w:w="0" w:type="dxa"/>
            <w:right w:w="108" w:type="dxa"/>
          </w:tblCellMar>
        </w:tblPrEx>
        <w:trPr>
          <w:trHeight w:val="540" w:hRule="atLeast"/>
        </w:trPr>
        <w:tc>
          <w:tcPr>
            <w:tcW w:w="10313" w:type="dxa"/>
            <w:gridSpan w:val="6"/>
            <w:tcBorders>
              <w:top w:val="nil"/>
              <w:left w:val="nil"/>
              <w:bottom w:val="nil"/>
              <w:right w:val="nil"/>
            </w:tcBorders>
            <w:shd w:val="clear" w:color="auto" w:fill="auto"/>
            <w:noWrap/>
            <w:vAlign w:val="bottom"/>
          </w:tcPr>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pStyle w:val="2"/>
              <w:rPr>
                <w:rFonts w:hint="default"/>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p>
          <w:p>
            <w:pPr>
              <w:jc w:val="center"/>
              <w:rPr>
                <w:rFonts w:cs="Arial"/>
                <w:color w:val="000000"/>
                <w:sz w:val="18"/>
                <w:szCs w:val="18"/>
              </w:rPr>
            </w:pPr>
            <w:r>
              <w:rPr>
                <w:rFonts w:hint="eastAsia" w:cs="Arial"/>
                <w:color w:val="000000"/>
                <w:sz w:val="18"/>
                <w:szCs w:val="18"/>
              </w:rPr>
              <w:t>收入支出决算总表</w:t>
            </w:r>
          </w:p>
        </w:tc>
      </w:tr>
      <w:tr>
        <w:tblPrEx>
          <w:tblCellMar>
            <w:top w:w="0" w:type="dxa"/>
            <w:left w:w="108" w:type="dxa"/>
            <w:bottom w:w="0" w:type="dxa"/>
            <w:right w:w="108" w:type="dxa"/>
          </w:tblCellMar>
        </w:tblPrEx>
        <w:trPr>
          <w:trHeight w:val="300" w:hRule="atLeast"/>
        </w:trPr>
        <w:tc>
          <w:tcPr>
            <w:tcW w:w="415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91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408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57"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公开01表</w:t>
            </w:r>
          </w:p>
        </w:tc>
      </w:tr>
      <w:tr>
        <w:tblPrEx>
          <w:tblCellMar>
            <w:top w:w="0" w:type="dxa"/>
            <w:left w:w="108" w:type="dxa"/>
            <w:bottom w:w="0" w:type="dxa"/>
            <w:right w:w="108" w:type="dxa"/>
          </w:tblCellMar>
        </w:tblPrEx>
        <w:trPr>
          <w:trHeight w:val="300" w:hRule="atLeast"/>
        </w:trPr>
        <w:tc>
          <w:tcPr>
            <w:tcW w:w="5069" w:type="dxa"/>
            <w:gridSpan w:val="3"/>
            <w:tcBorders>
              <w:top w:val="nil"/>
              <w:left w:val="nil"/>
              <w:bottom w:val="nil"/>
              <w:right w:val="nil"/>
            </w:tcBorders>
            <w:shd w:val="clear" w:color="auto" w:fill="auto"/>
            <w:noWrap/>
            <w:vAlign w:val="bottom"/>
          </w:tcPr>
          <w:p>
            <w:pPr>
              <w:rPr>
                <w:rFonts w:cs="Arial"/>
                <w:color w:val="000000"/>
                <w:sz w:val="18"/>
                <w:szCs w:val="18"/>
              </w:rPr>
            </w:pPr>
            <w:r>
              <w:rPr>
                <w:rFonts w:hint="eastAsia" w:cs="Arial"/>
                <w:color w:val="000000"/>
                <w:sz w:val="18"/>
                <w:szCs w:val="18"/>
              </w:rPr>
              <w:t>公开部门： 垫江县五洞镇人民政府</w:t>
            </w:r>
          </w:p>
        </w:tc>
        <w:tc>
          <w:tcPr>
            <w:tcW w:w="408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57"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506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收入</w:t>
            </w:r>
          </w:p>
        </w:tc>
        <w:tc>
          <w:tcPr>
            <w:tcW w:w="5244" w:type="dxa"/>
            <w:gridSpan w:val="3"/>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支出</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项目</w:t>
            </w:r>
          </w:p>
        </w:tc>
        <w:tc>
          <w:tcPr>
            <w:tcW w:w="1276" w:type="dxa"/>
            <w:gridSpan w:val="2"/>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决算数</w:t>
            </w:r>
          </w:p>
        </w:tc>
        <w:tc>
          <w:tcPr>
            <w:tcW w:w="3685" w:type="dxa"/>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功能分类科目</w:t>
            </w:r>
          </w:p>
        </w:tc>
        <w:tc>
          <w:tcPr>
            <w:tcW w:w="1559" w:type="dxa"/>
            <w:gridSpan w:val="2"/>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决算数</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一、一般公共预算财政拨款收入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2,575.58</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一、一般公共服务支出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783.22</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二、政府性基金预算财政拨款收入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二、外交支出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三、国有资本经营预算财政拨款收入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三、国防支出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四、上级补助收入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四、公共安全支出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五、事业收入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五、教育支出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六、经营收入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六、科学技术支出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七、附属单位上缴收入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七、文化旅游体育与传媒支出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94.25</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八、其他收入</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八、社会保障和就业支出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393.52</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九、卫生健康支出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78.92</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十、节能环保支出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十一、城乡社区支出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142.91</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十二、农林水支出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894.73</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十三、交通运输支出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十四、资源勘探工业信息等支出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十五、商业服务业等支出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十六、金融支出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十七、援助其他地区支出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十八、自然资源海洋气象等支出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十九、住房保障支出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二十、粮油物资储备支出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二十一、国有资本经营预算支出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二十二、灾害防治及应急管理支出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4.35</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二十三、其他支出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二十四、债务还本支出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二十五、债务付息支出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二十六、抗疫特别国债安排的支出</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本年收入合计</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2,595.86</w:t>
            </w:r>
          </w:p>
        </w:tc>
        <w:tc>
          <w:tcPr>
            <w:tcW w:w="3685" w:type="dxa"/>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本年支出合计</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使用非财政拨款结余</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结余分配</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年初结转和结余</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59.02</w:t>
            </w:r>
          </w:p>
        </w:tc>
        <w:tc>
          <w:tcPr>
            <w:tcW w:w="3685"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年末结转和结余</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3793"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总计</w:t>
            </w:r>
          </w:p>
        </w:tc>
        <w:tc>
          <w:tcPr>
            <w:tcW w:w="12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c>
          <w:tcPr>
            <w:tcW w:w="3685" w:type="dxa"/>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总计</w:t>
            </w:r>
          </w:p>
        </w:tc>
        <w:tc>
          <w:tcPr>
            <w:tcW w:w="1559"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r>
      <w:tr>
        <w:tblPrEx>
          <w:tblCellMar>
            <w:top w:w="0" w:type="dxa"/>
            <w:left w:w="108" w:type="dxa"/>
            <w:bottom w:w="0" w:type="dxa"/>
            <w:right w:w="108" w:type="dxa"/>
          </w:tblCellMar>
        </w:tblPrEx>
        <w:trPr>
          <w:trHeight w:val="308" w:hRule="atLeast"/>
        </w:trPr>
        <w:tc>
          <w:tcPr>
            <w:tcW w:w="10313" w:type="dxa"/>
            <w:gridSpan w:val="6"/>
            <w:tcBorders>
              <w:top w:val="nil"/>
              <w:left w:val="nil"/>
              <w:bottom w:val="nil"/>
              <w:right w:val="nil"/>
            </w:tcBorders>
            <w:shd w:val="clear" w:color="auto" w:fill="auto"/>
            <w:noWrap/>
            <w:vAlign w:val="center"/>
          </w:tcPr>
          <w:p>
            <w:pPr>
              <w:rPr>
                <w:rFonts w:cs="Arial"/>
                <w:color w:val="000000"/>
                <w:sz w:val="18"/>
                <w:szCs w:val="18"/>
              </w:rPr>
            </w:pPr>
            <w:r>
              <w:rPr>
                <w:rFonts w:hint="eastAsia" w:cs="Arial"/>
                <w:color w:val="000000"/>
                <w:sz w:val="18"/>
                <w:szCs w:val="18"/>
              </w:rPr>
              <w:t>备注：本表反映部门本年度的总收支和年末结转结余等情况。</w:t>
            </w:r>
          </w:p>
        </w:tc>
      </w:tr>
    </w:tbl>
    <w:p>
      <w:pPr>
        <w:rPr>
          <w:rFonts w:cs="Arial"/>
          <w:color w:val="000000"/>
          <w:sz w:val="18"/>
          <w:szCs w:val="18"/>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pPr w:leftFromText="180" w:rightFromText="180" w:horzAnchor="margin" w:tblpXSpec="center" w:tblpY="238"/>
        <w:tblW w:w="10260" w:type="dxa"/>
        <w:tblInd w:w="0" w:type="dxa"/>
        <w:tblLayout w:type="fixed"/>
        <w:tblCellMar>
          <w:top w:w="0" w:type="dxa"/>
          <w:left w:w="108" w:type="dxa"/>
          <w:bottom w:w="0" w:type="dxa"/>
          <w:right w:w="108" w:type="dxa"/>
        </w:tblCellMar>
      </w:tblPr>
      <w:tblGrid>
        <w:gridCol w:w="432"/>
        <w:gridCol w:w="390"/>
        <w:gridCol w:w="164"/>
        <w:gridCol w:w="169"/>
        <w:gridCol w:w="62"/>
        <w:gridCol w:w="2293"/>
        <w:gridCol w:w="1134"/>
        <w:gridCol w:w="1096"/>
        <w:gridCol w:w="747"/>
        <w:gridCol w:w="709"/>
        <w:gridCol w:w="850"/>
        <w:gridCol w:w="709"/>
        <w:gridCol w:w="221"/>
        <w:gridCol w:w="236"/>
        <w:gridCol w:w="236"/>
        <w:gridCol w:w="236"/>
        <w:gridCol w:w="576"/>
      </w:tblGrid>
      <w:tr>
        <w:tblPrEx>
          <w:tblCellMar>
            <w:top w:w="0" w:type="dxa"/>
            <w:left w:w="108" w:type="dxa"/>
            <w:bottom w:w="0" w:type="dxa"/>
            <w:right w:w="108" w:type="dxa"/>
          </w:tblCellMar>
        </w:tblPrEx>
        <w:trPr>
          <w:trHeight w:val="540" w:hRule="atLeast"/>
        </w:trPr>
        <w:tc>
          <w:tcPr>
            <w:tcW w:w="10260" w:type="dxa"/>
            <w:gridSpan w:val="17"/>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收入决算表</w:t>
            </w:r>
          </w:p>
        </w:tc>
      </w:tr>
      <w:tr>
        <w:tblPrEx>
          <w:tblCellMar>
            <w:top w:w="0" w:type="dxa"/>
            <w:left w:w="108" w:type="dxa"/>
            <w:bottom w:w="0" w:type="dxa"/>
            <w:right w:w="108" w:type="dxa"/>
          </w:tblCellMar>
        </w:tblPrEx>
        <w:trPr>
          <w:trHeight w:val="300" w:hRule="atLeast"/>
        </w:trPr>
        <w:tc>
          <w:tcPr>
            <w:tcW w:w="43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9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33"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55"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89"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57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公开02表</w:t>
            </w:r>
          </w:p>
        </w:tc>
      </w:tr>
      <w:tr>
        <w:tblPrEx>
          <w:tblCellMar>
            <w:top w:w="0" w:type="dxa"/>
            <w:left w:w="108" w:type="dxa"/>
            <w:bottom w:w="0" w:type="dxa"/>
            <w:right w:w="108" w:type="dxa"/>
          </w:tblCellMar>
        </w:tblPrEx>
        <w:trPr>
          <w:trHeight w:val="300" w:hRule="atLeast"/>
        </w:trPr>
        <w:tc>
          <w:tcPr>
            <w:tcW w:w="3510" w:type="dxa"/>
            <w:gridSpan w:val="6"/>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 垫江县五洞镇人民政府</w:t>
            </w:r>
          </w:p>
        </w:tc>
        <w:tc>
          <w:tcPr>
            <w:tcW w:w="11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47"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489"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57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3510"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项目</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本年收入合计</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财政拨款收入</w:t>
            </w:r>
          </w:p>
        </w:tc>
        <w:tc>
          <w:tcPr>
            <w:tcW w:w="747"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上级补助收入</w:t>
            </w:r>
          </w:p>
        </w:tc>
        <w:tc>
          <w:tcPr>
            <w:tcW w:w="1559" w:type="dxa"/>
            <w:gridSpan w:val="2"/>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事业收入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经营收入</w:t>
            </w:r>
          </w:p>
        </w:tc>
        <w:tc>
          <w:tcPr>
            <w:tcW w:w="693"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附属单位上缴收入</w:t>
            </w:r>
          </w:p>
        </w:tc>
        <w:tc>
          <w:tcPr>
            <w:tcW w:w="812" w:type="dxa"/>
            <w:gridSpan w:val="2"/>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其他收入</w:t>
            </w:r>
          </w:p>
        </w:tc>
      </w:tr>
      <w:tr>
        <w:tblPrEx>
          <w:tblCellMar>
            <w:top w:w="0" w:type="dxa"/>
            <w:left w:w="108" w:type="dxa"/>
            <w:bottom w:w="0" w:type="dxa"/>
            <w:right w:w="108" w:type="dxa"/>
          </w:tblCellMar>
        </w:tblPrEx>
        <w:trPr>
          <w:trHeight w:val="308" w:hRule="atLeast"/>
        </w:trPr>
        <w:tc>
          <w:tcPr>
            <w:tcW w:w="1217" w:type="dxa"/>
            <w:gridSpan w:val="5"/>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功能分类科目编码</w:t>
            </w:r>
          </w:p>
        </w:tc>
        <w:tc>
          <w:tcPr>
            <w:tcW w:w="2293" w:type="dxa"/>
            <w:vMerge w:val="restar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项目（按“项”级功能分类科目）</w:t>
            </w: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47"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小计</w:t>
            </w:r>
          </w:p>
        </w:tc>
        <w:tc>
          <w:tcPr>
            <w:tcW w:w="850"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其中：教育收费</w:t>
            </w: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3" w:type="dxa"/>
            <w:gridSpan w:val="3"/>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1217" w:type="dxa"/>
            <w:gridSpan w:val="5"/>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2293"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47"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850"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3" w:type="dxa"/>
            <w:gridSpan w:val="3"/>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570" w:hRule="atLeast"/>
        </w:trPr>
        <w:tc>
          <w:tcPr>
            <w:tcW w:w="1217" w:type="dxa"/>
            <w:gridSpan w:val="5"/>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2293"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47"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850"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3" w:type="dxa"/>
            <w:gridSpan w:val="3"/>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812" w:type="dxa"/>
            <w:gridSpan w:val="2"/>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3510" w:type="dxa"/>
            <w:gridSpan w:val="6"/>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color w:val="000000"/>
                <w:sz w:val="18"/>
                <w:szCs w:val="18"/>
              </w:rPr>
            </w:pPr>
            <w:r>
              <w:rPr>
                <w:rFonts w:hint="eastAsia" w:cs="Arial"/>
                <w:color w:val="000000"/>
                <w:sz w:val="18"/>
                <w:szCs w:val="18"/>
              </w:rPr>
              <w:t>合计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2,595.86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2,595.86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一般公共服务支出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737.81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737.81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人大事务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2010104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人大会议</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政府办公厅（室）及相关机构事务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725.02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725.02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580.20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580.20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139.23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139.23</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信访事务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20113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商贸事务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2.87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2.87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2011308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招商引资</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2.87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2.87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20132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组织事务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2013202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2049999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文化旅游体育与传媒支出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文化和旅游</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2070109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群众文化</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其他文化和旅游支出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393.52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393.52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人力资源和社会保障管理事务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2080150</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行政事业单位养老支出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211.82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211.82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行政单位离退休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机关事业单位基本养老保险缴费支出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2080506</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机关事业单位职业年金缴费支出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其他行政事业单位养老支出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20810</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社会福利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2081006</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养老服务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残疾人事业</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残疾人康复</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残疾人就业</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最低生活保障</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2081902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农村最低生活保障金支出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其他生活救助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2082502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其他农村生活救助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退役军人管理事务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50.51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50.51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2082850</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其他退役军人事务管理支出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2089999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卫生健康支出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78.91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78.91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基本公共卫生服务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2100410</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突发公共卫生事件应急处理</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其他公共卫生支出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21007</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计划生育事务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2100799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其他计划生育事务支出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医疗保障管理事务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2101502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138.69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138.69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2120104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城管执法</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城乡社区公共设施</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1.94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1.94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2120303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小城镇基础设施建设</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1.94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1.94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城乡社区环境卫生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2120501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城乡社区环境卫生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国有土地使用权出让收入安排的支出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农村基础设施建设支出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其他国有土地使用权出让收入安排的支出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农林水支出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885.35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885.35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农业农村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219.95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219.95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2130106</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科技转化与推广服务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2130108</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病虫害控制</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2130122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农业生产发展</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2130135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农业资源保护修复与利用</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73.31</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林业和草原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森林资源培育</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2130207</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森林资源管理</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2130234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林业草原防灾减灾</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21303</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水利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2130315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抗旱</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巩固脱贫衔接乡村振兴</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2130599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其他巩固脱贫衔接乡村振兴支出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21307</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农村综合改革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对村级公益事业建设的补助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2130705</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对村民委员会和村党支部的补助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交通运输支出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21406</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车辆购置税支出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2140601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车辆购置税用于公路等基础设施建设支出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住房保障支出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住房改革支出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2210201</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住房公积金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灾害防治及应急管理支出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22402</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消防救援事务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2240204</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消防应急救援</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22407</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自然灾害救灾及恢复重建支出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2240799</w:t>
            </w:r>
          </w:p>
        </w:tc>
        <w:tc>
          <w:tcPr>
            <w:tcW w:w="2524" w:type="dxa"/>
            <w:gridSpan w:val="3"/>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其他自然灾害救灾及恢复重建支出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47"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3"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12"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55" w:hRule="atLeast"/>
        </w:trPr>
        <w:tc>
          <w:tcPr>
            <w:tcW w:w="10260" w:type="dxa"/>
            <w:gridSpan w:val="17"/>
            <w:tcBorders>
              <w:top w:val="nil"/>
              <w:left w:val="nil"/>
              <w:bottom w:val="nil"/>
              <w:right w:val="nil"/>
            </w:tcBorders>
            <w:shd w:val="clear" w:color="auto" w:fill="auto"/>
            <w:noWrap/>
            <w:vAlign w:val="center"/>
          </w:tcPr>
          <w:p>
            <w:pPr>
              <w:rPr>
                <w:rFonts w:cs="Arial"/>
                <w:sz w:val="18"/>
                <w:szCs w:val="18"/>
              </w:rPr>
            </w:pPr>
            <w:r>
              <w:rPr>
                <w:rFonts w:hint="eastAsia" w:cs="Arial"/>
                <w:sz w:val="18"/>
                <w:szCs w:val="18"/>
              </w:rPr>
              <w:t>备注：本表反映部门本年度取得的各项收入情况。</w:t>
            </w:r>
          </w:p>
        </w:tc>
      </w:tr>
    </w:tbl>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W w:w="9932" w:type="dxa"/>
        <w:tblInd w:w="-808" w:type="dxa"/>
        <w:tblLayout w:type="fixed"/>
        <w:tblCellMar>
          <w:top w:w="0" w:type="dxa"/>
          <w:left w:w="108" w:type="dxa"/>
          <w:bottom w:w="0" w:type="dxa"/>
          <w:right w:w="108" w:type="dxa"/>
        </w:tblCellMar>
      </w:tblPr>
      <w:tblGrid>
        <w:gridCol w:w="402"/>
        <w:gridCol w:w="312"/>
        <w:gridCol w:w="272"/>
        <w:gridCol w:w="3430"/>
        <w:gridCol w:w="1134"/>
        <w:gridCol w:w="1096"/>
        <w:gridCol w:w="1096"/>
        <w:gridCol w:w="785"/>
        <w:gridCol w:w="709"/>
        <w:gridCol w:w="696"/>
      </w:tblGrid>
      <w:tr>
        <w:tblPrEx>
          <w:tblCellMar>
            <w:top w:w="0" w:type="dxa"/>
            <w:left w:w="108" w:type="dxa"/>
            <w:bottom w:w="0" w:type="dxa"/>
            <w:right w:w="108" w:type="dxa"/>
          </w:tblCellMar>
        </w:tblPrEx>
        <w:trPr>
          <w:trHeight w:val="540" w:hRule="atLeast"/>
        </w:trPr>
        <w:tc>
          <w:tcPr>
            <w:tcW w:w="9932" w:type="dxa"/>
            <w:gridSpan w:val="10"/>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支出决算表</w:t>
            </w:r>
          </w:p>
        </w:tc>
      </w:tr>
      <w:tr>
        <w:tblPrEx>
          <w:tblCellMar>
            <w:top w:w="0" w:type="dxa"/>
            <w:left w:w="108" w:type="dxa"/>
            <w:bottom w:w="0" w:type="dxa"/>
            <w:right w:w="108" w:type="dxa"/>
          </w:tblCellMar>
        </w:tblPrEx>
        <w:trPr>
          <w:trHeight w:val="300" w:hRule="atLeast"/>
        </w:trPr>
        <w:tc>
          <w:tcPr>
            <w:tcW w:w="40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1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7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43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0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9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公开03表</w:t>
            </w:r>
          </w:p>
        </w:tc>
      </w:tr>
      <w:tr>
        <w:tblPrEx>
          <w:tblCellMar>
            <w:top w:w="0" w:type="dxa"/>
            <w:left w:w="108" w:type="dxa"/>
            <w:bottom w:w="0" w:type="dxa"/>
            <w:right w:w="108" w:type="dxa"/>
          </w:tblCellMar>
        </w:tblPrEx>
        <w:trPr>
          <w:trHeight w:val="300" w:hRule="atLeast"/>
        </w:trPr>
        <w:tc>
          <w:tcPr>
            <w:tcW w:w="4416" w:type="dxa"/>
            <w:gridSpan w:val="4"/>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1134"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8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0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9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441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项目</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本年支出合计</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基本支出</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项目支出</w:t>
            </w:r>
          </w:p>
        </w:tc>
        <w:tc>
          <w:tcPr>
            <w:tcW w:w="785"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上缴上级支出</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经营支出</w:t>
            </w:r>
          </w:p>
        </w:tc>
        <w:tc>
          <w:tcPr>
            <w:tcW w:w="696"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对附属单位补助支出</w:t>
            </w:r>
          </w:p>
        </w:tc>
      </w:tr>
      <w:tr>
        <w:tblPrEx>
          <w:tblCellMar>
            <w:top w:w="0" w:type="dxa"/>
            <w:left w:w="108" w:type="dxa"/>
            <w:bottom w:w="0" w:type="dxa"/>
            <w:right w:w="108" w:type="dxa"/>
          </w:tblCellMar>
        </w:tblPrEx>
        <w:trPr>
          <w:trHeight w:val="308"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功能分类科目编码</w:t>
            </w:r>
          </w:p>
        </w:tc>
        <w:tc>
          <w:tcPr>
            <w:tcW w:w="3430" w:type="dxa"/>
            <w:vMerge w:val="restart"/>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项目（按“项”级功能分类科目）</w:t>
            </w: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85"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3430"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85"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3430"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10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85"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0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696"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4416" w:type="dxa"/>
            <w:gridSpan w:val="4"/>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合计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1,414.64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1,240.24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一般公共服务支出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783.22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620.03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163.19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人大事务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2010104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人大会议</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政府办公厅（室）及相关机构事务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768.22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620.03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148.19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620.03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620.03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142.60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142.60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信访事务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20113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商贸事务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5.08</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2011308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招商引资</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20132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组织事务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2013202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2049999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其他公共安全支出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文化旅游体育与传媒支出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文化和旅游</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2070109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群众文化</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其他文化和旅游支出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393.52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355.58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37.94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人力资源和社会保障管理事务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2080150</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行政事业单位养老支出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211.82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209.77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行政单位离退休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机关事业单位基本养老保险缴费支出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2080506</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机关事业单位职业年金缴费支出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其他行政事业单位养老支出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20810</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社会福利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2081006</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养老服务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残疾人事业</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残疾人康复</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残疾人就业</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最低生活保障</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2081902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农村最低生活保障金支出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其他生活救助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2082502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其他农村生活救助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退役军人管理事务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50.51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46.59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2082850</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其他退役军人事务管理支出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2089999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卫生健康支出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78.91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25.75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基本公共卫生服务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2100410</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突发公共卫生事件应急处理</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其他公共卫生支出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21007</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计划生育事务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2100799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其他计划生育事务支出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事业单位医疗</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医疗保障管理事务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2101502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142.92</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城乡社区管理事务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2120104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城管执法</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城乡社区公共设施</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6.17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6.17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2120303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小城镇基础设施建设</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6.17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6.17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城乡社区环境卫生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2120501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城乡社区环境卫生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国有土地使用权出让收入安排的支出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农村基础设施建设支出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其他国有土地使用权出让收入安排的支出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农林水支出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894.74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125.96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768.78</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农业农村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229.34</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125.96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103.38</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2130106</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科技转化与推广服务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2130108</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病虫害控制</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2130122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农业生产发展</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2130135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农业资源保护修复与利用</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82.70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82.70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林业和草原</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森林资源培育</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2130207</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森林资源管理</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2130234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林业草原防灾减灾</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21303</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水利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2130315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抗旱</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巩固脱贫衔接乡村振兴</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2130599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其他巩固脱贫衔接乡村振兴支出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21307</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农村综合改革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对村级公益事业建设的补助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2130705</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对村民委员会和村党支部的补助</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交通运输支出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21406</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车辆购置税支出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2140601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车辆购置税用于公路等基础设施建设支出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住房保障支出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住房改革支出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2210201</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住房公积金</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灾害防治及应急管理支出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22402</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消防救援事务</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2240204</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消防应急救援</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22407</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自然灾害救灾及恢复重建支出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270"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2240799</w:t>
            </w:r>
          </w:p>
        </w:tc>
        <w:tc>
          <w:tcPr>
            <w:tcW w:w="3430"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其他自然灾害救灾及恢复重建支出</w:t>
            </w:r>
          </w:p>
        </w:tc>
        <w:tc>
          <w:tcPr>
            <w:tcW w:w="1134"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0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785"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9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55" w:hRule="atLeast"/>
        </w:trPr>
        <w:tc>
          <w:tcPr>
            <w:tcW w:w="9932" w:type="dxa"/>
            <w:gridSpan w:val="10"/>
            <w:tcBorders>
              <w:top w:val="nil"/>
              <w:left w:val="nil"/>
              <w:bottom w:val="nil"/>
              <w:right w:val="nil"/>
            </w:tcBorders>
            <w:shd w:val="clear" w:color="auto" w:fill="auto"/>
            <w:noWrap/>
            <w:vAlign w:val="center"/>
          </w:tcPr>
          <w:p>
            <w:pPr>
              <w:rPr>
                <w:rFonts w:cs="Arial"/>
                <w:sz w:val="18"/>
                <w:szCs w:val="18"/>
              </w:rPr>
            </w:pPr>
            <w:r>
              <w:rPr>
                <w:rFonts w:hint="eastAsia" w:cs="Arial"/>
                <w:sz w:val="18"/>
                <w:szCs w:val="18"/>
              </w:rPr>
              <w:t>备注：本表反映部门本年度各项支出情况。</w:t>
            </w:r>
          </w:p>
        </w:tc>
      </w:tr>
    </w:tbl>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W w:w="11571" w:type="dxa"/>
        <w:tblInd w:w="-1434" w:type="dxa"/>
        <w:tblLayout w:type="fixed"/>
        <w:tblCellMar>
          <w:top w:w="0" w:type="dxa"/>
          <w:left w:w="108" w:type="dxa"/>
          <w:bottom w:w="0" w:type="dxa"/>
          <w:right w:w="108" w:type="dxa"/>
        </w:tblCellMar>
      </w:tblPr>
      <w:tblGrid>
        <w:gridCol w:w="748"/>
        <w:gridCol w:w="765"/>
        <w:gridCol w:w="13"/>
        <w:gridCol w:w="345"/>
        <w:gridCol w:w="268"/>
        <w:gridCol w:w="236"/>
        <w:gridCol w:w="443"/>
        <w:gridCol w:w="288"/>
        <w:gridCol w:w="369"/>
        <w:gridCol w:w="477"/>
        <w:gridCol w:w="250"/>
        <w:gridCol w:w="369"/>
        <w:gridCol w:w="766"/>
        <w:gridCol w:w="1236"/>
        <w:gridCol w:w="171"/>
        <w:gridCol w:w="43"/>
        <w:gridCol w:w="833"/>
        <w:gridCol w:w="31"/>
        <w:gridCol w:w="72"/>
        <w:gridCol w:w="194"/>
        <w:gridCol w:w="469"/>
        <w:gridCol w:w="355"/>
        <w:gridCol w:w="116"/>
        <w:gridCol w:w="156"/>
        <w:gridCol w:w="694"/>
        <w:gridCol w:w="258"/>
        <w:gridCol w:w="144"/>
        <w:gridCol w:w="449"/>
        <w:gridCol w:w="317"/>
        <w:gridCol w:w="23"/>
        <w:gridCol w:w="656"/>
        <w:gridCol w:w="17"/>
      </w:tblGrid>
      <w:tr>
        <w:tblPrEx>
          <w:tblCellMar>
            <w:top w:w="0" w:type="dxa"/>
            <w:left w:w="108" w:type="dxa"/>
            <w:bottom w:w="0" w:type="dxa"/>
            <w:right w:w="108" w:type="dxa"/>
          </w:tblCellMar>
        </w:tblPrEx>
        <w:trPr>
          <w:gridAfter w:val="4"/>
          <w:wAfter w:w="1013" w:type="dxa"/>
          <w:trHeight w:val="540" w:hRule="atLeast"/>
        </w:trPr>
        <w:tc>
          <w:tcPr>
            <w:tcW w:w="10558" w:type="dxa"/>
            <w:gridSpan w:val="28"/>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财政拨款收入支出决算总表</w:t>
            </w:r>
          </w:p>
        </w:tc>
      </w:tr>
      <w:tr>
        <w:tblPrEx>
          <w:tblCellMar>
            <w:top w:w="0" w:type="dxa"/>
            <w:left w:w="108" w:type="dxa"/>
            <w:bottom w:w="0" w:type="dxa"/>
            <w:right w:w="108" w:type="dxa"/>
          </w:tblCellMar>
        </w:tblPrEx>
        <w:trPr>
          <w:trHeight w:val="300" w:hRule="atLeast"/>
        </w:trPr>
        <w:tc>
          <w:tcPr>
            <w:tcW w:w="3106" w:type="dxa"/>
            <w:gridSpan w:val="8"/>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gridSpan w:val="3"/>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715" w:type="dxa"/>
            <w:gridSpan w:val="9"/>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gridSpan w:val="3"/>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96" w:type="dxa"/>
            <w:gridSpan w:val="3"/>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公开04表</w:t>
            </w:r>
          </w:p>
        </w:tc>
      </w:tr>
      <w:tr>
        <w:tblPrEx>
          <w:tblCellMar>
            <w:top w:w="0" w:type="dxa"/>
            <w:left w:w="108" w:type="dxa"/>
            <w:bottom w:w="0" w:type="dxa"/>
            <w:right w:w="108" w:type="dxa"/>
          </w:tblCellMar>
        </w:tblPrEx>
        <w:trPr>
          <w:trHeight w:val="300" w:hRule="atLeast"/>
        </w:trPr>
        <w:tc>
          <w:tcPr>
            <w:tcW w:w="7917" w:type="dxa"/>
            <w:gridSpan w:val="20"/>
            <w:tcBorders>
              <w:top w:val="nil"/>
              <w:left w:val="nil"/>
              <w:bottom w:val="nil"/>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1096"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gridSpan w:val="3"/>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96" w:type="dxa"/>
            <w:gridSpan w:val="3"/>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gridAfter w:val="4"/>
          <w:wAfter w:w="1013" w:type="dxa"/>
          <w:trHeight w:val="308" w:hRule="atLeast"/>
        </w:trPr>
        <w:tc>
          <w:tcPr>
            <w:tcW w:w="3952" w:type="dxa"/>
            <w:gridSpan w:val="10"/>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收     入</w:t>
            </w:r>
          </w:p>
        </w:tc>
        <w:tc>
          <w:tcPr>
            <w:tcW w:w="6606" w:type="dxa"/>
            <w:gridSpan w:val="18"/>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支     出</w:t>
            </w:r>
          </w:p>
        </w:tc>
      </w:tr>
      <w:tr>
        <w:tblPrEx>
          <w:tblCellMar>
            <w:top w:w="0" w:type="dxa"/>
            <w:left w:w="108" w:type="dxa"/>
            <w:bottom w:w="0" w:type="dxa"/>
            <w:right w:w="108" w:type="dxa"/>
          </w:tblCellMar>
        </w:tblPrEx>
        <w:trPr>
          <w:gridAfter w:val="4"/>
          <w:wAfter w:w="1013" w:type="dxa"/>
          <w:trHeight w:val="293" w:hRule="atLeast"/>
        </w:trPr>
        <w:tc>
          <w:tcPr>
            <w:tcW w:w="2818" w:type="dxa"/>
            <w:gridSpan w:val="7"/>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    目</w:t>
            </w:r>
          </w:p>
        </w:tc>
        <w:tc>
          <w:tcPr>
            <w:tcW w:w="1134" w:type="dxa"/>
            <w:gridSpan w:val="3"/>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决算数</w:t>
            </w:r>
          </w:p>
        </w:tc>
        <w:tc>
          <w:tcPr>
            <w:tcW w:w="2835" w:type="dxa"/>
            <w:gridSpan w:val="6"/>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w:t>
            </w:r>
          </w:p>
        </w:tc>
        <w:tc>
          <w:tcPr>
            <w:tcW w:w="3771" w:type="dxa"/>
            <w:gridSpan w:val="12"/>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决算数</w:t>
            </w:r>
          </w:p>
        </w:tc>
      </w:tr>
      <w:tr>
        <w:tblPrEx>
          <w:tblCellMar>
            <w:top w:w="0" w:type="dxa"/>
            <w:left w:w="108" w:type="dxa"/>
            <w:bottom w:w="0" w:type="dxa"/>
            <w:right w:w="108" w:type="dxa"/>
          </w:tblCellMar>
        </w:tblPrEx>
        <w:trPr>
          <w:gridAfter w:val="4"/>
          <w:wAfter w:w="1013" w:type="dxa"/>
          <w:trHeight w:val="1305" w:hRule="atLeast"/>
        </w:trPr>
        <w:tc>
          <w:tcPr>
            <w:tcW w:w="2818" w:type="dxa"/>
            <w:gridSpan w:val="7"/>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1134" w:type="dxa"/>
            <w:gridSpan w:val="3"/>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2835" w:type="dxa"/>
            <w:gridSpan w:val="6"/>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936" w:type="dxa"/>
            <w:gridSpan w:val="3"/>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小计</w:t>
            </w:r>
          </w:p>
        </w:tc>
        <w:tc>
          <w:tcPr>
            <w:tcW w:w="1134" w:type="dxa"/>
            <w:gridSpan w:val="4"/>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一般公共预算财政拨款</w:t>
            </w:r>
          </w:p>
        </w:tc>
        <w:tc>
          <w:tcPr>
            <w:tcW w:w="850" w:type="dxa"/>
            <w:gridSpan w:val="2"/>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政府性基金预算财政拨款</w:t>
            </w:r>
          </w:p>
        </w:tc>
        <w:tc>
          <w:tcPr>
            <w:tcW w:w="851" w:type="dxa"/>
            <w:gridSpan w:val="3"/>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国有资本经营预算财政拨款</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一、一般公共预算财政拨款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2,575.58</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一、一般公共服务支出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783.22</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783.22</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二、政府性基金预算财政拨款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二、外交支出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三、国有资本经营预算财政拨款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三、国防支出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四、公共安全支出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五、教育支出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六、科学技术支出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七、文化旅游体育与传媒支出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94.25</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94.25</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八、社会保障和就业支出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393.52</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393.52</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九、卫生健康支出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78.92</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78.92</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十、节能环保支出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十一、城乡社区支出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142.91</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122.63</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十二、农林水支出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894.73</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894.73</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十三、交通运输支出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十四、资源勘探工业信息等支出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十五、商业服务业等支出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十六、金融支出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十七、援助其他地区支出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十八、自然资源海洋气象等支出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十九、住房保障支出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二十、粮油物资储备支出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二十一、国有资本经营预算支出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二十二、灾害防治及应急管理支出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4.35</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4.35</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二十三、其他支出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本年收入合计</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2,595.86</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二十四、债务还本支出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年初财政拨款结转和结余</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59.02</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二十五、债务付息支出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一、一般公共预算财政拨款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59.02</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二十六、抗疫特别国债安排的支出</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二、政府性基金预算财政拨款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本年支出合计</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2,634.61</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三、国有资本经营预算财政拨款</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年末财政拨款结转和结余</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08" w:hRule="atLeast"/>
        </w:trPr>
        <w:tc>
          <w:tcPr>
            <w:tcW w:w="2818" w:type="dxa"/>
            <w:gridSpan w:val="7"/>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总计</w:t>
            </w:r>
          </w:p>
        </w:tc>
        <w:tc>
          <w:tcPr>
            <w:tcW w:w="1134"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c>
          <w:tcPr>
            <w:tcW w:w="2835" w:type="dxa"/>
            <w:gridSpan w:val="6"/>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总计</w:t>
            </w:r>
          </w:p>
        </w:tc>
        <w:tc>
          <w:tcPr>
            <w:tcW w:w="93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2,654.89</w:t>
            </w:r>
          </w:p>
        </w:tc>
        <w:tc>
          <w:tcPr>
            <w:tcW w:w="113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2,634.61</w:t>
            </w:r>
          </w:p>
        </w:tc>
        <w:tc>
          <w:tcPr>
            <w:tcW w:w="850"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851"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After w:val="4"/>
          <w:wAfter w:w="1013" w:type="dxa"/>
          <w:trHeight w:val="368" w:hRule="atLeast"/>
        </w:trPr>
        <w:tc>
          <w:tcPr>
            <w:tcW w:w="10558" w:type="dxa"/>
            <w:gridSpan w:val="28"/>
            <w:tcBorders>
              <w:top w:val="nil"/>
              <w:left w:val="nil"/>
              <w:bottom w:val="nil"/>
              <w:right w:val="nil"/>
            </w:tcBorders>
            <w:shd w:val="clear" w:color="auto" w:fill="auto"/>
            <w:noWrap/>
            <w:vAlign w:val="center"/>
          </w:tcPr>
          <w:p>
            <w:pPr>
              <w:rPr>
                <w:rFonts w:cs="Arial"/>
                <w:color w:val="000000"/>
                <w:sz w:val="18"/>
                <w:szCs w:val="18"/>
              </w:rPr>
            </w:pPr>
            <w:r>
              <w:rPr>
                <w:rFonts w:hint="eastAsia" w:cs="Arial"/>
                <w:color w:val="000000"/>
                <w:sz w:val="18"/>
                <w:szCs w:val="18"/>
              </w:rPr>
              <w:t>备注：本表反映部门本年度一般公共预算财政拨款、政府性基金预算财政拨款及国有资本经营预算财政拨款的总收支和年末结转结余情况。</w:t>
            </w:r>
          </w:p>
        </w:tc>
      </w:tr>
      <w:tr>
        <w:tblPrEx>
          <w:tblCellMar>
            <w:top w:w="0" w:type="dxa"/>
            <w:left w:w="108" w:type="dxa"/>
            <w:bottom w:w="0" w:type="dxa"/>
            <w:right w:w="108" w:type="dxa"/>
          </w:tblCellMar>
        </w:tblPrEx>
        <w:trPr>
          <w:gridBefore w:val="3"/>
          <w:gridAfter w:val="6"/>
          <w:wBefore w:w="1529" w:type="dxa"/>
          <w:wAfter w:w="1606" w:type="dxa"/>
          <w:trHeight w:val="540" w:hRule="atLeast"/>
        </w:trPr>
        <w:tc>
          <w:tcPr>
            <w:tcW w:w="8436" w:type="dxa"/>
            <w:gridSpan w:val="23"/>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一般公共预算财政拨款支出决算表</w:t>
            </w:r>
          </w:p>
        </w:tc>
      </w:tr>
      <w:tr>
        <w:tblPrEx>
          <w:tblCellMar>
            <w:top w:w="0" w:type="dxa"/>
            <w:left w:w="108" w:type="dxa"/>
            <w:bottom w:w="0" w:type="dxa"/>
            <w:right w:w="108" w:type="dxa"/>
          </w:tblCellMar>
        </w:tblPrEx>
        <w:trPr>
          <w:gridBefore w:val="3"/>
          <w:gridAfter w:val="6"/>
          <w:wBefore w:w="1529" w:type="dxa"/>
          <w:wAfter w:w="1606" w:type="dxa"/>
          <w:trHeight w:val="300" w:hRule="atLeast"/>
        </w:trPr>
        <w:tc>
          <w:tcPr>
            <w:tcW w:w="34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6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3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4198" w:type="dxa"/>
            <w:gridSpan w:val="8"/>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78"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0"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24" w:type="dxa"/>
            <w:gridSpan w:val="4"/>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公开05表</w:t>
            </w:r>
          </w:p>
        </w:tc>
      </w:tr>
      <w:tr>
        <w:tblPrEx>
          <w:tblCellMar>
            <w:top w:w="0" w:type="dxa"/>
            <w:left w:w="108" w:type="dxa"/>
            <w:bottom w:w="0" w:type="dxa"/>
            <w:right w:w="108" w:type="dxa"/>
          </w:tblCellMar>
        </w:tblPrEx>
        <w:trPr>
          <w:gridBefore w:val="3"/>
          <w:gridAfter w:val="6"/>
          <w:wBefore w:w="1529" w:type="dxa"/>
          <w:wAfter w:w="1606" w:type="dxa"/>
          <w:trHeight w:val="300" w:hRule="atLeast"/>
        </w:trPr>
        <w:tc>
          <w:tcPr>
            <w:tcW w:w="5044" w:type="dxa"/>
            <w:gridSpan w:val="11"/>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1078"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0"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224" w:type="dxa"/>
            <w:gridSpan w:val="4"/>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gridBefore w:val="3"/>
          <w:gridAfter w:val="6"/>
          <w:wBefore w:w="1529" w:type="dxa"/>
          <w:wAfter w:w="1606" w:type="dxa"/>
          <w:trHeight w:val="308" w:hRule="atLeast"/>
        </w:trPr>
        <w:tc>
          <w:tcPr>
            <w:tcW w:w="5044" w:type="dxa"/>
            <w:gridSpan w:val="11"/>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w:t>
            </w:r>
          </w:p>
        </w:tc>
        <w:tc>
          <w:tcPr>
            <w:tcW w:w="3392" w:type="dxa"/>
            <w:gridSpan w:val="12"/>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本年支出</w:t>
            </w:r>
          </w:p>
        </w:tc>
      </w:tr>
      <w:tr>
        <w:tblPrEx>
          <w:tblCellMar>
            <w:top w:w="0" w:type="dxa"/>
            <w:left w:w="108" w:type="dxa"/>
            <w:bottom w:w="0" w:type="dxa"/>
            <w:right w:w="108" w:type="dxa"/>
          </w:tblCellMar>
        </w:tblPrEx>
        <w:trPr>
          <w:gridBefore w:val="3"/>
          <w:gridAfter w:val="6"/>
          <w:wBefore w:w="1529" w:type="dxa"/>
          <w:wAfter w:w="1606" w:type="dxa"/>
          <w:trHeight w:val="308" w:hRule="atLeast"/>
        </w:trPr>
        <w:tc>
          <w:tcPr>
            <w:tcW w:w="84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功能分类科目编码</w:t>
            </w:r>
          </w:p>
        </w:tc>
        <w:tc>
          <w:tcPr>
            <w:tcW w:w="4198" w:type="dxa"/>
            <w:gridSpan w:val="8"/>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项目（按“项”级功能分类科目）</w:t>
            </w:r>
          </w:p>
        </w:tc>
        <w:tc>
          <w:tcPr>
            <w:tcW w:w="1078" w:type="dxa"/>
            <w:gridSpan w:val="4"/>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1090" w:type="dxa"/>
            <w:gridSpan w:val="4"/>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基本支出</w:t>
            </w:r>
          </w:p>
        </w:tc>
        <w:tc>
          <w:tcPr>
            <w:tcW w:w="1224" w:type="dxa"/>
            <w:gridSpan w:val="4"/>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项目支出</w:t>
            </w:r>
          </w:p>
        </w:tc>
      </w:tr>
      <w:tr>
        <w:tblPrEx>
          <w:tblCellMar>
            <w:top w:w="0" w:type="dxa"/>
            <w:left w:w="108" w:type="dxa"/>
            <w:bottom w:w="0" w:type="dxa"/>
            <w:right w:w="108" w:type="dxa"/>
          </w:tblCellMar>
        </w:tblPrEx>
        <w:trPr>
          <w:gridBefore w:val="3"/>
          <w:gridAfter w:val="6"/>
          <w:wBefore w:w="1529" w:type="dxa"/>
          <w:wAfter w:w="1606" w:type="dxa"/>
          <w:trHeight w:val="285" w:hRule="atLeast"/>
        </w:trPr>
        <w:tc>
          <w:tcPr>
            <w:tcW w:w="84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4198" w:type="dxa"/>
            <w:gridSpan w:val="8"/>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078"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090"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224"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gridBefore w:val="3"/>
          <w:gridAfter w:val="6"/>
          <w:wBefore w:w="1529" w:type="dxa"/>
          <w:wAfter w:w="1606" w:type="dxa"/>
          <w:trHeight w:val="233" w:hRule="atLeast"/>
        </w:trPr>
        <w:tc>
          <w:tcPr>
            <w:tcW w:w="84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4198" w:type="dxa"/>
            <w:gridSpan w:val="8"/>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078"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090"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224"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gridBefore w:val="3"/>
          <w:gridAfter w:val="6"/>
          <w:wBefore w:w="1529" w:type="dxa"/>
          <w:wAfter w:w="1606" w:type="dxa"/>
          <w:trHeight w:val="308" w:hRule="atLeast"/>
        </w:trPr>
        <w:tc>
          <w:tcPr>
            <w:tcW w:w="5044" w:type="dxa"/>
            <w:gridSpan w:val="11"/>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2,634.61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1,414.64</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1,219.96</w:t>
            </w:r>
          </w:p>
        </w:tc>
      </w:tr>
      <w:tr>
        <w:tblPrEx>
          <w:tblCellMar>
            <w:top w:w="0" w:type="dxa"/>
            <w:left w:w="108" w:type="dxa"/>
            <w:bottom w:w="0" w:type="dxa"/>
            <w:right w:w="108" w:type="dxa"/>
          </w:tblCellMar>
        </w:tblPrEx>
        <w:trPr>
          <w:gridBefore w:val="3"/>
          <w:gridAfter w:val="6"/>
          <w:wBefore w:w="1529" w:type="dxa"/>
          <w:wAfter w:w="1606" w:type="dxa"/>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一般公共服务支出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783.22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620.03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163.19</w:t>
            </w:r>
          </w:p>
        </w:tc>
      </w:tr>
      <w:tr>
        <w:tblPrEx>
          <w:tblCellMar>
            <w:top w:w="0" w:type="dxa"/>
            <w:left w:w="108" w:type="dxa"/>
            <w:bottom w:w="0" w:type="dxa"/>
            <w:right w:w="108" w:type="dxa"/>
          </w:tblCellMar>
        </w:tblPrEx>
        <w:trPr>
          <w:gridBefore w:val="3"/>
          <w:gridAfter w:val="6"/>
          <w:wBefore w:w="1529" w:type="dxa"/>
          <w:wAfter w:w="1606" w:type="dxa"/>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人大事务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4.92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2010104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人大会议</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4.92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20103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政府办公厅（室）及相关机构事务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768.22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620.03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148.19</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行政运行</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620.03</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620.03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142.60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142.60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2010308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信访事务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5.59</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20113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商贸事务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5.08</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5.08</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2011308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招商引资</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20132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组织事务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2013202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公共安全支出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20499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其他公共安全支出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2049999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其他公共安全支出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文化旅游体育与传媒支出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92.92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20701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文化和旅游</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94.24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92.92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2070109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群众文化</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92.92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2070199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其他文化和旅游支出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社会保障和就业支出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393.52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355.58</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37.94</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人力资源和社会保障管理事务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99.22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2080150</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99.22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行政事业单位养老支出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211.82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209.77</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行政单位离退休</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机关事业单位基本养老保险缴费支出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2080506</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机关事业单位职业年金缴费支出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2080599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其他行政事业单位养老支出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84.77</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20810</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社会福利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24.50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2081006</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养老服务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24.50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残疾人事业</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残疾人康复</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0.90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2081105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残疾人就业</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2.55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20819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最低生活保障</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0.06</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2081902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农村最低生活保障金支出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0.06</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其他生活救助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3.20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2082502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其他农村生活救助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20828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退役军人管理事务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50.51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46.59</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3.92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2082850</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46.59</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2082899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其他退役军人事务管理支出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3.92</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20899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其他社会保障和就业支出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0.76</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2089999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其他社会保障和就业支出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0.76</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卫生健康支出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78.91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25.75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公共卫生</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24.19</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2100408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基本公共卫生服务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2100410</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突发公共卫生事件应急处理</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21.49</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2100499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其他公共卫生支出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21007</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计划生育事务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2100799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其他计划生育事务支出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行政事业单位医疗</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53.16</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行政单位医疗</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32.35</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2101102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事业单位医疗</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20.81</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21015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医疗保障管理事务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1.11</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2101502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一般行政管理事务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1.11</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122.64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29.01</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城乡社区管理事务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93.63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2120104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城管执法</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93.63</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城乡社区公共设施</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6.17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6.17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2120303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小城镇基础设施建设</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6.17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6.17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城乡社区环境卫生</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22.84</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2120501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城乡社区环境卫生</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22.84</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农林水支出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894.74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125.96</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768.78</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农业农村</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229.34</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125.96</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103.38</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事业运行</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125.96</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2130106</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科技转化与推广服务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2130108</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病虫害控制</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16.35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2130122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农业生产发展</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2130135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农业资源保护修复与利用</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82.70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82.70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林业和草原</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75.45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森林资源培育</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63.49</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2130207</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森林资源管理</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2130234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林业草原防灾减灾</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21303</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水利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8.50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2130315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抗旱</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8.50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巩固脱贫衔接乡村振兴</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11.00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2130599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其他巩固脱贫衔接乡村振兴支出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21307</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农村综合改革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570.45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对村级公益事业建设的补助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367.00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2130705</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对村民委员会和村党支部的补助</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203.45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交通运输支出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21406</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车辆购置税支出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187.57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2140601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车辆购置税用于公路等基础设施建设支出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187.57</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住房保障支出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22102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住房改革支出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73.35</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2210201</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住房公积金</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灾害防治及应急管理支出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4.35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22402</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消防救援事务</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1.35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2240204</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消防应急救援</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1.35</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22407</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自然灾害救灾及恢复重建支出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3.00</w:t>
            </w:r>
          </w:p>
        </w:tc>
      </w:tr>
      <w:tr>
        <w:tblPrEx>
          <w:tblCellMar>
            <w:top w:w="0" w:type="dxa"/>
            <w:left w:w="108" w:type="dxa"/>
            <w:bottom w:w="0" w:type="dxa"/>
            <w:right w:w="108" w:type="dxa"/>
          </w:tblCellMar>
        </w:tblPrEx>
        <w:trPr>
          <w:gridBefore w:val="3"/>
          <w:gridAfter w:val="6"/>
          <w:wBefore w:w="1529" w:type="dxa"/>
          <w:wAfter w:w="1606" w:type="dxa"/>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2240799</w:t>
            </w:r>
          </w:p>
        </w:tc>
        <w:tc>
          <w:tcPr>
            <w:tcW w:w="4198" w:type="dxa"/>
            <w:gridSpan w:val="8"/>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其他自然灾害救灾及恢复重建支出</w:t>
            </w:r>
          </w:p>
        </w:tc>
        <w:tc>
          <w:tcPr>
            <w:tcW w:w="1078"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c>
          <w:tcPr>
            <w:tcW w:w="1090"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1224" w:type="dxa"/>
            <w:gridSpan w:val="4"/>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3.00</w:t>
            </w:r>
          </w:p>
        </w:tc>
      </w:tr>
      <w:tr>
        <w:tblPrEx>
          <w:tblCellMar>
            <w:top w:w="0" w:type="dxa"/>
            <w:left w:w="108" w:type="dxa"/>
            <w:bottom w:w="0" w:type="dxa"/>
            <w:right w:w="108" w:type="dxa"/>
          </w:tblCellMar>
        </w:tblPrEx>
        <w:trPr>
          <w:gridBefore w:val="3"/>
          <w:gridAfter w:val="6"/>
          <w:wBefore w:w="1529" w:type="dxa"/>
          <w:wAfter w:w="1606" w:type="dxa"/>
          <w:trHeight w:val="255" w:hRule="atLeast"/>
        </w:trPr>
        <w:tc>
          <w:tcPr>
            <w:tcW w:w="8436" w:type="dxa"/>
            <w:gridSpan w:val="23"/>
            <w:tcBorders>
              <w:top w:val="nil"/>
              <w:left w:val="nil"/>
              <w:bottom w:val="nil"/>
              <w:right w:val="nil"/>
            </w:tcBorders>
            <w:shd w:val="clear" w:color="auto" w:fill="auto"/>
            <w:noWrap/>
            <w:vAlign w:val="center"/>
          </w:tcPr>
          <w:p>
            <w:pPr>
              <w:rPr>
                <w:rFonts w:cs="Arial"/>
                <w:sz w:val="18"/>
                <w:szCs w:val="18"/>
              </w:rPr>
            </w:pPr>
            <w:r>
              <w:rPr>
                <w:rFonts w:hint="eastAsia" w:cs="Arial"/>
                <w:sz w:val="18"/>
                <w:szCs w:val="18"/>
              </w:rPr>
              <w:t>备注：本表反映部门本年度一般公共预算财政拨款支出情况。</w:t>
            </w:r>
          </w:p>
        </w:tc>
      </w:tr>
      <w:tr>
        <w:tblPrEx>
          <w:tblCellMar>
            <w:top w:w="0" w:type="dxa"/>
            <w:left w:w="108" w:type="dxa"/>
            <w:bottom w:w="0" w:type="dxa"/>
            <w:right w:w="108" w:type="dxa"/>
          </w:tblCellMar>
        </w:tblPrEx>
        <w:trPr>
          <w:gridBefore w:val="1"/>
          <w:gridAfter w:val="1"/>
          <w:wBefore w:w="749" w:type="dxa"/>
          <w:wAfter w:w="17" w:type="dxa"/>
          <w:trHeight w:val="540" w:hRule="atLeast"/>
        </w:trPr>
        <w:tc>
          <w:tcPr>
            <w:tcW w:w="10805" w:type="dxa"/>
            <w:gridSpan w:val="30"/>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一般公共预算财政拨款基本支出决算表</w:t>
            </w:r>
          </w:p>
        </w:tc>
      </w:tr>
      <w:tr>
        <w:tblPrEx>
          <w:tblCellMar>
            <w:top w:w="0" w:type="dxa"/>
            <w:left w:w="108" w:type="dxa"/>
            <w:bottom w:w="0" w:type="dxa"/>
            <w:right w:w="108" w:type="dxa"/>
          </w:tblCellMar>
        </w:tblPrEx>
        <w:trPr>
          <w:gridBefore w:val="1"/>
          <w:gridAfter w:val="1"/>
          <w:wBefore w:w="749" w:type="dxa"/>
          <w:wAfter w:w="17" w:type="dxa"/>
          <w:trHeight w:val="255" w:hRule="atLeast"/>
        </w:trPr>
        <w:tc>
          <w:tcPr>
            <w:tcW w:w="7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960" w:type="dxa"/>
            <w:gridSpan w:val="7"/>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96" w:type="dxa"/>
            <w:gridSpan w:val="3"/>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87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512" w:type="dxa"/>
            <w:gridSpan w:val="9"/>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5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公开06表</w:t>
            </w:r>
          </w:p>
        </w:tc>
      </w:tr>
      <w:tr>
        <w:tblPrEx>
          <w:tblCellMar>
            <w:top w:w="0" w:type="dxa"/>
            <w:left w:w="108" w:type="dxa"/>
            <w:bottom w:w="0" w:type="dxa"/>
            <w:right w:w="108" w:type="dxa"/>
          </w:tblCellMar>
        </w:tblPrEx>
        <w:trPr>
          <w:gridBefore w:val="1"/>
          <w:gridAfter w:val="1"/>
          <w:wBefore w:w="749" w:type="dxa"/>
          <w:wAfter w:w="17" w:type="dxa"/>
          <w:trHeight w:val="255" w:hRule="atLeast"/>
        </w:trPr>
        <w:tc>
          <w:tcPr>
            <w:tcW w:w="2726" w:type="dxa"/>
            <w:gridSpan w:val="8"/>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1096" w:type="dxa"/>
            <w:gridSpan w:val="3"/>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407"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876"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66" w:type="dxa"/>
            <w:gridSpan w:val="4"/>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512" w:type="dxa"/>
            <w:gridSpan w:val="9"/>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5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3822" w:type="dxa"/>
            <w:gridSpan w:val="11"/>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人员经费</w:t>
            </w:r>
          </w:p>
        </w:tc>
        <w:tc>
          <w:tcPr>
            <w:tcW w:w="6983" w:type="dxa"/>
            <w:gridSpan w:val="19"/>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公用经费</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经济分类科目编码</w:t>
            </w:r>
          </w:p>
        </w:tc>
        <w:tc>
          <w:tcPr>
            <w:tcW w:w="1960" w:type="dxa"/>
            <w:gridSpan w:val="7"/>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经济分类科目（按“款”级功能分类科目）</w:t>
            </w:r>
          </w:p>
        </w:tc>
        <w:tc>
          <w:tcPr>
            <w:tcW w:w="1096" w:type="dxa"/>
            <w:gridSpan w:val="3"/>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金额</w:t>
            </w:r>
          </w:p>
        </w:tc>
        <w:tc>
          <w:tcPr>
            <w:tcW w:w="766"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经济分类科目编码</w:t>
            </w:r>
          </w:p>
        </w:tc>
        <w:tc>
          <w:tcPr>
            <w:tcW w:w="1407"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经济分类科目（按“款”级功能分类科目）</w:t>
            </w:r>
          </w:p>
        </w:tc>
        <w:tc>
          <w:tcPr>
            <w:tcW w:w="876"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金额</w:t>
            </w:r>
          </w:p>
        </w:tc>
        <w:tc>
          <w:tcPr>
            <w:tcW w:w="766" w:type="dxa"/>
            <w:gridSpan w:val="4"/>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经济分类科目编码</w:t>
            </w:r>
          </w:p>
        </w:tc>
        <w:tc>
          <w:tcPr>
            <w:tcW w:w="2512" w:type="dxa"/>
            <w:gridSpan w:val="9"/>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经济分类科目（按“款”级功能分类科目）</w:t>
            </w:r>
          </w:p>
        </w:tc>
        <w:tc>
          <w:tcPr>
            <w:tcW w:w="656"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金额</w:t>
            </w:r>
          </w:p>
        </w:tc>
      </w:tr>
      <w:tr>
        <w:tblPrEx>
          <w:tblCellMar>
            <w:top w:w="0" w:type="dxa"/>
            <w:left w:w="108" w:type="dxa"/>
            <w:bottom w:w="0" w:type="dxa"/>
            <w:right w:w="108" w:type="dxa"/>
          </w:tblCellMar>
        </w:tblPrEx>
        <w:trPr>
          <w:gridBefore w:val="1"/>
          <w:gridAfter w:val="1"/>
          <w:wBefore w:w="749" w:type="dxa"/>
          <w:wAfter w:w="17" w:type="dxa"/>
          <w:trHeight w:val="615" w:hRule="atLeast"/>
        </w:trPr>
        <w:tc>
          <w:tcPr>
            <w:tcW w:w="766" w:type="dxa"/>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1960" w:type="dxa"/>
            <w:gridSpan w:val="7"/>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096" w:type="dxa"/>
            <w:gridSpan w:val="3"/>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766"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407"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876"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766" w:type="dxa"/>
            <w:gridSpan w:val="4"/>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2512" w:type="dxa"/>
            <w:gridSpan w:val="9"/>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656"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工资福利支出</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1,162.60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商品和服务支出</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157.50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资本性支出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30101</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基本工资</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229.70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30201</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办公费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5.42</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31001</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房屋建筑物购建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30102</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津贴补贴</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110.47</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30202</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印刷费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0.04</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31002</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办公设备购置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30103</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奖金</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133.38</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30203</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咨询费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0.60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31003</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专用设备购置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30106</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伙食补助费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53.05</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30204</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手续费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31005</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基础设施建设</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30107</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绩效工资</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278.00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30205</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水费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2.11</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31006</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大型修缮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30108</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机关事业单位基本养老保险费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74.18</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30206</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电费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8.42</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31007</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信息网络及软件购置更新</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2.08</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30109</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职业年金缴费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50.82</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30207</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邮电费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33.82</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31008</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物资储备</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30110</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职工基本医疗保险缴费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52.77</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30208</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取暖费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31009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土地补偿</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30111</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公务员医疗补助缴费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30209</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物业管理费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31010</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安置补助</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30112</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其他社会保障缴费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8.96</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30211</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差旅费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63.67</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31011</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地上附着物和青苗补偿</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30113</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住房公积金</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73.35</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30212</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因公出国（境）费用</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31012</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拆迁补偿</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30114</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医疗费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12.94</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30213</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维修（护）费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2.79</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31013</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公务用车购置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30199</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其他工资福利支出</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84.99</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30214</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租赁费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31019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其他交通工具购置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对个人和家庭的补助</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92.46</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30215</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会议费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0.63</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31021</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文物和陈列品购置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30301</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离休费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30216</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培训费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31022</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无形资产购置</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30302</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退休费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30217</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公务接待费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3.46</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31099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其他资本性支出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30303</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退职（役）费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30218</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专用材料费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对企业补助</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30304</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抚恤金</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30224</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被装购置费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31201</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资本金注入</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30305</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生活补助</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87.62</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30225</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专用燃料费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31203</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政府投资基金股权投资</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30306</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救济费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30226</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劳务费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0.28</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31204</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费用补贴</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30307</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医疗费补助</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4.60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30227</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委托业务费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3.17</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31205</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利息补贴</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30308</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助学金</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30228</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工会经费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31299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其他对企业补助</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30309</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奖励金</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30229</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福利费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0.10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其他支出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30310</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个人农业生产补贴</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30231</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公务用车运行维护费</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4.04</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39907</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国家赔偿费用支出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30311</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代缴社会保险费</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30239</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其他交通费用</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18.32</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39908</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对民间非营利组织和群众性自治组织补贴</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30399</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其他个人和家庭的补助支出</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30240</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税金及附加费用</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39909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经常性赠与</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30299</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其他商品和服务支出</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1.61</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39910</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资本性赠与</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307</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债务利息及费用支出</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39999</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其他支出</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30701</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国内债务付息</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30702</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国外债务付息</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30703</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国内债务发行费用</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960" w:type="dxa"/>
            <w:gridSpan w:val="7"/>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　</w:t>
            </w:r>
          </w:p>
        </w:tc>
        <w:tc>
          <w:tcPr>
            <w:tcW w:w="7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30704</w:t>
            </w:r>
          </w:p>
        </w:tc>
        <w:tc>
          <w:tcPr>
            <w:tcW w:w="1407" w:type="dxa"/>
            <w:gridSpan w:val="2"/>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国外债务发行费用</w:t>
            </w:r>
          </w:p>
        </w:tc>
        <w:tc>
          <w:tcPr>
            <w:tcW w:w="876" w:type="dxa"/>
            <w:gridSpan w:val="2"/>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66" w:type="dxa"/>
            <w:gridSpan w:val="4"/>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2512" w:type="dxa"/>
            <w:gridSpan w:val="9"/>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6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2726" w:type="dxa"/>
            <w:gridSpan w:val="8"/>
            <w:tcBorders>
              <w:top w:val="nil"/>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人员经费合计</w:t>
            </w:r>
          </w:p>
        </w:tc>
        <w:tc>
          <w:tcPr>
            <w:tcW w:w="1096" w:type="dxa"/>
            <w:gridSpan w:val="3"/>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1,255.07</w:t>
            </w:r>
          </w:p>
        </w:tc>
        <w:tc>
          <w:tcPr>
            <w:tcW w:w="6327" w:type="dxa"/>
            <w:gridSpan w:val="18"/>
            <w:tcBorders>
              <w:top w:val="nil"/>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highlight w:val="yellow"/>
              </w:rPr>
            </w:pPr>
            <w:r>
              <w:rPr>
                <w:rFonts w:hint="eastAsia" w:cs="Arial"/>
                <w:b/>
                <w:bCs/>
                <w:color w:val="000000"/>
                <w:sz w:val="18"/>
                <w:szCs w:val="18"/>
              </w:rPr>
              <w:t>公用经费合计</w:t>
            </w:r>
          </w:p>
        </w:tc>
        <w:tc>
          <w:tcPr>
            <w:tcW w:w="656" w:type="dxa"/>
            <w:tcBorders>
              <w:top w:val="nil"/>
              <w:left w:val="nil"/>
              <w:bottom w:val="single" w:color="000000" w:sz="4" w:space="0"/>
              <w:right w:val="single" w:color="000000" w:sz="4" w:space="0"/>
            </w:tcBorders>
            <w:shd w:val="clear" w:color="auto" w:fill="auto"/>
            <w:noWrap/>
            <w:vAlign w:val="center"/>
          </w:tcPr>
          <w:p>
            <w:pPr>
              <w:ind w:right="90"/>
              <w:jc w:val="right"/>
              <w:rPr>
                <w:rFonts w:cs="Arial"/>
                <w:color w:val="000000"/>
                <w:sz w:val="18"/>
                <w:szCs w:val="18"/>
              </w:rPr>
            </w:pPr>
            <w:r>
              <w:rPr>
                <w:rFonts w:hint="eastAsia" w:cs="Arial"/>
                <w:color w:val="000000"/>
                <w:sz w:val="18"/>
                <w:szCs w:val="18"/>
              </w:rPr>
              <w:t>159.57　</w:t>
            </w:r>
          </w:p>
        </w:tc>
      </w:tr>
      <w:tr>
        <w:tblPrEx>
          <w:tblCellMar>
            <w:top w:w="0" w:type="dxa"/>
            <w:left w:w="108" w:type="dxa"/>
            <w:bottom w:w="0" w:type="dxa"/>
            <w:right w:w="108" w:type="dxa"/>
          </w:tblCellMar>
        </w:tblPrEx>
        <w:trPr>
          <w:gridBefore w:val="1"/>
          <w:gridAfter w:val="1"/>
          <w:wBefore w:w="749" w:type="dxa"/>
          <w:wAfter w:w="17" w:type="dxa"/>
          <w:trHeight w:val="308" w:hRule="atLeast"/>
        </w:trPr>
        <w:tc>
          <w:tcPr>
            <w:tcW w:w="10805" w:type="dxa"/>
            <w:gridSpan w:val="30"/>
            <w:tcBorders>
              <w:top w:val="nil"/>
              <w:left w:val="nil"/>
              <w:bottom w:val="nil"/>
              <w:right w:val="nil"/>
            </w:tcBorders>
            <w:shd w:val="clear" w:color="auto" w:fill="auto"/>
            <w:vAlign w:val="center"/>
          </w:tcPr>
          <w:p>
            <w:pPr>
              <w:rPr>
                <w:rFonts w:cs="Arial"/>
                <w:color w:val="000000"/>
                <w:sz w:val="18"/>
                <w:szCs w:val="18"/>
              </w:rPr>
            </w:pPr>
            <w:r>
              <w:rPr>
                <w:rFonts w:hint="eastAsia" w:cs="Arial"/>
                <w:color w:val="000000"/>
                <w:sz w:val="18"/>
                <w:szCs w:val="18"/>
              </w:rPr>
              <w:t>注：本表反映部门本年度一般公共预算财政拨款基本支出明细情况。</w:t>
            </w:r>
          </w:p>
        </w:tc>
      </w:tr>
    </w:tbl>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W w:w="8668" w:type="dxa"/>
        <w:tblInd w:w="95" w:type="dxa"/>
        <w:tblLayout w:type="fixed"/>
        <w:tblCellMar>
          <w:top w:w="0" w:type="dxa"/>
          <w:left w:w="108" w:type="dxa"/>
          <w:bottom w:w="0" w:type="dxa"/>
          <w:right w:w="108" w:type="dxa"/>
        </w:tblCellMar>
      </w:tblPr>
      <w:tblGrid>
        <w:gridCol w:w="285"/>
        <w:gridCol w:w="281"/>
        <w:gridCol w:w="280"/>
        <w:gridCol w:w="3415"/>
        <w:gridCol w:w="689"/>
        <w:gridCol w:w="718"/>
        <w:gridCol w:w="731"/>
        <w:gridCol w:w="591"/>
        <w:gridCol w:w="679"/>
        <w:gridCol w:w="999"/>
      </w:tblGrid>
      <w:tr>
        <w:tblPrEx>
          <w:tblCellMar>
            <w:top w:w="0" w:type="dxa"/>
            <w:left w:w="108" w:type="dxa"/>
            <w:bottom w:w="0" w:type="dxa"/>
            <w:right w:w="108" w:type="dxa"/>
          </w:tblCellMar>
        </w:tblPrEx>
        <w:trPr>
          <w:trHeight w:val="540" w:hRule="atLeast"/>
        </w:trPr>
        <w:tc>
          <w:tcPr>
            <w:tcW w:w="8668" w:type="dxa"/>
            <w:gridSpan w:val="10"/>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政府性基金预算财政拨款收入支出决算表</w:t>
            </w:r>
          </w:p>
        </w:tc>
      </w:tr>
      <w:tr>
        <w:tblPrEx>
          <w:tblCellMar>
            <w:top w:w="0" w:type="dxa"/>
            <w:left w:w="108" w:type="dxa"/>
            <w:bottom w:w="0" w:type="dxa"/>
            <w:right w:w="108" w:type="dxa"/>
          </w:tblCellMar>
        </w:tblPrEx>
        <w:trPr>
          <w:trHeight w:val="300" w:hRule="atLeast"/>
        </w:trPr>
        <w:tc>
          <w:tcPr>
            <w:tcW w:w="28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8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8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415"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8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1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3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59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7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999"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公开07表</w:t>
            </w:r>
          </w:p>
        </w:tc>
      </w:tr>
      <w:tr>
        <w:tblPrEx>
          <w:tblCellMar>
            <w:top w:w="0" w:type="dxa"/>
            <w:left w:w="108" w:type="dxa"/>
            <w:bottom w:w="0" w:type="dxa"/>
            <w:right w:w="108" w:type="dxa"/>
          </w:tblCellMar>
        </w:tblPrEx>
        <w:trPr>
          <w:trHeight w:val="300" w:hRule="atLeast"/>
        </w:trPr>
        <w:tc>
          <w:tcPr>
            <w:tcW w:w="4261" w:type="dxa"/>
            <w:gridSpan w:val="4"/>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68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18"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3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591"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7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999"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426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w:t>
            </w:r>
          </w:p>
        </w:tc>
        <w:tc>
          <w:tcPr>
            <w:tcW w:w="689"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年初结转和结余</w:t>
            </w:r>
          </w:p>
        </w:tc>
        <w:tc>
          <w:tcPr>
            <w:tcW w:w="718"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本年收入</w:t>
            </w:r>
          </w:p>
        </w:tc>
        <w:tc>
          <w:tcPr>
            <w:tcW w:w="2001" w:type="dxa"/>
            <w:gridSpan w:val="3"/>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本年支出</w:t>
            </w:r>
          </w:p>
        </w:tc>
        <w:tc>
          <w:tcPr>
            <w:tcW w:w="999" w:type="dxa"/>
            <w:vMerge w:val="restart"/>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年末结转和结余</w:t>
            </w:r>
          </w:p>
        </w:tc>
      </w:tr>
      <w:tr>
        <w:tblPrEx>
          <w:tblCellMar>
            <w:top w:w="0" w:type="dxa"/>
            <w:left w:w="108" w:type="dxa"/>
            <w:bottom w:w="0" w:type="dxa"/>
            <w:right w:w="108" w:type="dxa"/>
          </w:tblCellMar>
        </w:tblPrEx>
        <w:trPr>
          <w:trHeight w:val="308" w:hRule="atLeast"/>
        </w:trPr>
        <w:tc>
          <w:tcPr>
            <w:tcW w:w="84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功能分类科目编码</w:t>
            </w:r>
          </w:p>
        </w:tc>
        <w:tc>
          <w:tcPr>
            <w:tcW w:w="3415"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项目（按“项”级功能分类科目）</w:t>
            </w:r>
          </w:p>
        </w:tc>
        <w:tc>
          <w:tcPr>
            <w:tcW w:w="68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18"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31"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591"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基本支出</w:t>
            </w:r>
          </w:p>
        </w:tc>
        <w:tc>
          <w:tcPr>
            <w:tcW w:w="679"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项目支出</w:t>
            </w:r>
          </w:p>
        </w:tc>
        <w:tc>
          <w:tcPr>
            <w:tcW w:w="99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3415"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68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18"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3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59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679"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99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615" w:hRule="atLeast"/>
        </w:trPr>
        <w:tc>
          <w:tcPr>
            <w:tcW w:w="84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3415"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68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18"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c>
          <w:tcPr>
            <w:tcW w:w="73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59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679"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999" w:type="dxa"/>
            <w:vMerge w:val="continue"/>
            <w:tcBorders>
              <w:top w:val="single" w:color="000000" w:sz="4" w:space="0"/>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4261" w:type="dxa"/>
            <w:gridSpan w:val="4"/>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68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18"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59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7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20.28</w:t>
            </w: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w:t>
            </w:r>
          </w:p>
        </w:tc>
        <w:tc>
          <w:tcPr>
            <w:tcW w:w="3415"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城乡社区支出</w:t>
            </w:r>
          </w:p>
        </w:tc>
        <w:tc>
          <w:tcPr>
            <w:tcW w:w="68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18"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591"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7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21208</w:t>
            </w:r>
          </w:p>
        </w:tc>
        <w:tc>
          <w:tcPr>
            <w:tcW w:w="3415" w:type="dxa"/>
            <w:tcBorders>
              <w:top w:val="nil"/>
              <w:left w:val="nil"/>
              <w:bottom w:val="single" w:color="000000" w:sz="4" w:space="0"/>
              <w:right w:val="single" w:color="000000" w:sz="4" w:space="0"/>
            </w:tcBorders>
            <w:shd w:val="clear" w:color="auto" w:fill="auto"/>
            <w:noWrap/>
            <w:vAlign w:val="center"/>
          </w:tcPr>
          <w:p>
            <w:pPr>
              <w:rPr>
                <w:rFonts w:cs="Arial"/>
                <w:b/>
                <w:bCs/>
                <w:sz w:val="18"/>
                <w:szCs w:val="18"/>
              </w:rPr>
            </w:pPr>
            <w:r>
              <w:rPr>
                <w:rFonts w:hint="eastAsia" w:cs="Arial"/>
                <w:b/>
                <w:bCs/>
                <w:sz w:val="18"/>
                <w:szCs w:val="18"/>
              </w:rPr>
              <w:t>国有土地使用权出让收入安排的支出</w:t>
            </w:r>
          </w:p>
        </w:tc>
        <w:tc>
          <w:tcPr>
            <w:tcW w:w="68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718"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591"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c>
          <w:tcPr>
            <w:tcW w:w="67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20.28</w:t>
            </w: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cs="Arial"/>
                <w:b/>
                <w:bCs/>
                <w:sz w:val="18"/>
                <w:szCs w:val="18"/>
              </w:rPr>
            </w:pPr>
            <w:r>
              <w:rPr>
                <w:rFonts w:hint="eastAsia" w:cs="Arial"/>
                <w:b/>
                <w:bCs/>
                <w:sz w:val="18"/>
                <w:szCs w:val="18"/>
              </w:rPr>
              <w:t>0.00</w:t>
            </w:r>
          </w:p>
        </w:tc>
      </w:tr>
      <w:tr>
        <w:tblPrEx>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2120804</w:t>
            </w:r>
          </w:p>
        </w:tc>
        <w:tc>
          <w:tcPr>
            <w:tcW w:w="3415"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农村基础设施建设支出</w:t>
            </w:r>
          </w:p>
        </w:tc>
        <w:tc>
          <w:tcPr>
            <w:tcW w:w="68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18"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59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7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0.24</w:t>
            </w: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70"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2120899</w:t>
            </w:r>
          </w:p>
        </w:tc>
        <w:tc>
          <w:tcPr>
            <w:tcW w:w="3415" w:type="dxa"/>
            <w:tcBorders>
              <w:top w:val="nil"/>
              <w:left w:val="nil"/>
              <w:bottom w:val="single" w:color="000000" w:sz="4" w:space="0"/>
              <w:right w:val="single" w:color="000000" w:sz="4" w:space="0"/>
            </w:tcBorders>
            <w:shd w:val="clear" w:color="auto" w:fill="auto"/>
            <w:noWrap/>
            <w:vAlign w:val="center"/>
          </w:tcPr>
          <w:p>
            <w:pPr>
              <w:rPr>
                <w:rFonts w:cs="Arial"/>
                <w:sz w:val="18"/>
                <w:szCs w:val="18"/>
              </w:rPr>
            </w:pPr>
            <w:r>
              <w:rPr>
                <w:rFonts w:hint="eastAsia" w:cs="Arial"/>
                <w:sz w:val="18"/>
                <w:szCs w:val="18"/>
              </w:rPr>
              <w:t xml:space="preserve">  其他国有土地使用权出让收入安排的支出</w:t>
            </w:r>
          </w:p>
        </w:tc>
        <w:tc>
          <w:tcPr>
            <w:tcW w:w="68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18"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73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591"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7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20.04</w:t>
            </w: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255" w:hRule="atLeast"/>
        </w:trPr>
        <w:tc>
          <w:tcPr>
            <w:tcW w:w="8668" w:type="dxa"/>
            <w:gridSpan w:val="10"/>
            <w:tcBorders>
              <w:top w:val="nil"/>
              <w:left w:val="nil"/>
              <w:bottom w:val="nil"/>
              <w:right w:val="nil"/>
            </w:tcBorders>
            <w:shd w:val="clear" w:color="auto" w:fill="auto"/>
            <w:noWrap/>
            <w:vAlign w:val="center"/>
          </w:tcPr>
          <w:p>
            <w:pPr>
              <w:rPr>
                <w:rFonts w:cs="Arial"/>
                <w:sz w:val="18"/>
                <w:szCs w:val="18"/>
              </w:rPr>
            </w:pPr>
            <w:r>
              <w:rPr>
                <w:rFonts w:hint="eastAsia" w:cs="Arial"/>
                <w:sz w:val="18"/>
                <w:szCs w:val="18"/>
              </w:rPr>
              <w:t>备注：本表反映部门本年度政府性基金预算财政拨款收入支出及结转和结余情况。</w:t>
            </w:r>
          </w:p>
        </w:tc>
      </w:tr>
      <w:tr>
        <w:tblPrEx>
          <w:tblCellMar>
            <w:top w:w="0" w:type="dxa"/>
            <w:left w:w="108" w:type="dxa"/>
            <w:bottom w:w="0" w:type="dxa"/>
            <w:right w:w="108" w:type="dxa"/>
          </w:tblCellMar>
        </w:tblPrEx>
        <w:trPr>
          <w:trHeight w:val="255" w:hRule="atLeast"/>
        </w:trPr>
        <w:tc>
          <w:tcPr>
            <w:tcW w:w="8668" w:type="dxa"/>
            <w:gridSpan w:val="10"/>
            <w:tcBorders>
              <w:top w:val="nil"/>
              <w:left w:val="nil"/>
              <w:bottom w:val="nil"/>
              <w:right w:val="nil"/>
            </w:tcBorders>
            <w:shd w:val="clear" w:color="auto" w:fill="auto"/>
            <w:noWrap/>
            <w:vAlign w:val="center"/>
          </w:tcPr>
          <w:p>
            <w:pPr>
              <w:rPr>
                <w:rFonts w:cs="Arial"/>
                <w:sz w:val="18"/>
                <w:szCs w:val="18"/>
              </w:rPr>
            </w:pPr>
            <w:r>
              <w:rPr>
                <w:rFonts w:hint="eastAsia" w:cs="Arial"/>
                <w:sz w:val="18"/>
                <w:szCs w:val="18"/>
              </w:rPr>
              <w:t>本表为空的部门应将空表公开，并注明：本单位无政府性基金收入，也没有使用政府性基金安排的支出，故本表无数据。</w:t>
            </w:r>
          </w:p>
        </w:tc>
      </w:tr>
    </w:tbl>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W w:w="9201" w:type="dxa"/>
        <w:tblInd w:w="0" w:type="dxa"/>
        <w:tblLayout w:type="fixed"/>
        <w:tblCellMar>
          <w:top w:w="0" w:type="dxa"/>
          <w:left w:w="108" w:type="dxa"/>
          <w:bottom w:w="0" w:type="dxa"/>
          <w:right w:w="108" w:type="dxa"/>
        </w:tblCellMar>
      </w:tblPr>
      <w:tblGrid>
        <w:gridCol w:w="236"/>
        <w:gridCol w:w="236"/>
        <w:gridCol w:w="236"/>
        <w:gridCol w:w="2709"/>
        <w:gridCol w:w="1693"/>
        <w:gridCol w:w="986"/>
        <w:gridCol w:w="848"/>
        <w:gridCol w:w="1121"/>
        <w:gridCol w:w="1136"/>
      </w:tblGrid>
      <w:tr>
        <w:tblPrEx>
          <w:tblCellMar>
            <w:top w:w="0" w:type="dxa"/>
            <w:left w:w="108" w:type="dxa"/>
            <w:bottom w:w="0" w:type="dxa"/>
            <w:right w:w="108" w:type="dxa"/>
          </w:tblCellMar>
        </w:tblPrEx>
        <w:trPr>
          <w:trHeight w:val="540" w:hRule="atLeast"/>
        </w:trPr>
        <w:tc>
          <w:tcPr>
            <w:tcW w:w="9201" w:type="dxa"/>
            <w:gridSpan w:val="9"/>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国有资本经营预算财政拨款支出决算表</w:t>
            </w:r>
          </w:p>
        </w:tc>
      </w:tr>
      <w:tr>
        <w:tblPrEx>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2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22"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723"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2692"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97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41"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公开08表</w:t>
            </w:r>
          </w:p>
        </w:tc>
      </w:tr>
      <w:tr>
        <w:tblPrEx>
          <w:tblCellMar>
            <w:top w:w="0" w:type="dxa"/>
            <w:left w:w="108" w:type="dxa"/>
            <w:bottom w:w="0" w:type="dxa"/>
            <w:right w:w="108" w:type="dxa"/>
          </w:tblCellMar>
        </w:tblPrEx>
        <w:trPr>
          <w:trHeight w:val="300" w:hRule="atLeast"/>
        </w:trPr>
        <w:tc>
          <w:tcPr>
            <w:tcW w:w="3389" w:type="dxa"/>
            <w:gridSpan w:val="4"/>
            <w:tcBorders>
              <w:top w:val="nil"/>
              <w:left w:val="nil"/>
              <w:bottom w:val="single" w:color="000000" w:sz="4" w:space="0"/>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2692"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97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141"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338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w:t>
            </w:r>
          </w:p>
        </w:tc>
        <w:tc>
          <w:tcPr>
            <w:tcW w:w="5812" w:type="dxa"/>
            <w:gridSpan w:val="5"/>
            <w:tcBorders>
              <w:top w:val="single" w:color="000000" w:sz="4" w:space="0"/>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本年支出</w:t>
            </w:r>
          </w:p>
        </w:tc>
      </w:tr>
      <w:tr>
        <w:tblPrEx>
          <w:tblCellMar>
            <w:top w:w="0" w:type="dxa"/>
            <w:left w:w="108" w:type="dxa"/>
            <w:bottom w:w="0" w:type="dxa"/>
            <w:right w:w="108" w:type="dxa"/>
          </w:tblCellMar>
        </w:tblPrEx>
        <w:trPr>
          <w:trHeight w:val="308"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功能分类科目编码</w:t>
            </w:r>
          </w:p>
        </w:tc>
        <w:tc>
          <w:tcPr>
            <w:tcW w:w="2723"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科目名称</w:t>
            </w:r>
          </w:p>
        </w:tc>
        <w:tc>
          <w:tcPr>
            <w:tcW w:w="1701" w:type="dxa"/>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1843"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基本支出</w:t>
            </w:r>
          </w:p>
        </w:tc>
        <w:tc>
          <w:tcPr>
            <w:tcW w:w="2268" w:type="dxa"/>
            <w:gridSpan w:val="2"/>
            <w:vMerge w:val="restart"/>
            <w:tcBorders>
              <w:top w:val="nil"/>
              <w:left w:val="nil"/>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项目支出</w:t>
            </w:r>
          </w:p>
        </w:tc>
      </w:tr>
      <w:tr>
        <w:tblPrEx>
          <w:tblCellMar>
            <w:top w:w="0" w:type="dxa"/>
            <w:left w:w="108" w:type="dxa"/>
            <w:bottom w:w="0" w:type="dxa"/>
            <w:right w:w="108" w:type="dxa"/>
          </w:tblCellMar>
        </w:tblPrEx>
        <w:trPr>
          <w:trHeight w:val="285"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2723"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70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843"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2268"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615"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rPr>
                <w:rFonts w:cs="Arial"/>
                <w:b/>
                <w:bCs/>
                <w:color w:val="000000"/>
                <w:sz w:val="18"/>
                <w:szCs w:val="18"/>
              </w:rPr>
            </w:pPr>
          </w:p>
        </w:tc>
        <w:tc>
          <w:tcPr>
            <w:tcW w:w="2723"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701" w:type="dxa"/>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1843"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c>
          <w:tcPr>
            <w:tcW w:w="2268" w:type="dxa"/>
            <w:gridSpan w:val="2"/>
            <w:vMerge w:val="continue"/>
            <w:tcBorders>
              <w:top w:val="nil"/>
              <w:left w:val="nil"/>
              <w:bottom w:val="single" w:color="000000" w:sz="4" w:space="0"/>
              <w:right w:val="single" w:color="000000" w:sz="4" w:space="0"/>
            </w:tcBorders>
            <w:vAlign w:val="center"/>
          </w:tcPr>
          <w:p>
            <w:pPr>
              <w:rPr>
                <w:rFonts w:cs="Arial"/>
                <w:b/>
                <w:bCs/>
                <w:color w:val="000000"/>
                <w:sz w:val="18"/>
                <w:szCs w:val="18"/>
              </w:rPr>
            </w:pPr>
          </w:p>
        </w:tc>
      </w:tr>
      <w:tr>
        <w:tblPrEx>
          <w:tblCellMar>
            <w:top w:w="0" w:type="dxa"/>
            <w:left w:w="108" w:type="dxa"/>
            <w:bottom w:w="0" w:type="dxa"/>
            <w:right w:w="108" w:type="dxa"/>
          </w:tblCellMar>
        </w:tblPrEx>
        <w:trPr>
          <w:trHeight w:val="308" w:hRule="atLeast"/>
        </w:trPr>
        <w:tc>
          <w:tcPr>
            <w:tcW w:w="3389" w:type="dxa"/>
            <w:gridSpan w:val="4"/>
            <w:tcBorders>
              <w:top w:val="nil"/>
              <w:left w:val="single" w:color="000000" w:sz="4" w:space="0"/>
              <w:bottom w:val="single" w:color="000000" w:sz="4" w:space="0"/>
              <w:right w:val="single" w:color="000000" w:sz="4" w:space="0"/>
            </w:tcBorders>
            <w:shd w:val="clear" w:color="FFFFFF" w:fill="C0C0C0"/>
            <w:vAlign w:val="center"/>
          </w:tcPr>
          <w:p>
            <w:pPr>
              <w:jc w:val="center"/>
              <w:rPr>
                <w:rFonts w:cs="Arial"/>
                <w:b/>
                <w:bCs/>
                <w:color w:val="000000"/>
                <w:sz w:val="18"/>
                <w:szCs w:val="18"/>
              </w:rPr>
            </w:pPr>
            <w:r>
              <w:rPr>
                <w:rFonts w:hint="eastAsia" w:cs="Arial"/>
                <w:b/>
                <w:bCs/>
                <w:color w:val="000000"/>
                <w:sz w:val="18"/>
                <w:szCs w:val="18"/>
              </w:rPr>
              <w:t>合计</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268"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2723" w:type="dxa"/>
            <w:tcBorders>
              <w:top w:val="nil"/>
              <w:left w:val="nil"/>
              <w:bottom w:val="single" w:color="000000" w:sz="4" w:space="0"/>
              <w:right w:val="single" w:color="000000" w:sz="4" w:space="0"/>
            </w:tcBorders>
            <w:shd w:val="clear" w:color="auto" w:fill="auto"/>
            <w:noWrap/>
            <w:vAlign w:val="center"/>
          </w:tcPr>
          <w:p>
            <w:pPr>
              <w:rPr>
                <w:rFonts w:cs="Arial"/>
                <w:color w:val="000000"/>
                <w:sz w:val="18"/>
                <w:szCs w:val="18"/>
              </w:rPr>
            </w:pPr>
            <w:r>
              <w:rPr>
                <w:rFonts w:hint="eastAsia" w:cs="Arial"/>
                <w:color w:val="000000"/>
                <w:sz w:val="18"/>
                <w:szCs w:val="18"/>
              </w:rPr>
              <w:t>　</w:t>
            </w:r>
          </w:p>
        </w:tc>
        <w:tc>
          <w:tcPr>
            <w:tcW w:w="1701"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1843"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c>
          <w:tcPr>
            <w:tcW w:w="2268" w:type="dxa"/>
            <w:gridSpan w:val="2"/>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trHeight w:val="308" w:hRule="atLeast"/>
        </w:trPr>
        <w:tc>
          <w:tcPr>
            <w:tcW w:w="9201" w:type="dxa"/>
            <w:gridSpan w:val="9"/>
            <w:tcBorders>
              <w:top w:val="nil"/>
              <w:left w:val="nil"/>
              <w:bottom w:val="nil"/>
              <w:right w:val="nil"/>
            </w:tcBorders>
            <w:shd w:val="clear" w:color="auto" w:fill="auto"/>
            <w:noWrap/>
            <w:vAlign w:val="center"/>
          </w:tcPr>
          <w:p>
            <w:pPr>
              <w:rPr>
                <w:rFonts w:cs="Arial"/>
                <w:color w:val="000000"/>
                <w:sz w:val="18"/>
                <w:szCs w:val="18"/>
              </w:rPr>
            </w:pPr>
            <w:r>
              <w:rPr>
                <w:rFonts w:hint="eastAsia" w:cs="Arial"/>
                <w:color w:val="000000"/>
                <w:sz w:val="18"/>
                <w:szCs w:val="18"/>
              </w:rPr>
              <w:t>备注：本表反映部门本年度国有资本经营预算财政拨款支出情况。</w:t>
            </w:r>
          </w:p>
        </w:tc>
      </w:tr>
      <w:tr>
        <w:tblPrEx>
          <w:tblCellMar>
            <w:top w:w="0" w:type="dxa"/>
            <w:left w:w="108" w:type="dxa"/>
            <w:bottom w:w="0" w:type="dxa"/>
            <w:right w:w="108" w:type="dxa"/>
          </w:tblCellMar>
        </w:tblPrEx>
        <w:trPr>
          <w:trHeight w:val="308" w:hRule="atLeast"/>
        </w:trPr>
        <w:tc>
          <w:tcPr>
            <w:tcW w:w="9201" w:type="dxa"/>
            <w:gridSpan w:val="9"/>
            <w:tcBorders>
              <w:top w:val="nil"/>
              <w:left w:val="nil"/>
              <w:bottom w:val="nil"/>
              <w:right w:val="nil"/>
            </w:tcBorders>
            <w:shd w:val="clear" w:color="auto" w:fill="auto"/>
            <w:noWrap/>
            <w:vAlign w:val="center"/>
          </w:tcPr>
          <w:p>
            <w:pPr>
              <w:rPr>
                <w:rFonts w:cs="Arial"/>
                <w:color w:val="000000"/>
                <w:sz w:val="18"/>
                <w:szCs w:val="18"/>
              </w:rPr>
            </w:pPr>
            <w:r>
              <w:rPr>
                <w:rFonts w:hint="eastAsia" w:cs="Arial"/>
                <w:color w:val="000000"/>
                <w:sz w:val="18"/>
                <w:szCs w:val="18"/>
              </w:rPr>
              <w:t>本表为空的部门应将空表公开，并注明：本单位无国有资本经营预算财政拨款支出，故本表无数据。</w:t>
            </w:r>
          </w:p>
        </w:tc>
      </w:tr>
    </w:tbl>
    <w:p>
      <w:pPr>
        <w:pStyle w:val="30"/>
        <w:shd w:val="clear" w:color="auto" w:fill="FFFFFF"/>
        <w:spacing w:before="0" w:beforeAutospacing="0" w:after="0" w:afterAutospacing="0" w:line="500" w:lineRule="exact"/>
        <w:rPr>
          <w:rFonts w:ascii="方正仿宋_GBK" w:eastAsia="方正仿宋_GBK"/>
          <w:sz w:val="18"/>
          <w:szCs w:val="18"/>
          <w:shd w:val="clear" w:color="auto" w:fill="FFFFFF"/>
        </w:rPr>
      </w:pPr>
    </w:p>
    <w:tbl>
      <w:tblPr>
        <w:tblStyle w:val="15"/>
        <w:tblW w:w="9196" w:type="dxa"/>
        <w:tblInd w:w="95" w:type="dxa"/>
        <w:tblLayout w:type="fixed"/>
        <w:tblCellMar>
          <w:top w:w="0" w:type="dxa"/>
          <w:left w:w="108" w:type="dxa"/>
          <w:bottom w:w="0" w:type="dxa"/>
          <w:right w:w="108" w:type="dxa"/>
        </w:tblCellMar>
      </w:tblPr>
      <w:tblGrid>
        <w:gridCol w:w="2640"/>
        <w:gridCol w:w="350"/>
        <w:gridCol w:w="709"/>
        <w:gridCol w:w="709"/>
        <w:gridCol w:w="666"/>
        <w:gridCol w:w="3366"/>
        <w:gridCol w:w="756"/>
      </w:tblGrid>
      <w:tr>
        <w:tblPrEx>
          <w:tblCellMar>
            <w:top w:w="0" w:type="dxa"/>
            <w:left w:w="108" w:type="dxa"/>
            <w:bottom w:w="0" w:type="dxa"/>
            <w:right w:w="108" w:type="dxa"/>
          </w:tblCellMar>
        </w:tblPrEx>
        <w:trPr>
          <w:trHeight w:val="540" w:hRule="atLeast"/>
        </w:trPr>
        <w:tc>
          <w:tcPr>
            <w:tcW w:w="9196" w:type="dxa"/>
            <w:gridSpan w:val="7"/>
            <w:tcBorders>
              <w:top w:val="nil"/>
              <w:left w:val="nil"/>
              <w:bottom w:val="nil"/>
              <w:right w:val="nil"/>
            </w:tcBorders>
            <w:shd w:val="clear" w:color="auto" w:fill="auto"/>
            <w:noWrap/>
            <w:vAlign w:val="bottom"/>
          </w:tcPr>
          <w:p>
            <w:pPr>
              <w:jc w:val="center"/>
              <w:rPr>
                <w:rFonts w:cs="Arial"/>
                <w:color w:val="000000"/>
                <w:sz w:val="18"/>
                <w:szCs w:val="18"/>
              </w:rPr>
            </w:pPr>
            <w:r>
              <w:rPr>
                <w:rFonts w:hint="eastAsia" w:cs="Arial"/>
                <w:color w:val="000000"/>
                <w:sz w:val="18"/>
                <w:szCs w:val="18"/>
              </w:rPr>
              <w:t>机构运行信息表</w:t>
            </w:r>
          </w:p>
        </w:tc>
      </w:tr>
      <w:tr>
        <w:tblPrEx>
          <w:tblCellMar>
            <w:top w:w="0" w:type="dxa"/>
            <w:left w:w="108" w:type="dxa"/>
            <w:bottom w:w="0" w:type="dxa"/>
            <w:right w:w="108" w:type="dxa"/>
          </w:tblCellMar>
        </w:tblPrEx>
        <w:trPr>
          <w:trHeight w:val="255" w:hRule="atLeast"/>
        </w:trPr>
        <w:tc>
          <w:tcPr>
            <w:tcW w:w="2640"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1059" w:type="dxa"/>
            <w:gridSpan w:val="2"/>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0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3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5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公开09表</w:t>
            </w:r>
          </w:p>
        </w:tc>
      </w:tr>
      <w:tr>
        <w:tblPrEx>
          <w:tblCellMar>
            <w:top w:w="0" w:type="dxa"/>
            <w:left w:w="108" w:type="dxa"/>
            <w:bottom w:w="0" w:type="dxa"/>
            <w:right w:w="108" w:type="dxa"/>
          </w:tblCellMar>
        </w:tblPrEx>
        <w:trPr>
          <w:trHeight w:val="255" w:hRule="atLeast"/>
        </w:trPr>
        <w:tc>
          <w:tcPr>
            <w:tcW w:w="3699" w:type="dxa"/>
            <w:gridSpan w:val="3"/>
            <w:tcBorders>
              <w:top w:val="nil"/>
              <w:left w:val="nil"/>
              <w:bottom w:val="nil"/>
              <w:right w:val="nil"/>
            </w:tcBorders>
            <w:shd w:val="clear" w:color="auto" w:fill="auto"/>
            <w:noWrap/>
            <w:vAlign w:val="bottom"/>
          </w:tcPr>
          <w:p>
            <w:pPr>
              <w:rPr>
                <w:rFonts w:cs="Arial"/>
                <w:color w:val="000000"/>
                <w:sz w:val="18"/>
                <w:szCs w:val="18"/>
              </w:rPr>
            </w:pPr>
            <w:r>
              <w:rPr>
                <w:rFonts w:hint="eastAsia" w:cs="Arial"/>
                <w:color w:val="000000"/>
                <w:sz w:val="18"/>
                <w:szCs w:val="18"/>
              </w:rPr>
              <w:t>公开部门：垫江县五洞镇人民政府</w:t>
            </w:r>
          </w:p>
        </w:tc>
        <w:tc>
          <w:tcPr>
            <w:tcW w:w="709"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6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3366" w:type="dxa"/>
            <w:tcBorders>
              <w:top w:val="nil"/>
              <w:left w:val="nil"/>
              <w:bottom w:val="nil"/>
              <w:right w:val="nil"/>
            </w:tcBorders>
            <w:shd w:val="clear" w:color="auto" w:fill="auto"/>
            <w:noWrap/>
            <w:vAlign w:val="bottom"/>
          </w:tcPr>
          <w:p>
            <w:pPr>
              <w:rPr>
                <w:rFonts w:ascii="Arial" w:hAnsi="Arial" w:cs="Arial"/>
                <w:color w:val="000000"/>
                <w:sz w:val="18"/>
                <w:szCs w:val="18"/>
              </w:rPr>
            </w:pPr>
          </w:p>
        </w:tc>
        <w:tc>
          <w:tcPr>
            <w:tcW w:w="756" w:type="dxa"/>
            <w:tcBorders>
              <w:top w:val="nil"/>
              <w:left w:val="nil"/>
              <w:bottom w:val="nil"/>
              <w:right w:val="nil"/>
            </w:tcBorders>
            <w:shd w:val="clear" w:color="auto" w:fill="auto"/>
            <w:noWrap/>
            <w:vAlign w:val="bottom"/>
          </w:tcPr>
          <w:p>
            <w:pPr>
              <w:jc w:val="right"/>
              <w:rPr>
                <w:rFonts w:cs="Arial"/>
                <w:color w:val="000000"/>
                <w:sz w:val="18"/>
                <w:szCs w:val="18"/>
              </w:rPr>
            </w:pPr>
            <w:r>
              <w:rPr>
                <w:rFonts w:hint="eastAsia" w:cs="Arial"/>
                <w:color w:val="000000"/>
                <w:sz w:val="18"/>
                <w:szCs w:val="18"/>
              </w:rPr>
              <w:t>单位：万元</w:t>
            </w:r>
          </w:p>
        </w:tc>
      </w:tr>
      <w:tr>
        <w:tblPrEx>
          <w:tblCellMar>
            <w:top w:w="0" w:type="dxa"/>
            <w:left w:w="108" w:type="dxa"/>
            <w:bottom w:w="0" w:type="dxa"/>
            <w:right w:w="108" w:type="dxa"/>
          </w:tblCellMar>
        </w:tblPrEx>
        <w:trPr>
          <w:trHeight w:val="308" w:hRule="atLeast"/>
        </w:trPr>
        <w:tc>
          <w:tcPr>
            <w:tcW w:w="299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  目</w:t>
            </w:r>
          </w:p>
        </w:tc>
        <w:tc>
          <w:tcPr>
            <w:tcW w:w="709"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年初预算数</w:t>
            </w:r>
          </w:p>
        </w:tc>
        <w:tc>
          <w:tcPr>
            <w:tcW w:w="709"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全年预算数</w:t>
            </w:r>
          </w:p>
        </w:tc>
        <w:tc>
          <w:tcPr>
            <w:tcW w:w="666"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决算数</w:t>
            </w:r>
          </w:p>
        </w:tc>
        <w:tc>
          <w:tcPr>
            <w:tcW w:w="3366"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项  目</w:t>
            </w:r>
          </w:p>
        </w:tc>
        <w:tc>
          <w:tcPr>
            <w:tcW w:w="756" w:type="dxa"/>
            <w:tcBorders>
              <w:top w:val="single" w:color="000000" w:sz="4" w:space="0"/>
              <w:left w:val="nil"/>
              <w:bottom w:val="single" w:color="000000" w:sz="4" w:space="0"/>
              <w:right w:val="single" w:color="000000" w:sz="4" w:space="0"/>
            </w:tcBorders>
            <w:shd w:val="clear" w:color="FFFFFF" w:fill="C0C0C0"/>
            <w:noWrap/>
            <w:vAlign w:val="center"/>
          </w:tcPr>
          <w:p>
            <w:pPr>
              <w:jc w:val="center"/>
              <w:rPr>
                <w:rFonts w:cs="Arial"/>
                <w:b/>
                <w:bCs/>
                <w:color w:val="000000"/>
                <w:sz w:val="18"/>
                <w:szCs w:val="18"/>
              </w:rPr>
            </w:pPr>
            <w:r>
              <w:rPr>
                <w:rFonts w:hint="eastAsia" w:cs="Arial"/>
                <w:b/>
                <w:bCs/>
                <w:color w:val="000000"/>
                <w:sz w:val="18"/>
                <w:szCs w:val="18"/>
              </w:rPr>
              <w:t>决算数</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一、“三公”经费支出</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四、机关运行经费</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130.42</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（一）支出合计</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9.07</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9.07</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（一）行政单位</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130.42</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1．因公出国（境）费</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（二）参照公务员法管理事业单位</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2．公务用车购置及运行维护费</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4.04</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4.04</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五、资产信息</w:t>
            </w:r>
          </w:p>
        </w:tc>
        <w:tc>
          <w:tcPr>
            <w:tcW w:w="756"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（1）公务用车购置费</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（一）车辆数合计（辆）</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（2）公务用车运行维护费</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4.04</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4.04</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1．副部（省）级及以上领导用车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3．公务接待费</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5.50</w:t>
            </w:r>
          </w:p>
        </w:tc>
        <w:tc>
          <w:tcPr>
            <w:tcW w:w="709"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5.03</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5.03</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2．主要领导干部用车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（1）国内接待费</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5.03</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3．机要通信用车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其中：外事接待费</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4．应急保障用车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（2）国（境）外接待费</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5．执法执勤用车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（二）相关统计数</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6．特种专业技术用车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1．因公出国（境）团组数（个）</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7．离退休干部用车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2．因公出国（境）人次数（人）</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8．其他用车</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3．公务用车购置数（辆）</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（二）单价100万元（含）以上设备（不含车辆）</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4．公务用车保有量（辆）</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六、政府采购支出信息</w:t>
            </w:r>
          </w:p>
        </w:tc>
        <w:tc>
          <w:tcPr>
            <w:tcW w:w="756"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5．国内公务接待批次（个）</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227</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（一）政府采购支出合计</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其中：外事接待批次（个）</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1．政府采购货物支出</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6．国内公务接待人次（人）</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1,132</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2．政府采购工程支出</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其中：外事接待人次（人）</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3．政府采购服务支出</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7．国（境）外公务接待批次（个）</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（二）政府采购授予中小企业合同金额</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8．国（境）外公务接待人次（人）</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xml:space="preserve">        其中：授予小微企业合同金额</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0.00</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二、会议费</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5.54</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trHeight w:val="308" w:hRule="atLeast"/>
        </w:trPr>
        <w:tc>
          <w:tcPr>
            <w:tcW w:w="2990" w:type="dxa"/>
            <w:gridSpan w:val="2"/>
            <w:tcBorders>
              <w:top w:val="nil"/>
              <w:left w:val="single" w:color="000000" w:sz="4" w:space="0"/>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三、培训费</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709" w:type="dxa"/>
            <w:tcBorders>
              <w:top w:val="nil"/>
              <w:left w:val="nil"/>
              <w:bottom w:val="single" w:color="000000" w:sz="4" w:space="0"/>
              <w:right w:val="single" w:color="000000" w:sz="4" w:space="0"/>
            </w:tcBorders>
            <w:shd w:val="clear" w:color="auto" w:fill="auto"/>
            <w:noWrap/>
            <w:vAlign w:val="center"/>
          </w:tcPr>
          <w:p>
            <w:pPr>
              <w:jc w:val="center"/>
              <w:rPr>
                <w:rFonts w:cs="Arial"/>
                <w:sz w:val="18"/>
                <w:szCs w:val="18"/>
              </w:rPr>
            </w:pPr>
            <w:r>
              <w:rPr>
                <w:rFonts w:hint="eastAsia" w:cs="Arial"/>
                <w:sz w:val="18"/>
                <w:szCs w:val="18"/>
              </w:rPr>
              <w:t>—</w:t>
            </w:r>
          </w:p>
        </w:tc>
        <w:tc>
          <w:tcPr>
            <w:tcW w:w="666" w:type="dxa"/>
            <w:tcBorders>
              <w:top w:val="nil"/>
              <w:left w:val="nil"/>
              <w:bottom w:val="single" w:color="000000" w:sz="4" w:space="0"/>
              <w:right w:val="single" w:color="000000" w:sz="4" w:space="0"/>
            </w:tcBorders>
            <w:shd w:val="clear" w:color="auto" w:fill="auto"/>
            <w:noWrap/>
            <w:vAlign w:val="center"/>
          </w:tcPr>
          <w:p>
            <w:pPr>
              <w:jc w:val="right"/>
              <w:rPr>
                <w:rFonts w:cs="Arial"/>
                <w:sz w:val="18"/>
                <w:szCs w:val="18"/>
              </w:rPr>
            </w:pPr>
            <w:r>
              <w:rPr>
                <w:rFonts w:hint="eastAsia" w:cs="Arial"/>
                <w:sz w:val="18"/>
                <w:szCs w:val="18"/>
              </w:rPr>
              <w:t>0.17</w:t>
            </w:r>
          </w:p>
        </w:tc>
        <w:tc>
          <w:tcPr>
            <w:tcW w:w="3366" w:type="dxa"/>
            <w:tcBorders>
              <w:top w:val="nil"/>
              <w:left w:val="nil"/>
              <w:bottom w:val="single" w:color="000000" w:sz="4" w:space="0"/>
              <w:right w:val="single" w:color="000000" w:sz="4" w:space="0"/>
            </w:tcBorders>
            <w:shd w:val="clear" w:color="FFFFFF" w:fill="C0C0C0"/>
            <w:noWrap/>
            <w:vAlign w:val="center"/>
          </w:tcPr>
          <w:p>
            <w:pPr>
              <w:rPr>
                <w:rFonts w:cs="Arial"/>
                <w:color w:val="000000"/>
                <w:sz w:val="18"/>
                <w:szCs w:val="18"/>
              </w:rPr>
            </w:pPr>
            <w:r>
              <w:rPr>
                <w:rFonts w:hint="eastAsia" w:cs="Arial"/>
                <w:color w:val="000000"/>
                <w:sz w:val="18"/>
                <w:szCs w:val="18"/>
              </w:rPr>
              <w:t>　</w:t>
            </w:r>
          </w:p>
        </w:tc>
        <w:tc>
          <w:tcPr>
            <w:tcW w:w="756" w:type="dxa"/>
            <w:tcBorders>
              <w:top w:val="nil"/>
              <w:left w:val="nil"/>
              <w:bottom w:val="single" w:color="000000" w:sz="4" w:space="0"/>
              <w:right w:val="single" w:color="000000" w:sz="4" w:space="0"/>
            </w:tcBorders>
            <w:shd w:val="clear" w:color="auto" w:fill="auto"/>
            <w:noWrap/>
            <w:vAlign w:val="center"/>
          </w:tcPr>
          <w:p>
            <w:pPr>
              <w:jc w:val="right"/>
              <w:rPr>
                <w:rFonts w:cs="Arial"/>
                <w:color w:val="000000"/>
                <w:sz w:val="18"/>
                <w:szCs w:val="18"/>
              </w:rPr>
            </w:pPr>
            <w:r>
              <w:rPr>
                <w:rFonts w:hint="eastAsia" w:cs="Arial"/>
                <w:color w:val="000000"/>
                <w:sz w:val="18"/>
                <w:szCs w:val="18"/>
              </w:rPr>
              <w:t>　</w:t>
            </w:r>
          </w:p>
        </w:tc>
      </w:tr>
      <w:tr>
        <w:tblPrEx>
          <w:tblCellMar>
            <w:top w:w="0" w:type="dxa"/>
            <w:left w:w="108" w:type="dxa"/>
            <w:bottom w:w="0" w:type="dxa"/>
            <w:right w:w="108" w:type="dxa"/>
          </w:tblCellMar>
        </w:tblPrEx>
        <w:trPr>
          <w:trHeight w:val="507" w:hRule="atLeast"/>
        </w:trPr>
        <w:tc>
          <w:tcPr>
            <w:tcW w:w="9196" w:type="dxa"/>
            <w:gridSpan w:val="7"/>
            <w:tcBorders>
              <w:top w:val="nil"/>
              <w:left w:val="nil"/>
              <w:bottom w:val="nil"/>
              <w:right w:val="nil"/>
            </w:tcBorders>
            <w:shd w:val="clear" w:color="auto" w:fill="auto"/>
            <w:vAlign w:val="center"/>
          </w:tcPr>
          <w:p>
            <w:pPr>
              <w:rPr>
                <w:rFonts w:cs="Arial"/>
                <w:color w:val="000000"/>
                <w:sz w:val="18"/>
                <w:szCs w:val="18"/>
              </w:rPr>
            </w:pPr>
            <w:r>
              <w:rPr>
                <w:rFonts w:hint="eastAsia" w:cs="Arial"/>
                <w:color w:val="000000"/>
                <w:sz w:val="18"/>
                <w:szCs w:val="18"/>
              </w:rPr>
              <w:t>备注：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p>
        </w:tc>
      </w:tr>
      <w:tr>
        <w:tblPrEx>
          <w:tblCellMar>
            <w:top w:w="0" w:type="dxa"/>
            <w:left w:w="108" w:type="dxa"/>
            <w:bottom w:w="0" w:type="dxa"/>
            <w:right w:w="108" w:type="dxa"/>
          </w:tblCellMar>
        </w:tblPrEx>
        <w:trPr>
          <w:trHeight w:val="308" w:hRule="atLeast"/>
        </w:trPr>
        <w:tc>
          <w:tcPr>
            <w:tcW w:w="9196" w:type="dxa"/>
            <w:gridSpan w:val="7"/>
            <w:tcBorders>
              <w:top w:val="nil"/>
              <w:left w:val="nil"/>
              <w:bottom w:val="nil"/>
              <w:right w:val="nil"/>
            </w:tcBorders>
            <w:shd w:val="clear" w:color="auto" w:fill="auto"/>
            <w:vAlign w:val="center"/>
          </w:tcPr>
          <w:p>
            <w:pPr>
              <w:rPr>
                <w:rFonts w:cs="Arial"/>
                <w:color w:val="000000"/>
                <w:sz w:val="18"/>
                <w:szCs w:val="18"/>
              </w:rPr>
            </w:pPr>
            <w:r>
              <w:rPr>
                <w:rFonts w:hint="eastAsia" w:cs="Arial"/>
                <w:color w:val="000000"/>
                <w:sz w:val="18"/>
                <w:szCs w:val="18"/>
              </w:rPr>
              <w:t xml:space="preserve">      本表为空的单位应将空表公开，并注明：本单位无相关数据，故本表为空。    </w:t>
            </w:r>
          </w:p>
        </w:tc>
      </w:tr>
    </w:tbl>
    <w:p>
      <w:pPr>
        <w:pStyle w:val="30"/>
        <w:shd w:val="clear" w:color="auto" w:fill="FFFFFF"/>
        <w:spacing w:before="0" w:beforeAutospacing="0" w:after="0" w:afterAutospacing="0" w:line="500" w:lineRule="exact"/>
        <w:rPr>
          <w:rFonts w:ascii="方正仿宋_GBK" w:eastAsia="方正仿宋_GBK"/>
          <w:sz w:val="32"/>
          <w:szCs w:val="32"/>
          <w:shd w:val="clear" w:color="auto" w:fill="FFFFFF"/>
        </w:rPr>
      </w:pPr>
    </w:p>
    <w:sectPr>
      <w:pgSz w:w="11915"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A279C"/>
    <w:multiLevelType w:val="multilevel"/>
    <w:tmpl w:val="636A279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compat>
    <w:doNotExpandShiftReturn/>
    <w:useFELayout/>
    <w:compatSetting w:name="compatibilityMode" w:uri="http://schemas.microsoft.com/office/word" w:val="12"/>
  </w:compat>
  <w:docVars>
    <w:docVar w:name="commondata" w:val="eyJoZGlkIjoiNTJhYTMzYzczNDA1MDgyNDA2Mjg5NTZiNGM0ZTdjYTMifQ=="/>
  </w:docVars>
  <w:rsids>
    <w:rsidRoot w:val="00703522"/>
    <w:rsid w:val="00034FE2"/>
    <w:rsid w:val="0008203C"/>
    <w:rsid w:val="000E2208"/>
    <w:rsid w:val="001F0736"/>
    <w:rsid w:val="0023293B"/>
    <w:rsid w:val="00286E28"/>
    <w:rsid w:val="00287679"/>
    <w:rsid w:val="003954E1"/>
    <w:rsid w:val="003C18CA"/>
    <w:rsid w:val="003F52CC"/>
    <w:rsid w:val="004336FA"/>
    <w:rsid w:val="004826AC"/>
    <w:rsid w:val="004B2E5E"/>
    <w:rsid w:val="004C44CB"/>
    <w:rsid w:val="005840EE"/>
    <w:rsid w:val="00673F53"/>
    <w:rsid w:val="006D13D6"/>
    <w:rsid w:val="006E73CC"/>
    <w:rsid w:val="00703522"/>
    <w:rsid w:val="00723A94"/>
    <w:rsid w:val="007F7BC4"/>
    <w:rsid w:val="00812626"/>
    <w:rsid w:val="00831FD0"/>
    <w:rsid w:val="00884857"/>
    <w:rsid w:val="008B6900"/>
    <w:rsid w:val="008C0135"/>
    <w:rsid w:val="00920F7C"/>
    <w:rsid w:val="009C2F05"/>
    <w:rsid w:val="009D6CA8"/>
    <w:rsid w:val="009E73A2"/>
    <w:rsid w:val="00A047E5"/>
    <w:rsid w:val="00AC3FFE"/>
    <w:rsid w:val="00AD281B"/>
    <w:rsid w:val="00B52F17"/>
    <w:rsid w:val="00CB6D99"/>
    <w:rsid w:val="00D157D6"/>
    <w:rsid w:val="00D321FD"/>
    <w:rsid w:val="00DF5792"/>
    <w:rsid w:val="00E125A6"/>
    <w:rsid w:val="00E5604F"/>
    <w:rsid w:val="00E901BF"/>
    <w:rsid w:val="00EF66F4"/>
    <w:rsid w:val="00F102CC"/>
    <w:rsid w:val="00F56E1E"/>
    <w:rsid w:val="051018FA"/>
    <w:rsid w:val="35A3491B"/>
    <w:rsid w:val="3BE54EF3"/>
    <w:rsid w:val="60EF1F81"/>
    <w:rsid w:val="6E505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0"/>
    <w:qFormat/>
    <w:uiPriority w:val="9"/>
    <w:pPr>
      <w:spacing w:before="100" w:beforeAutospacing="1" w:after="100" w:afterAutospacing="1"/>
      <w:outlineLvl w:val="0"/>
    </w:pPr>
    <w:rPr>
      <w:b/>
      <w:bCs/>
      <w:kern w:val="44"/>
      <w:sz w:val="48"/>
      <w:szCs w:val="48"/>
    </w:rPr>
  </w:style>
  <w:style w:type="paragraph" w:styleId="4">
    <w:name w:val="heading 2"/>
    <w:basedOn w:val="1"/>
    <w:next w:val="1"/>
    <w:link w:val="21"/>
    <w:qFormat/>
    <w:uiPriority w:val="9"/>
    <w:pPr>
      <w:spacing w:before="100" w:beforeAutospacing="1" w:after="100" w:afterAutospacing="1"/>
      <w:outlineLvl w:val="1"/>
    </w:pPr>
    <w:rPr>
      <w:b/>
      <w:bCs/>
      <w:sz w:val="36"/>
      <w:szCs w:val="36"/>
    </w:rPr>
  </w:style>
  <w:style w:type="paragraph" w:styleId="5">
    <w:name w:val="heading 3"/>
    <w:basedOn w:val="1"/>
    <w:next w:val="1"/>
    <w:link w:val="22"/>
    <w:qFormat/>
    <w:uiPriority w:val="9"/>
    <w:pPr>
      <w:spacing w:before="100" w:beforeAutospacing="1" w:after="100" w:afterAutospacing="1"/>
      <w:outlineLvl w:val="2"/>
    </w:pPr>
    <w:rPr>
      <w:b/>
      <w:bCs/>
      <w:sz w:val="27"/>
      <w:szCs w:val="27"/>
    </w:rPr>
  </w:style>
  <w:style w:type="paragraph" w:styleId="6">
    <w:name w:val="heading 4"/>
    <w:basedOn w:val="1"/>
    <w:next w:val="1"/>
    <w:link w:val="23"/>
    <w:qFormat/>
    <w:uiPriority w:val="9"/>
    <w:pPr>
      <w:spacing w:before="100" w:beforeAutospacing="1" w:after="100" w:afterAutospacing="1"/>
      <w:outlineLvl w:val="3"/>
    </w:pPr>
    <w:rPr>
      <w:b/>
      <w:bCs/>
    </w:rPr>
  </w:style>
  <w:style w:type="paragraph" w:styleId="7">
    <w:name w:val="heading 5"/>
    <w:basedOn w:val="1"/>
    <w:next w:val="1"/>
    <w:link w:val="24"/>
    <w:qFormat/>
    <w:uiPriority w:val="9"/>
    <w:pPr>
      <w:spacing w:before="100" w:beforeAutospacing="1" w:after="100" w:afterAutospacing="1"/>
      <w:outlineLvl w:val="4"/>
    </w:pPr>
    <w:rPr>
      <w:b/>
      <w:bCs/>
      <w:sz w:val="20"/>
      <w:szCs w:val="20"/>
    </w:rPr>
  </w:style>
  <w:style w:type="paragraph" w:styleId="8">
    <w:name w:val="heading 6"/>
    <w:basedOn w:val="1"/>
    <w:next w:val="1"/>
    <w:link w:val="25"/>
    <w:qFormat/>
    <w:uiPriority w:val="9"/>
    <w:pPr>
      <w:spacing w:before="100" w:beforeAutospacing="1" w:after="100" w:afterAutospacing="1"/>
      <w:outlineLvl w:val="5"/>
    </w:pPr>
    <w:rPr>
      <w:b/>
      <w:bCs/>
      <w:sz w:val="15"/>
      <w:szCs w:val="15"/>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hint="eastAsia" w:cs="Times New Roman"/>
    </w:rPr>
  </w:style>
  <w:style w:type="paragraph" w:styleId="9">
    <w:name w:val="Plain Text"/>
    <w:basedOn w:val="1"/>
    <w:link w:val="60"/>
    <w:unhideWhenUsed/>
    <w:qFormat/>
    <w:uiPriority w:val="99"/>
    <w:rPr>
      <w:rFonts w:hAnsi="Courier New" w:cs="Courier New"/>
      <w:szCs w:val="21"/>
    </w:rPr>
  </w:style>
  <w:style w:type="paragraph" w:styleId="10">
    <w:name w:val="Balloon Text"/>
    <w:basedOn w:val="1"/>
    <w:link w:val="29"/>
    <w:qFormat/>
    <w:uiPriority w:val="99"/>
    <w:rPr>
      <w:sz w:val="18"/>
      <w:szCs w:val="18"/>
    </w:rPr>
  </w:style>
  <w:style w:type="paragraph" w:styleId="11">
    <w:name w:val="footer"/>
    <w:basedOn w:val="1"/>
    <w:link w:val="28"/>
    <w:qFormat/>
    <w:uiPriority w:val="99"/>
    <w:pPr>
      <w:tabs>
        <w:tab w:val="center" w:pos="4153"/>
        <w:tab w:val="right" w:pos="8306"/>
      </w:tabs>
      <w:snapToGrid w:val="0"/>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qFormat/>
    <w:uiPriority w:val="99"/>
    <w:pPr>
      <w:spacing w:before="100" w:beforeAutospacing="1" w:after="100" w:afterAutospacing="1"/>
    </w:pPr>
  </w:style>
  <w:style w:type="character" w:styleId="17">
    <w:name w:val="Strong"/>
    <w:basedOn w:val="16"/>
    <w:qFormat/>
    <w:uiPriority w:val="0"/>
    <w:rPr>
      <w:b/>
    </w:rPr>
  </w:style>
  <w:style w:type="character" w:styleId="18">
    <w:name w:val="FollowedHyperlink"/>
    <w:basedOn w:val="16"/>
    <w:unhideWhenUsed/>
    <w:qFormat/>
    <w:uiPriority w:val="99"/>
    <w:rPr>
      <w:color w:val="800080"/>
      <w:u w:val="single"/>
    </w:rPr>
  </w:style>
  <w:style w:type="character" w:styleId="19">
    <w:name w:val="Hyperlink"/>
    <w:basedOn w:val="16"/>
    <w:unhideWhenUsed/>
    <w:qFormat/>
    <w:uiPriority w:val="99"/>
    <w:rPr>
      <w:color w:val="0000FF"/>
      <w:u w:val="single"/>
    </w:rPr>
  </w:style>
  <w:style w:type="character" w:customStyle="1" w:styleId="20">
    <w:name w:val="标题 1 Char"/>
    <w:basedOn w:val="16"/>
    <w:link w:val="3"/>
    <w:qFormat/>
    <w:locked/>
    <w:uiPriority w:val="9"/>
    <w:rPr>
      <w:rFonts w:hint="eastAsia" w:ascii="宋体" w:hAnsi="宋体" w:eastAsia="宋体" w:cs="宋体"/>
      <w:b/>
      <w:bCs/>
      <w:kern w:val="44"/>
      <w:sz w:val="44"/>
      <w:szCs w:val="44"/>
    </w:rPr>
  </w:style>
  <w:style w:type="character" w:customStyle="1" w:styleId="21">
    <w:name w:val="标题 2 Char"/>
    <w:basedOn w:val="16"/>
    <w:link w:val="4"/>
    <w:qFormat/>
    <w:locked/>
    <w:uiPriority w:val="9"/>
    <w:rPr>
      <w:rFonts w:hint="default" w:asciiTheme="majorHAnsi" w:hAnsiTheme="majorHAnsi" w:eastAsiaTheme="majorEastAsia" w:cstheme="majorBidi"/>
      <w:b/>
      <w:bCs/>
      <w:sz w:val="32"/>
      <w:szCs w:val="32"/>
    </w:rPr>
  </w:style>
  <w:style w:type="character" w:customStyle="1" w:styleId="22">
    <w:name w:val="标题 3 Char"/>
    <w:basedOn w:val="16"/>
    <w:link w:val="5"/>
    <w:qFormat/>
    <w:locked/>
    <w:uiPriority w:val="9"/>
    <w:rPr>
      <w:rFonts w:hint="eastAsia" w:ascii="宋体" w:hAnsi="宋体" w:eastAsia="宋体" w:cs="宋体"/>
      <w:b/>
      <w:bCs/>
      <w:sz w:val="32"/>
      <w:szCs w:val="32"/>
    </w:rPr>
  </w:style>
  <w:style w:type="character" w:customStyle="1" w:styleId="23">
    <w:name w:val="标题 4 Char"/>
    <w:basedOn w:val="16"/>
    <w:link w:val="6"/>
    <w:qFormat/>
    <w:locked/>
    <w:uiPriority w:val="9"/>
    <w:rPr>
      <w:rFonts w:hint="default" w:asciiTheme="majorHAnsi" w:hAnsiTheme="majorHAnsi" w:eastAsiaTheme="majorEastAsia" w:cstheme="majorBidi"/>
      <w:b/>
      <w:bCs/>
      <w:sz w:val="28"/>
      <w:szCs w:val="28"/>
    </w:rPr>
  </w:style>
  <w:style w:type="character" w:customStyle="1" w:styleId="24">
    <w:name w:val="标题 5 Char"/>
    <w:basedOn w:val="16"/>
    <w:link w:val="7"/>
    <w:qFormat/>
    <w:locked/>
    <w:uiPriority w:val="9"/>
    <w:rPr>
      <w:rFonts w:hint="eastAsia" w:ascii="宋体" w:hAnsi="宋体" w:eastAsia="宋体" w:cs="宋体"/>
      <w:b/>
      <w:bCs/>
      <w:sz w:val="28"/>
      <w:szCs w:val="28"/>
    </w:rPr>
  </w:style>
  <w:style w:type="character" w:customStyle="1" w:styleId="25">
    <w:name w:val="标题 6 Char"/>
    <w:basedOn w:val="16"/>
    <w:link w:val="8"/>
    <w:qFormat/>
    <w:locked/>
    <w:uiPriority w:val="9"/>
    <w:rPr>
      <w:rFonts w:hint="default" w:asciiTheme="majorHAnsi" w:hAnsiTheme="majorHAnsi" w:eastAsiaTheme="majorEastAsia" w:cstheme="majorBidi"/>
      <w:b/>
      <w:bCs/>
      <w:sz w:val="24"/>
      <w:szCs w:val="24"/>
    </w:rPr>
  </w:style>
  <w:style w:type="character" w:customStyle="1" w:styleId="26">
    <w:name w:val="HTML 预设格式 Char"/>
    <w:basedOn w:val="16"/>
    <w:link w:val="13"/>
    <w:qFormat/>
    <w:locked/>
    <w:uiPriority w:val="99"/>
    <w:rPr>
      <w:rFonts w:hint="default" w:ascii="Courier New" w:hAnsi="Courier New" w:eastAsia="宋体" w:cs="Courier New"/>
    </w:rPr>
  </w:style>
  <w:style w:type="character" w:customStyle="1" w:styleId="27">
    <w:name w:val="页眉 Char"/>
    <w:basedOn w:val="16"/>
    <w:link w:val="12"/>
    <w:qFormat/>
    <w:locked/>
    <w:uiPriority w:val="99"/>
    <w:rPr>
      <w:rFonts w:hint="eastAsia" w:ascii="宋体" w:hAnsi="宋体" w:eastAsia="宋体" w:cs="宋体"/>
      <w:sz w:val="18"/>
      <w:szCs w:val="18"/>
    </w:rPr>
  </w:style>
  <w:style w:type="character" w:customStyle="1" w:styleId="28">
    <w:name w:val="页脚 Char"/>
    <w:basedOn w:val="16"/>
    <w:link w:val="11"/>
    <w:qFormat/>
    <w:locked/>
    <w:uiPriority w:val="99"/>
    <w:rPr>
      <w:rFonts w:hint="eastAsia" w:ascii="宋体" w:hAnsi="宋体" w:eastAsia="宋体" w:cs="宋体"/>
      <w:sz w:val="18"/>
      <w:szCs w:val="18"/>
    </w:rPr>
  </w:style>
  <w:style w:type="character" w:customStyle="1" w:styleId="29">
    <w:name w:val="批注框文本 Char"/>
    <w:basedOn w:val="16"/>
    <w:link w:val="10"/>
    <w:qFormat/>
    <w:locked/>
    <w:uiPriority w:val="99"/>
    <w:rPr>
      <w:rFonts w:hint="eastAsia" w:ascii="宋体" w:hAnsi="宋体" w:eastAsia="宋体" w:cs="宋体"/>
      <w:sz w:val="18"/>
      <w:szCs w:val="18"/>
    </w:rPr>
  </w:style>
  <w:style w:type="paragraph" w:customStyle="1" w:styleId="30">
    <w:name w:val="普通(网站) Char"/>
    <w:basedOn w:val="1"/>
    <w:qFormat/>
    <w:uiPriority w:val="99"/>
    <w:pPr>
      <w:spacing w:before="100" w:beforeAutospacing="1" w:after="100" w:afterAutospacing="1"/>
    </w:pPr>
  </w:style>
  <w:style w:type="paragraph" w:customStyle="1" w:styleId="31">
    <w:name w:val="HTML 预设格式 Char1"/>
    <w:basedOn w:val="1"/>
    <w:qFormat/>
    <w:uiPriority w:val="99"/>
    <w:rPr>
      <w:rFonts w:ascii="Courier New" w:hAnsi="Courier New" w:cs="Courier New"/>
      <w:sz w:val="20"/>
      <w:szCs w:val="20"/>
    </w:rPr>
  </w:style>
  <w:style w:type="paragraph" w:customStyle="1" w:styleId="32">
    <w:name w:val="msolistparagraph"/>
    <w:basedOn w:val="1"/>
    <w:qFormat/>
    <w:uiPriority w:val="99"/>
    <w:pPr>
      <w:widowControl w:val="0"/>
      <w:ind w:firstLine="420" w:firstLineChars="200"/>
      <w:jc w:val="both"/>
    </w:pPr>
    <w:rPr>
      <w:rFonts w:ascii="Times New Roman" w:hAnsi="Times New Roman" w:cs="Times New Roman"/>
      <w:kern w:val="2"/>
      <w:sz w:val="21"/>
      <w:szCs w:val="21"/>
    </w:rPr>
  </w:style>
  <w:style w:type="paragraph" w:customStyle="1" w:styleId="33">
    <w:name w:val="No Spacing1"/>
    <w:basedOn w:val="1"/>
    <w:qFormat/>
    <w:uiPriority w:val="99"/>
    <w:pPr>
      <w:ind w:firstLine="200" w:firstLineChars="200"/>
    </w:pPr>
    <w:rPr>
      <w:rFonts w:ascii="Times New Roman" w:hAnsi="Times New Roman" w:cs="Times New Roman"/>
      <w:sz w:val="30"/>
      <w:szCs w:val="30"/>
    </w:rPr>
  </w:style>
  <w:style w:type="character" w:customStyle="1" w:styleId="34">
    <w:name w:val="10"/>
    <w:basedOn w:val="16"/>
    <w:qFormat/>
    <w:uiPriority w:val="0"/>
    <w:rPr>
      <w:rFonts w:hint="default" w:ascii="Times New Roman" w:hAnsi="Times New Roman" w:cs="Times New Roman"/>
    </w:rPr>
  </w:style>
  <w:style w:type="character" w:customStyle="1" w:styleId="35">
    <w:name w:val="15"/>
    <w:basedOn w:val="16"/>
    <w:qFormat/>
    <w:uiPriority w:val="0"/>
    <w:rPr>
      <w:rFonts w:hint="default" w:ascii="Times New Roman" w:hAnsi="Times New Roman" w:cs="Times New Roman"/>
      <w:b/>
    </w:rPr>
  </w:style>
  <w:style w:type="character" w:customStyle="1" w:styleId="36">
    <w:name w:val="16"/>
    <w:basedOn w:val="16"/>
    <w:qFormat/>
    <w:uiPriority w:val="0"/>
    <w:rPr>
      <w:rFonts w:hint="default" w:ascii="Times New Roman" w:hAnsi="Times New Roman" w:cs="Times New Roman"/>
    </w:rPr>
  </w:style>
  <w:style w:type="paragraph" w:styleId="37">
    <w:name w:val="List Paragraph"/>
    <w:basedOn w:val="1"/>
    <w:qFormat/>
    <w:uiPriority w:val="99"/>
    <w:pPr>
      <w:ind w:firstLine="420" w:firstLineChars="200"/>
    </w:pPr>
  </w:style>
  <w:style w:type="paragraph" w:customStyle="1" w:styleId="38">
    <w:name w:val="font5"/>
    <w:basedOn w:val="1"/>
    <w:qFormat/>
    <w:uiPriority w:val="0"/>
    <w:pPr>
      <w:spacing w:before="100" w:beforeAutospacing="1" w:after="100" w:afterAutospacing="1"/>
    </w:pPr>
    <w:rPr>
      <w:sz w:val="18"/>
      <w:szCs w:val="18"/>
    </w:rPr>
  </w:style>
  <w:style w:type="paragraph" w:customStyle="1" w:styleId="39">
    <w:name w:val="xl84"/>
    <w:basedOn w:val="1"/>
    <w:qFormat/>
    <w:uiPriority w:val="0"/>
    <w:pPr>
      <w:spacing w:before="100" w:beforeAutospacing="1" w:after="100" w:afterAutospacing="1"/>
      <w:jc w:val="right"/>
    </w:pPr>
  </w:style>
  <w:style w:type="paragraph" w:customStyle="1" w:styleId="40">
    <w:name w:val="xl85"/>
    <w:basedOn w:val="1"/>
    <w:qFormat/>
    <w:uiPriority w:val="0"/>
    <w:pPr>
      <w:pBdr>
        <w:bottom w:val="single" w:color="000000" w:sz="4" w:space="0"/>
        <w:right w:val="single" w:color="000000" w:sz="4" w:space="0"/>
      </w:pBdr>
      <w:spacing w:before="100" w:beforeAutospacing="1" w:after="100" w:afterAutospacing="1"/>
      <w:jc w:val="right"/>
      <w:textAlignment w:val="center"/>
    </w:pPr>
    <w:rPr>
      <w:sz w:val="22"/>
      <w:szCs w:val="22"/>
    </w:rPr>
  </w:style>
  <w:style w:type="paragraph" w:customStyle="1" w:styleId="41">
    <w:name w:val="xl86"/>
    <w:basedOn w:val="1"/>
    <w:qFormat/>
    <w:uiPriority w:val="0"/>
    <w:pPr>
      <w:pBdr>
        <w:bottom w:val="single" w:color="000000" w:sz="4" w:space="0"/>
        <w:right w:val="single" w:color="000000" w:sz="4" w:space="0"/>
      </w:pBdr>
      <w:spacing w:before="100" w:beforeAutospacing="1" w:after="100" w:afterAutospacing="1"/>
      <w:textAlignment w:val="center"/>
    </w:pPr>
    <w:rPr>
      <w:sz w:val="22"/>
      <w:szCs w:val="22"/>
    </w:rPr>
  </w:style>
  <w:style w:type="paragraph" w:customStyle="1" w:styleId="42">
    <w:name w:val="xl87"/>
    <w:basedOn w:val="1"/>
    <w:qFormat/>
    <w:uiPriority w:val="0"/>
    <w:pPr>
      <w:pBdr>
        <w:bottom w:val="single" w:color="000000" w:sz="4" w:space="0"/>
        <w:right w:val="single" w:color="000000" w:sz="4" w:space="0"/>
      </w:pBdr>
      <w:spacing w:before="100" w:beforeAutospacing="1" w:after="100" w:afterAutospacing="1"/>
      <w:textAlignment w:val="center"/>
    </w:pPr>
    <w:rPr>
      <w:b/>
      <w:bCs/>
      <w:sz w:val="22"/>
      <w:szCs w:val="22"/>
    </w:rPr>
  </w:style>
  <w:style w:type="paragraph" w:customStyle="1" w:styleId="43">
    <w:name w:val="xl88"/>
    <w:basedOn w:val="1"/>
    <w:qFormat/>
    <w:uiPriority w:val="0"/>
    <w:pPr>
      <w:pBdr>
        <w:bottom w:val="single" w:color="000000" w:sz="4" w:space="0"/>
        <w:right w:val="single" w:color="000000" w:sz="4" w:space="0"/>
      </w:pBdr>
      <w:spacing w:before="100" w:beforeAutospacing="1" w:after="100" w:afterAutospacing="1"/>
      <w:jc w:val="right"/>
      <w:textAlignment w:val="center"/>
    </w:pPr>
    <w:rPr>
      <w:b/>
      <w:bCs/>
      <w:sz w:val="22"/>
      <w:szCs w:val="22"/>
    </w:rPr>
  </w:style>
  <w:style w:type="paragraph" w:customStyle="1" w:styleId="44">
    <w:name w:val="xl89"/>
    <w:basedOn w:val="1"/>
    <w:uiPriority w:val="0"/>
    <w:pPr>
      <w:pBdr>
        <w:bottom w:val="single" w:color="000000" w:sz="4" w:space="0"/>
        <w:right w:val="single" w:color="000000" w:sz="4" w:space="0"/>
      </w:pBdr>
      <w:spacing w:before="100" w:beforeAutospacing="1" w:after="100" w:afterAutospacing="1"/>
      <w:textAlignment w:val="center"/>
    </w:pPr>
    <w:rPr>
      <w:b/>
      <w:bCs/>
    </w:rPr>
  </w:style>
  <w:style w:type="paragraph" w:customStyle="1" w:styleId="45">
    <w:name w:val="xl90"/>
    <w:basedOn w:val="1"/>
    <w:qFormat/>
    <w:uiPriority w:val="0"/>
    <w:pPr>
      <w:pBdr>
        <w:bottom w:val="single" w:color="000000" w:sz="4" w:space="0"/>
        <w:right w:val="single" w:color="000000" w:sz="4" w:space="0"/>
      </w:pBdr>
      <w:spacing w:before="100" w:beforeAutospacing="1" w:after="100" w:afterAutospacing="1"/>
      <w:textAlignment w:val="center"/>
    </w:pPr>
    <w:rPr>
      <w:b/>
      <w:bCs/>
      <w:sz w:val="18"/>
      <w:szCs w:val="18"/>
    </w:rPr>
  </w:style>
  <w:style w:type="paragraph" w:customStyle="1" w:styleId="46">
    <w:name w:val="xl91"/>
    <w:basedOn w:val="1"/>
    <w:qFormat/>
    <w:uiPriority w:val="0"/>
    <w:pPr>
      <w:pBdr>
        <w:bottom w:val="single" w:color="000000" w:sz="4" w:space="0"/>
        <w:right w:val="single" w:color="000000" w:sz="4" w:space="0"/>
      </w:pBdr>
      <w:spacing w:before="100" w:beforeAutospacing="1" w:after="100" w:afterAutospacing="1"/>
      <w:jc w:val="right"/>
      <w:textAlignment w:val="center"/>
    </w:pPr>
    <w:rPr>
      <w:sz w:val="22"/>
      <w:szCs w:val="22"/>
    </w:rPr>
  </w:style>
  <w:style w:type="paragraph" w:customStyle="1" w:styleId="47">
    <w:name w:val="xl92"/>
    <w:basedOn w:val="1"/>
    <w:qFormat/>
    <w:uiPriority w:val="0"/>
    <w:pPr>
      <w:spacing w:before="100" w:beforeAutospacing="1" w:after="100" w:afterAutospacing="1"/>
      <w:jc w:val="center"/>
    </w:pPr>
    <w:rPr>
      <w:sz w:val="44"/>
      <w:szCs w:val="44"/>
    </w:rPr>
  </w:style>
  <w:style w:type="paragraph" w:customStyle="1" w:styleId="48">
    <w:name w:val="xl93"/>
    <w:basedOn w:val="1"/>
    <w:qFormat/>
    <w:uiPriority w:val="0"/>
    <w:pPr>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paragraph" w:customStyle="1" w:styleId="49">
    <w:name w:val="xl94"/>
    <w:basedOn w:val="1"/>
    <w:qFormat/>
    <w:uiPriority w:val="0"/>
    <w:pPr>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paragraph" w:customStyle="1" w:styleId="50">
    <w:name w:val="xl95"/>
    <w:basedOn w:val="1"/>
    <w:qFormat/>
    <w:uiPriority w:val="0"/>
    <w:pPr>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paragraph" w:customStyle="1" w:styleId="51">
    <w:name w:val="xl96"/>
    <w:basedOn w:val="1"/>
    <w:qFormat/>
    <w:uiPriority w:val="0"/>
    <w:pPr>
      <w:pBdr>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paragraph" w:customStyle="1" w:styleId="52">
    <w:name w:val="xl97"/>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center"/>
    </w:pPr>
    <w:rPr>
      <w:b/>
      <w:bCs/>
      <w:sz w:val="22"/>
      <w:szCs w:val="22"/>
    </w:rPr>
  </w:style>
  <w:style w:type="paragraph" w:customStyle="1" w:styleId="53">
    <w:name w:val="xl98"/>
    <w:basedOn w:val="1"/>
    <w:qFormat/>
    <w:uiPriority w:val="0"/>
    <w:pPr>
      <w:pBdr>
        <w:left w:val="single" w:color="000000" w:sz="4" w:space="0"/>
        <w:bottom w:val="single" w:color="000000" w:sz="4" w:space="0"/>
        <w:right w:val="single" w:color="000000" w:sz="4" w:space="0"/>
      </w:pBdr>
      <w:spacing w:before="100" w:beforeAutospacing="1" w:after="100" w:afterAutospacing="1"/>
      <w:textAlignment w:val="center"/>
    </w:pPr>
    <w:rPr>
      <w:sz w:val="22"/>
      <w:szCs w:val="22"/>
    </w:rPr>
  </w:style>
  <w:style w:type="paragraph" w:customStyle="1" w:styleId="54">
    <w:name w:val="xl99"/>
    <w:basedOn w:val="1"/>
    <w:qFormat/>
    <w:uiPriority w:val="0"/>
    <w:pPr>
      <w:pBdr>
        <w:bottom w:val="single" w:color="000000" w:sz="4" w:space="0"/>
      </w:pBdr>
      <w:spacing w:before="100" w:beforeAutospacing="1" w:after="100" w:afterAutospacing="1"/>
    </w:pPr>
  </w:style>
  <w:style w:type="paragraph" w:customStyle="1" w:styleId="55">
    <w:name w:val="xl100"/>
    <w:basedOn w:val="1"/>
    <w:qFormat/>
    <w:uiPriority w:val="0"/>
    <w:pPr>
      <w:pBdr>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paragraph" w:customStyle="1" w:styleId="56">
    <w:name w:val="xl101"/>
    <w:basedOn w:val="1"/>
    <w:qFormat/>
    <w:uiPriority w:val="0"/>
    <w:pPr>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sz w:val="22"/>
      <w:szCs w:val="22"/>
    </w:rPr>
  </w:style>
  <w:style w:type="paragraph" w:customStyle="1" w:styleId="57">
    <w:name w:val="xl102"/>
    <w:basedOn w:val="1"/>
    <w:qFormat/>
    <w:uiPriority w:val="0"/>
    <w:pPr>
      <w:pBdr>
        <w:bottom w:val="single" w:color="000000" w:sz="4" w:space="0"/>
        <w:right w:val="single" w:color="000000" w:sz="4" w:space="0"/>
      </w:pBdr>
      <w:shd w:val="clear" w:color="FFFFFF" w:fill="C0C0C0"/>
      <w:spacing w:before="100" w:beforeAutospacing="1" w:after="100" w:afterAutospacing="1"/>
      <w:jc w:val="center"/>
      <w:textAlignment w:val="center"/>
    </w:pPr>
    <w:rPr>
      <w:sz w:val="22"/>
      <w:szCs w:val="22"/>
    </w:rPr>
  </w:style>
  <w:style w:type="paragraph" w:customStyle="1" w:styleId="58">
    <w:name w:val="xl103"/>
    <w:basedOn w:val="1"/>
    <w:qFormat/>
    <w:uiPriority w:val="0"/>
    <w:pPr>
      <w:spacing w:before="100" w:beforeAutospacing="1" w:after="100" w:afterAutospacing="1"/>
      <w:textAlignment w:val="center"/>
    </w:pPr>
  </w:style>
  <w:style w:type="paragraph" w:customStyle="1" w:styleId="59">
    <w:name w:val="xl104"/>
    <w:basedOn w:val="1"/>
    <w:qFormat/>
    <w:uiPriority w:val="0"/>
    <w:pPr>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b/>
      <w:bCs/>
      <w:sz w:val="22"/>
      <w:szCs w:val="22"/>
    </w:rPr>
  </w:style>
  <w:style w:type="character" w:customStyle="1" w:styleId="60">
    <w:name w:val="纯文本 Char"/>
    <w:basedOn w:val="16"/>
    <w:link w:val="9"/>
    <w:qFormat/>
    <w:uiPriority w:val="99"/>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24</Pages>
  <Words>13219</Words>
  <Characters>21910</Characters>
  <Lines>191</Lines>
  <Paragraphs>53</Paragraphs>
  <TotalTime>71</TotalTime>
  <ScaleCrop>false</ScaleCrop>
  <LinksUpToDate>false</LinksUpToDate>
  <CharactersWithSpaces>22761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2023-08-30T07:59:00Z</dcterms:created>
  <dc:creator>26094</dc:creator>
  <cp:lastModifiedBy>一身都是月</cp:lastModifiedBy>
  <dcterms:modified xsi:type="dcterms:W3CDTF">2025-10-22T06:59:51Z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C120666A4D88461FB19DBD63623BAA61_12</vt:lpwstr>
  </property>
</Properties>
</file>