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spacing w:before="0" w:beforeAutospacing="0" w:after="0" w:afterAutospacing="0" w:line="600" w:lineRule="exact"/>
        <w:jc w:val="center"/>
        <w:rPr>
          <w:rFonts w:hint="default" w:ascii="方正小标宋_GBK" w:hAnsi="方正小标宋_GBK" w:eastAsia="方正小标宋_GBK" w:cs="方正小标宋_GBK"/>
          <w:sz w:val="36"/>
          <w:szCs w:val="36"/>
        </w:rPr>
      </w:pPr>
      <w:r>
        <w:rPr>
          <w:rFonts w:ascii="方正小标宋_GBK" w:hAnsi="方正小标宋_GBK" w:eastAsia="方正小标宋_GBK" w:cs="方正小标宋_GBK"/>
          <w:sz w:val="36"/>
          <w:szCs w:val="36"/>
        </w:rPr>
        <w:t>垫江县五洞镇人民政府</w:t>
      </w:r>
      <w:r>
        <w:rPr>
          <w:rFonts w:ascii="方正小标宋_GBK" w:hAnsi="方正小标宋_GBK" w:eastAsia="方正小标宋_GBK" w:cs="方正小标宋_GBK"/>
          <w:sz w:val="36"/>
          <w:szCs w:val="36"/>
          <w:shd w:val="clear" w:color="auto" w:fill="FFFFFF"/>
        </w:rPr>
        <w:t>2023年度决算公开说明</w:t>
      </w:r>
    </w:p>
    <w:p>
      <w:pPr>
        <w:pStyle w:val="7"/>
        <w:shd w:val="clear" w:color="auto" w:fill="FFFFFF"/>
        <w:spacing w:before="0" w:beforeAutospacing="0" w:after="0" w:afterAutospacing="0" w:line="600" w:lineRule="exact"/>
        <w:ind w:firstLine="630" w:firstLineChars="196"/>
        <w:rPr>
          <w:rFonts w:hint="default" w:ascii="黑体" w:hAnsi="黑体" w:eastAsia="黑体" w:cs="黑体"/>
          <w:sz w:val="32"/>
          <w:szCs w:val="32"/>
        </w:rPr>
      </w:pPr>
      <w:r>
        <w:rPr>
          <w:rStyle w:val="11"/>
          <w:rFonts w:ascii="黑体" w:hAnsi="黑体" w:eastAsia="黑体" w:cs="黑体"/>
          <w:sz w:val="32"/>
          <w:szCs w:val="32"/>
          <w:shd w:val="clear" w:color="auto" w:fill="FFFFFF"/>
        </w:rPr>
        <w:t>一、部门基本情况</w:t>
      </w:r>
    </w:p>
    <w:p>
      <w:pPr>
        <w:pStyle w:val="7"/>
        <w:shd w:val="clear" w:color="auto" w:fill="FFFFFF"/>
        <w:spacing w:before="0" w:beforeAutospacing="0" w:after="0" w:afterAutospacing="0" w:line="600" w:lineRule="exact"/>
        <w:ind w:firstLine="630" w:firstLineChars="196"/>
        <w:rPr>
          <w:rStyle w:val="11"/>
          <w:rFonts w:hint="default" w:ascii="楷体" w:hAnsi="楷体" w:eastAsia="楷体" w:cs="楷体"/>
          <w:sz w:val="32"/>
          <w:szCs w:val="32"/>
          <w:shd w:val="clear" w:color="auto" w:fill="FFFFFF"/>
        </w:rPr>
      </w:pPr>
      <w:r>
        <w:rPr>
          <w:rStyle w:val="11"/>
          <w:rFonts w:ascii="楷体" w:hAnsi="楷体" w:eastAsia="楷体" w:cs="楷体"/>
          <w:sz w:val="32"/>
          <w:szCs w:val="32"/>
          <w:shd w:val="clear" w:color="auto" w:fill="FFFFFF"/>
        </w:rPr>
        <w:t>（一）职能职责</w:t>
      </w:r>
    </w:p>
    <w:p>
      <w:pPr>
        <w:pStyle w:val="7"/>
        <w:shd w:val="clear" w:color="auto" w:fill="FFFFFF"/>
        <w:spacing w:before="0" w:beforeAutospacing="0" w:after="0" w:afterAutospacing="0" w:line="600" w:lineRule="exact"/>
        <w:ind w:firstLine="627" w:firstLineChars="196"/>
        <w:rPr>
          <w:rFonts w:hint="default" w:ascii="方正仿宋_GBK" w:hAnsi="仿宋" w:eastAsia="方正仿宋_GBK"/>
          <w:sz w:val="32"/>
          <w:szCs w:val="32"/>
        </w:rPr>
      </w:pPr>
      <w:r>
        <w:rPr>
          <w:rFonts w:ascii="方正仿宋_GBK" w:hAnsi="仿宋" w:eastAsia="方正仿宋_GBK"/>
          <w:sz w:val="32"/>
          <w:szCs w:val="32"/>
        </w:rPr>
        <w:t>（1）负责党的建设、组织、宣传、统战、民宗侨台、机构编制、人事、群团、纪检、武装、政务公开、党务公开等工作。负责机关文秘、会务、档案、保密、后勤服务和绩效管理等工作。负责牵头协调办理人大代表和政协委员的议案、提案、建议、意见。负责乡公共服务中心和村（社区）便民服务中心的监督和管理等工作。完成党委、政府交办的其他工作。</w:t>
      </w:r>
    </w:p>
    <w:p>
      <w:pPr>
        <w:pStyle w:val="7"/>
        <w:shd w:val="clear" w:color="auto" w:fill="FFFFFF"/>
        <w:spacing w:before="0" w:beforeAutospacing="0" w:after="0" w:afterAutospacing="0" w:line="600" w:lineRule="exact"/>
        <w:ind w:firstLine="627" w:firstLineChars="196"/>
        <w:rPr>
          <w:rFonts w:hint="default" w:ascii="方正仿宋_GBK" w:hAnsi="仿宋" w:eastAsia="方正仿宋_GBK"/>
          <w:sz w:val="32"/>
          <w:szCs w:val="32"/>
        </w:rPr>
      </w:pPr>
      <w:r>
        <w:rPr>
          <w:rFonts w:ascii="方正仿宋_GBK" w:hAnsi="仿宋" w:eastAsia="方正仿宋_GBK"/>
          <w:sz w:val="32"/>
          <w:szCs w:val="32"/>
        </w:rPr>
        <w:t xml:space="preserve">（2）负责乡人民代表大会、主席团履行法定职权的具体工作。组织人大代表视察、调研、评议等工作。完成党委、人大主席团交办的其他工作。 </w:t>
      </w:r>
    </w:p>
    <w:p>
      <w:pPr>
        <w:pStyle w:val="7"/>
        <w:shd w:val="clear" w:color="auto" w:fill="FFFFFF"/>
        <w:spacing w:before="0" w:beforeAutospacing="0" w:after="0" w:afterAutospacing="0" w:line="600" w:lineRule="exact"/>
        <w:ind w:firstLine="627" w:firstLineChars="196"/>
        <w:rPr>
          <w:rFonts w:hint="default" w:ascii="方正仿宋_GBK" w:hAnsi="仿宋" w:eastAsia="方正仿宋_GBK"/>
          <w:sz w:val="32"/>
          <w:szCs w:val="32"/>
        </w:rPr>
      </w:pPr>
      <w:r>
        <w:rPr>
          <w:rFonts w:ascii="方正仿宋_GBK" w:hAnsi="仿宋" w:eastAsia="方正仿宋_GBK"/>
          <w:sz w:val="32"/>
          <w:szCs w:val="32"/>
        </w:rPr>
        <w:t>（3）承担促进乡、村（社区）经济发展职责。负责拟订辖区经济发展整体规划并组织实施。负责农、林、牧、渔、工业、商贸物流、旅游等产业的规划与指导工作。负责农村市场、商业网点的规划和指导工作。负责招商引资、科技普及、统计与普查（经济、人口、农业）等工作。负责指导监督农村集体资产、资源、资金等经营管理工作。贯彻落实促进非公经济发展的相关政策，为非公经济组织提供服务。负责劳务输出、移民安置等工作。负责扶贫开发、脱贫攻坚、精准扶贫、精准脱贫等相关工作。负责生产经营企业等方面的安全监管工作。负责农民负担等工作。完成党委、政府交办的其他工作。</w:t>
      </w:r>
    </w:p>
    <w:p>
      <w:pPr>
        <w:pStyle w:val="7"/>
        <w:shd w:val="clear" w:color="auto" w:fill="FFFFFF"/>
        <w:spacing w:before="0" w:beforeAutospacing="0" w:after="0" w:afterAutospacing="0" w:line="600" w:lineRule="exact"/>
        <w:ind w:firstLine="627" w:firstLineChars="196"/>
        <w:rPr>
          <w:rFonts w:hint="default" w:ascii="方正仿宋_GBK" w:hAnsi="仿宋" w:eastAsia="方正仿宋_GBK"/>
          <w:sz w:val="32"/>
          <w:szCs w:val="32"/>
        </w:rPr>
      </w:pPr>
      <w:r>
        <w:rPr>
          <w:rFonts w:ascii="方正仿宋_GBK" w:hAnsi="仿宋" w:eastAsia="方正仿宋_GBK"/>
          <w:sz w:val="32"/>
          <w:szCs w:val="32"/>
        </w:rPr>
        <w:t>（4）贯彻财经方针政策，执行财政法规、财经制度。负责财政收支、预决算、总会计、惠农资金兑付、财政资金监督检查、绩效评价、农村财务管理等工作。负责机关财务管理、国有资产管理。负责机关、所属事业单位及村（社区）财务内部审计及其他专项审计等工作。完成党委、政府交办的其他工作。</w:t>
      </w:r>
    </w:p>
    <w:p>
      <w:pPr>
        <w:pStyle w:val="7"/>
        <w:shd w:val="clear" w:color="auto" w:fill="FFFFFF"/>
        <w:spacing w:before="0" w:beforeAutospacing="0" w:after="0" w:afterAutospacing="0" w:line="600" w:lineRule="exact"/>
        <w:ind w:firstLine="627" w:firstLineChars="196"/>
        <w:rPr>
          <w:rFonts w:hint="default" w:ascii="方正仿宋_GBK" w:hAnsi="仿宋" w:eastAsia="方正仿宋_GBK"/>
          <w:sz w:val="32"/>
          <w:szCs w:val="32"/>
        </w:rPr>
      </w:pPr>
      <w:r>
        <w:rPr>
          <w:rFonts w:ascii="方正仿宋_GBK" w:hAnsi="仿宋" w:eastAsia="方正仿宋_GBK"/>
          <w:sz w:val="32"/>
          <w:szCs w:val="32"/>
        </w:rPr>
        <w:t>（5）宣传贯彻执行民政、教育、卫生健康、文化体育、社会救助、残疾人事业、劳动就业、社会保障等法律、法规、规章、政策。负责牵头推动民政、教育、卫生健康、计生、文化体育、拥军优属、优抚、残疾人事业、老龄、社会保障、劳动就业等工作。负责救济、社会救助、殡葬管理等工作。负责审核城乡低保、医疗救助对象等工作。负责区划地名管理工作。负责指导监督村（居）务公开相关工作。负责指导村（社区）委员会基层民主政治建设、基层政权和社会建设。负责居委会、村委会民政工作人员和社会保障员的业务指导等工作。负责留守儿童和妇女、老人关爱服务等工作。完成党委、政府交办的其他工作。</w:t>
      </w:r>
    </w:p>
    <w:p>
      <w:pPr>
        <w:pStyle w:val="7"/>
        <w:shd w:val="clear" w:color="auto" w:fill="FFFFFF"/>
        <w:spacing w:before="0" w:beforeAutospacing="0" w:after="0" w:afterAutospacing="0" w:line="600" w:lineRule="exact"/>
        <w:ind w:firstLine="627" w:firstLineChars="196"/>
        <w:rPr>
          <w:rFonts w:hint="default" w:ascii="方正仿宋_GBK" w:hAnsi="仿宋" w:eastAsia="方正仿宋_GBK"/>
          <w:sz w:val="32"/>
          <w:szCs w:val="32"/>
        </w:rPr>
      </w:pPr>
      <w:r>
        <w:rPr>
          <w:rFonts w:ascii="方正仿宋_GBK" w:hAnsi="仿宋" w:eastAsia="方正仿宋_GBK"/>
          <w:sz w:val="32"/>
          <w:szCs w:val="32"/>
        </w:rPr>
        <w:t>（6）负责普法教育、防邪、禁毒、综治、信访、维稳等工作。负责基层民间矛盾纠纷调解工作。组织、指导、协调、检查、督促辖区内各基层组织和企事业单位的社会治安综合治理等工作。完成党委、政府交办的其他工作。</w:t>
      </w:r>
    </w:p>
    <w:p>
      <w:pPr>
        <w:pStyle w:val="7"/>
        <w:shd w:val="clear" w:color="auto" w:fill="FFFFFF"/>
        <w:spacing w:before="0" w:beforeAutospacing="0" w:after="0" w:afterAutospacing="0" w:line="600" w:lineRule="exact"/>
        <w:ind w:firstLine="627" w:firstLineChars="196"/>
        <w:rPr>
          <w:rFonts w:hint="default" w:ascii="方正仿宋_GBK" w:hAnsi="仿宋" w:eastAsia="方正仿宋_GBK"/>
          <w:sz w:val="32"/>
          <w:szCs w:val="32"/>
        </w:rPr>
      </w:pPr>
      <w:r>
        <w:rPr>
          <w:rFonts w:ascii="方正仿宋_GBK" w:hAnsi="仿宋" w:eastAsia="方正仿宋_GBK"/>
          <w:sz w:val="32"/>
          <w:szCs w:val="32"/>
        </w:rPr>
        <w:t>（7）负责承担辖区内规划、建设、市政、生态环境保护等综合管理职责。协助规划国土管理部门履行规划国土管理职能，负责在原宅基地上修建农房的建设规划许可，负责辖区内规划实施的监督检查。协助规划国土管理部门做好土地复垦、国土管理、耕地保护等工作。承担辖区内物业管理的监督指导等工作。负责市政园林、城镇管理等工作。指导各村（居）委、辖区内各单位开展环境卫生管理及公共设施维护管理工作。负责辖区内环境污染防治综合监管，开展生态环境保护宣传教育。负责生态保护红线监督管理工作。协助相关部门做好水、电、气、路等市政基础设施建设和设施维护工作。负责辖区内河道日常管护工作。负责辖区内农村公路的建设、养护工作，组织开展辖区内农村公路管理养护情况的巡查和考评。负责卫生改厕等工作。完成党委、政府交办的其他工作。</w:t>
      </w:r>
    </w:p>
    <w:p>
      <w:pPr>
        <w:pStyle w:val="7"/>
        <w:shd w:val="clear" w:color="auto" w:fill="FFFFFF"/>
        <w:spacing w:before="0" w:beforeAutospacing="0" w:after="0" w:afterAutospacing="0" w:line="600" w:lineRule="exact"/>
        <w:ind w:firstLine="627" w:firstLineChars="196"/>
        <w:rPr>
          <w:rFonts w:hint="default" w:ascii="方正仿宋_GBK" w:hAnsi="仿宋" w:eastAsia="方正仿宋_GBK"/>
          <w:sz w:val="32"/>
          <w:szCs w:val="32"/>
        </w:rPr>
      </w:pPr>
      <w:r>
        <w:rPr>
          <w:rFonts w:ascii="方正仿宋_GBK" w:hAnsi="仿宋" w:eastAsia="方正仿宋_GBK"/>
          <w:sz w:val="32"/>
          <w:szCs w:val="32"/>
        </w:rPr>
        <w:t>（8）负责火灾、水旱灾害、地质灾害等灾害防治工作。负责救灾等工作。负责消防管理工作。负责安全生产等工作。组织编制本辖区应急救援综合预案，并组织实施。承担辖区内安全生产综合监管，协助县级有关主管部门对煤矿、非煤矿山、危险化学品、烟花爆竹等行业领域生产经营单位进行安全生产和职业健康日常监管。负责辖区内农村道路、航运安全管理工作。承担法律法规授权或依法接受委托的其他行业领域的安全生产监管执法。完成党委、政府交办的其他工作。</w:t>
      </w:r>
    </w:p>
    <w:p>
      <w:pPr>
        <w:pStyle w:val="7"/>
        <w:shd w:val="clear" w:color="auto" w:fill="FFFFFF"/>
        <w:spacing w:before="0" w:beforeAutospacing="0" w:after="0" w:afterAutospacing="0" w:line="600" w:lineRule="exact"/>
        <w:ind w:firstLine="627" w:firstLineChars="196"/>
        <w:rPr>
          <w:rFonts w:hint="default" w:ascii="黑体" w:hAnsi="黑体" w:eastAsia="黑体" w:cs="黑体"/>
          <w:sz w:val="32"/>
          <w:szCs w:val="32"/>
        </w:rPr>
      </w:pPr>
      <w:r>
        <w:rPr>
          <w:rFonts w:ascii="方正仿宋_GBK" w:hAnsi="仿宋" w:eastAsia="方正仿宋_GBK"/>
          <w:sz w:val="32"/>
          <w:szCs w:val="32"/>
        </w:rPr>
        <w:t>（9）负责综合行政执法方面法律、法规和规章的宣传教育工作。集中行使依法授权或委托的农林水利、规划建设、环境保护、卫生健康、市容环卫、文化旅游、民政管理、消防等领域的行政执法权。负责综合行政执法文书的制作、发放、审核、回收及案卷管理工作。配合有关县级行政主管部门做好行政执法等工作。完成党委、政府交办的其他工作。</w:t>
      </w:r>
    </w:p>
    <w:p>
      <w:pPr>
        <w:snapToGrid w:val="0"/>
        <w:spacing w:line="600" w:lineRule="exact"/>
        <w:ind w:firstLine="640" w:firstLineChars="200"/>
        <w:rPr>
          <w:rFonts w:hint="default" w:ascii="方正仿宋_GBK" w:hAnsi="仿宋" w:eastAsia="方正仿宋_GBK"/>
          <w:sz w:val="32"/>
          <w:szCs w:val="32"/>
        </w:rPr>
      </w:pPr>
      <w:r>
        <w:rPr>
          <w:rFonts w:ascii="方正仿宋_GBK" w:hAnsi="仿宋" w:eastAsia="方正仿宋_GBK"/>
          <w:sz w:val="32"/>
          <w:szCs w:val="32"/>
        </w:rPr>
        <w:t>（10）负责农业技术的引进、示范与推广。负责动植物病虫害、农业灾情的监测、预报、防治。负责农业生态环境和农业投入品使用监测。承担农产品、水产种苗、水产品质量安全监管公共服务等工作。依法实施行政区域内动物疫病的防疫、强制免疫和承担动物、动物产品的检疫工作，负责实施动物疫情调查、动物疫病监测、动物疫情报告和畜禽圈舍等环境的消毒工作。负责农业公共信息服务和实用技术培训等工作。</w:t>
      </w:r>
    </w:p>
    <w:p>
      <w:pPr>
        <w:snapToGrid w:val="0"/>
        <w:spacing w:line="600" w:lineRule="exact"/>
        <w:ind w:firstLine="640" w:firstLineChars="200"/>
        <w:rPr>
          <w:rFonts w:hint="default" w:ascii="方正仿宋_GBK" w:hAnsi="仿宋" w:eastAsia="方正仿宋_GBK"/>
          <w:sz w:val="32"/>
          <w:szCs w:val="32"/>
        </w:rPr>
      </w:pPr>
      <w:r>
        <w:rPr>
          <w:rFonts w:ascii="方正仿宋_GBK" w:hAnsi="仿宋" w:eastAsia="方正仿宋_GBK"/>
          <w:sz w:val="32"/>
          <w:szCs w:val="32"/>
        </w:rPr>
        <w:t>（11）负责文化宣传、文化广播业务培训，组织开展群众文化、文艺活动等工作。负责组织开展群众性体育及全民健身活动。负责辖区内广播、旅游、文化设施的建设、维护和管理等工作。协助做好文物宣传保护工作。负责组织开展文化交流、民间文化艺术遗产收集整理与保护和地方文献资料收集整理上报等工作。</w:t>
      </w:r>
    </w:p>
    <w:p>
      <w:pPr>
        <w:snapToGrid w:val="0"/>
        <w:spacing w:line="600" w:lineRule="exact"/>
        <w:ind w:firstLine="640" w:firstLineChars="200"/>
        <w:rPr>
          <w:rFonts w:hint="default" w:ascii="方正仿宋_GBK" w:hAnsi="仿宋" w:eastAsia="方正仿宋_GBK"/>
          <w:sz w:val="32"/>
          <w:szCs w:val="32"/>
        </w:rPr>
      </w:pPr>
      <w:r>
        <w:rPr>
          <w:rFonts w:ascii="方正仿宋_GBK" w:hAnsi="仿宋" w:eastAsia="方正仿宋_GBK"/>
          <w:sz w:val="32"/>
          <w:szCs w:val="32"/>
        </w:rPr>
        <w:t>（12）负责劳动就业和社会保障、农村劳务开发管理等具体工作。负责就业培训、职业指导、就业失业登记等相关工作。负责养老、医疗、工伤、生育、失业保险具体办理工作。负责劳动关系协调、离退休人员社会管理服务等工作。</w:t>
      </w:r>
    </w:p>
    <w:p>
      <w:pPr>
        <w:snapToGrid w:val="0"/>
        <w:spacing w:line="600" w:lineRule="exact"/>
        <w:ind w:firstLine="640" w:firstLineChars="200"/>
        <w:rPr>
          <w:rFonts w:hint="default" w:ascii="方正仿宋_GBK" w:hAnsi="仿宋" w:eastAsia="方正仿宋_GBK"/>
          <w:sz w:val="32"/>
          <w:szCs w:val="32"/>
        </w:rPr>
      </w:pPr>
      <w:r>
        <w:rPr>
          <w:rFonts w:ascii="方正仿宋_GBK" w:hAnsi="仿宋" w:eastAsia="方正仿宋_GBK"/>
          <w:sz w:val="32"/>
          <w:szCs w:val="32"/>
        </w:rPr>
        <w:t>（13）负责退役军人来访接待、政策咨询、就业指导、帮扶救助、权益保障、法制服务等工作。负责军队转业干部、复员干部、退役士兵（士官）和自主择业退役军人服务管理、待遇保障等工作。组织开展退役军人教育培训、优待抚恤等工作，负责拥军优属工作。负责烈士及退役军人荣誉奖励申报及开展纪念活动等工作。</w:t>
      </w:r>
    </w:p>
    <w:p>
      <w:pPr>
        <w:snapToGrid w:val="0"/>
        <w:spacing w:line="600" w:lineRule="exact"/>
        <w:ind w:firstLine="640" w:firstLineChars="200"/>
        <w:rPr>
          <w:rFonts w:hint="default" w:ascii="方正仿宋_GBK" w:hAnsi="仿宋" w:eastAsia="方正仿宋_GBK"/>
          <w:sz w:val="32"/>
          <w:szCs w:val="32"/>
        </w:rPr>
      </w:pPr>
      <w:r>
        <w:rPr>
          <w:rFonts w:ascii="方正仿宋_GBK" w:hAnsi="仿宋" w:eastAsia="方正仿宋_GBK"/>
          <w:sz w:val="32"/>
          <w:szCs w:val="32"/>
        </w:rPr>
        <w:t>（14）负责配合综合行政执法办公室做好有关农林水利、规划建设、卫生健康、市容环卫、环境保护、文化旅游、民政管理、消防等方面的执法工作。</w:t>
      </w:r>
    </w:p>
    <w:p>
      <w:pPr>
        <w:snapToGrid w:val="0"/>
        <w:spacing w:line="600" w:lineRule="exact"/>
        <w:ind w:firstLine="643" w:firstLineChars="200"/>
        <w:rPr>
          <w:rFonts w:hint="default" w:ascii="方正仿宋_GBK" w:hAnsi="仿宋" w:eastAsia="方正仿宋_GBK"/>
          <w:sz w:val="32"/>
          <w:szCs w:val="32"/>
        </w:rPr>
      </w:pPr>
      <w:r>
        <w:rPr>
          <w:rStyle w:val="11"/>
          <w:rFonts w:ascii="楷体" w:hAnsi="楷体" w:eastAsia="楷体" w:cs="楷体"/>
          <w:sz w:val="32"/>
          <w:szCs w:val="32"/>
          <w:shd w:val="clear" w:color="auto" w:fill="FFFFFF"/>
        </w:rPr>
        <w:t>（二）机构设置</w:t>
      </w:r>
    </w:p>
    <w:p>
      <w:pPr>
        <w:snapToGrid w:val="0"/>
        <w:spacing w:line="600" w:lineRule="exact"/>
        <w:ind w:firstLine="643" w:firstLineChars="200"/>
        <w:rPr>
          <w:rFonts w:hint="default" w:ascii="方正仿宋_GBK" w:hAnsi="仿宋" w:eastAsia="方正仿宋_GBK"/>
          <w:sz w:val="32"/>
          <w:szCs w:val="32"/>
        </w:rPr>
      </w:pPr>
      <w:r>
        <w:rPr>
          <w:rFonts w:ascii="方正仿宋_GBK" w:hAnsi="仿宋" w:eastAsia="方正仿宋_GBK"/>
          <w:b/>
          <w:sz w:val="32"/>
          <w:szCs w:val="32"/>
        </w:rPr>
        <w:t>1．机构情况。</w:t>
      </w:r>
      <w:r>
        <w:rPr>
          <w:rFonts w:ascii="方正仿宋_GBK" w:hAnsi="仿宋" w:eastAsia="方正仿宋_GBK"/>
          <w:sz w:val="32"/>
          <w:szCs w:val="32"/>
        </w:rPr>
        <w:t>本部门内设10个行政办公室（党政办公室、</w:t>
      </w:r>
      <w:bookmarkStart w:id="0" w:name="_GoBack"/>
      <w:bookmarkEnd w:id="0"/>
      <w:r>
        <w:rPr>
          <w:rFonts w:ascii="方正仿宋_GBK" w:hAnsi="仿宋" w:eastAsia="方正仿宋_GBK"/>
          <w:sz w:val="32"/>
          <w:szCs w:val="32"/>
        </w:rPr>
        <w:t>党群工作办公室、人大</w:t>
      </w:r>
      <w:r>
        <w:rPr>
          <w:rFonts w:hint="eastAsia" w:ascii="方正仿宋_GBK" w:hAnsi="仿宋" w:eastAsia="方正仿宋_GBK"/>
          <w:sz w:val="32"/>
          <w:szCs w:val="32"/>
          <w:lang w:eastAsia="zh-CN"/>
        </w:rPr>
        <w:t>常委员会</w:t>
      </w:r>
      <w:r>
        <w:rPr>
          <w:rFonts w:ascii="方正仿宋_GBK" w:hAnsi="仿宋" w:eastAsia="方正仿宋_GBK"/>
          <w:sz w:val="32"/>
          <w:szCs w:val="32"/>
        </w:rPr>
        <w:t>办公室、经济发展办公室、财政办公室、民政和社会事务办公室、平安建设办公室、规划建设管理环保办公室、应急管理办公室、综合行政执法办公室），当年无变动。</w:t>
      </w:r>
    </w:p>
    <w:p>
      <w:pPr>
        <w:snapToGrid w:val="0"/>
        <w:spacing w:line="600" w:lineRule="exact"/>
        <w:ind w:firstLine="640" w:firstLineChars="200"/>
        <w:rPr>
          <w:rFonts w:hint="default" w:ascii="方正仿宋_GBK" w:hAnsi="仿宋" w:eastAsia="方正仿宋_GBK"/>
          <w:sz w:val="32"/>
          <w:szCs w:val="32"/>
        </w:rPr>
      </w:pPr>
      <w:r>
        <w:rPr>
          <w:rFonts w:ascii="方正仿宋_GBK" w:hAnsi="仿宋" w:eastAsia="方正仿宋_GBK"/>
          <w:sz w:val="32"/>
          <w:szCs w:val="32"/>
        </w:rPr>
        <w:t>本部门内设行政单位、文化服务中心、社会就业保障事务中心、退役军人事务服务站、综合执法大队、农业服务中心，本年机构无变动。</w:t>
      </w:r>
    </w:p>
    <w:p>
      <w:pPr>
        <w:snapToGrid w:val="0"/>
        <w:spacing w:line="600" w:lineRule="exact"/>
        <w:ind w:firstLine="643" w:firstLineChars="200"/>
        <w:rPr>
          <w:rFonts w:hint="default" w:ascii="方正仿宋_GBK" w:hAnsi="仿宋" w:eastAsia="方正仿宋_GBK"/>
          <w:sz w:val="32"/>
          <w:szCs w:val="32"/>
        </w:rPr>
      </w:pPr>
      <w:r>
        <w:rPr>
          <w:rFonts w:ascii="方正仿宋_GBK" w:hAnsi="仿宋" w:eastAsia="方正仿宋_GBK"/>
          <w:b/>
          <w:sz w:val="32"/>
          <w:szCs w:val="32"/>
        </w:rPr>
        <w:t>2．人员情况。</w:t>
      </w:r>
      <w:r>
        <w:rPr>
          <w:rFonts w:ascii="方正仿宋_GBK" w:hAnsi="仿宋" w:eastAsia="方正仿宋_GBK"/>
          <w:sz w:val="32"/>
          <w:szCs w:val="32"/>
        </w:rPr>
        <w:t>本部门现有在职职工48人。其中：行政人员20人、事业人员28人（其中：文化服务中心6人、社会就业保障事务中心7人、退役军人事务服务站3人、综合执法大队6人、农业服务中心6人）。</w:t>
      </w:r>
    </w:p>
    <w:p>
      <w:pPr>
        <w:snapToGrid w:val="0"/>
        <w:spacing w:line="600" w:lineRule="exact"/>
        <w:ind w:firstLine="643" w:firstLineChars="200"/>
        <w:rPr>
          <w:rStyle w:val="11"/>
          <w:rFonts w:hint="default" w:ascii="黑体" w:hAnsi="黑体" w:eastAsia="黑体" w:cs="黑体"/>
          <w:sz w:val="32"/>
          <w:szCs w:val="32"/>
          <w:shd w:val="clear" w:color="auto" w:fill="FFFFFF"/>
        </w:rPr>
      </w:pPr>
      <w:r>
        <w:rPr>
          <w:rStyle w:val="11"/>
          <w:rFonts w:ascii="黑体" w:hAnsi="黑体" w:eastAsia="黑体" w:cs="黑体"/>
          <w:sz w:val="32"/>
          <w:szCs w:val="32"/>
          <w:shd w:val="clear" w:color="auto" w:fill="FFFFFF"/>
        </w:rPr>
        <w:t>二、部门决算情况说明</w:t>
      </w:r>
    </w:p>
    <w:p>
      <w:pPr>
        <w:snapToGrid w:val="0"/>
        <w:spacing w:line="600" w:lineRule="exact"/>
        <w:ind w:firstLine="643" w:firstLineChars="200"/>
        <w:rPr>
          <w:rFonts w:hint="default" w:ascii="方正仿宋_GBK" w:hAnsi="仿宋" w:eastAsia="方正仿宋_GBK"/>
          <w:sz w:val="32"/>
          <w:szCs w:val="32"/>
        </w:rPr>
      </w:pPr>
      <w:r>
        <w:rPr>
          <w:rFonts w:ascii="楷体" w:hAnsi="楷体" w:eastAsia="楷体" w:cs="楷体"/>
          <w:b/>
          <w:bCs/>
          <w:sz w:val="32"/>
          <w:szCs w:val="32"/>
          <w:shd w:val="clear" w:color="auto" w:fill="FFFFFF"/>
        </w:rPr>
        <w:t>（一）收入支出决算总体情况说明。</w:t>
      </w:r>
    </w:p>
    <w:p>
      <w:pPr>
        <w:snapToGrid w:val="0"/>
        <w:spacing w:line="600" w:lineRule="exact"/>
        <w:ind w:firstLine="643" w:firstLineChars="200"/>
        <w:rPr>
          <w:rFonts w:hint="default" w:ascii="方正仿宋_GBK" w:hAnsi="仿宋" w:eastAsia="方正仿宋_GBK"/>
          <w:sz w:val="32"/>
          <w:szCs w:val="32"/>
        </w:rPr>
      </w:pPr>
      <w:r>
        <w:rPr>
          <w:rStyle w:val="11"/>
          <w:rFonts w:ascii="方正仿宋_GBK" w:hAnsi="方正仿宋_GBK" w:eastAsia="方正仿宋_GBK" w:cs="方正仿宋_GBK"/>
          <w:sz w:val="32"/>
          <w:szCs w:val="32"/>
          <w:shd w:val="clear" w:color="auto" w:fill="FFFFFF"/>
        </w:rPr>
        <w:t>1.总体情况。</w:t>
      </w:r>
      <w:r>
        <w:rPr>
          <w:rFonts w:ascii="方正仿宋_GBK" w:hAnsi="方正仿宋_GBK" w:eastAsia="方正仿宋_GBK" w:cs="方正仿宋_GBK"/>
          <w:sz w:val="32"/>
          <w:szCs w:val="32"/>
          <w:shd w:val="clear" w:color="auto" w:fill="FFFFFF"/>
        </w:rPr>
        <w:t>2023年度收入总计2947.02万元，支出总计</w:t>
      </w:r>
      <w:r>
        <w:rPr>
          <w:rFonts w:ascii="方正仿宋_GBK" w:hAnsi="方正仿宋_GBK" w:eastAsia="方正仿宋_GBK" w:cs="方正仿宋_GBK"/>
          <w:sz w:val="32"/>
          <w:szCs w:val="32"/>
        </w:rPr>
        <w:t>2947.02</w:t>
      </w:r>
      <w:r>
        <w:rPr>
          <w:rFonts w:ascii="方正仿宋_GBK" w:hAnsi="方正仿宋_GBK" w:eastAsia="方正仿宋_GBK" w:cs="方正仿宋_GBK"/>
          <w:sz w:val="32"/>
          <w:szCs w:val="32"/>
          <w:shd w:val="clear" w:color="auto" w:fill="FFFFFF"/>
        </w:rPr>
        <w:t>万元。收支较上年决算数增加292.13万元，增长11.00%，主要原因是</w:t>
      </w:r>
      <w:r>
        <w:rPr>
          <w:rFonts w:ascii="方正仿宋_GBK" w:hAnsi="仿宋" w:eastAsia="方正仿宋_GBK" w:cs="仿宋"/>
          <w:color w:val="000000"/>
          <w:sz w:val="32"/>
          <w:szCs w:val="32"/>
        </w:rPr>
        <w:t>项目资金安排增加、机关运行经费增加。</w:t>
      </w:r>
    </w:p>
    <w:p>
      <w:pPr>
        <w:snapToGrid w:val="0"/>
        <w:spacing w:line="600" w:lineRule="exact"/>
        <w:ind w:firstLine="643" w:firstLineChars="200"/>
        <w:rPr>
          <w:rFonts w:hint="default" w:ascii="方正仿宋_GBK" w:hAnsi="仿宋" w:eastAsia="方正仿宋_GBK"/>
          <w:sz w:val="32"/>
          <w:szCs w:val="32"/>
        </w:rPr>
      </w:pPr>
      <w:r>
        <w:rPr>
          <w:rStyle w:val="11"/>
          <w:rFonts w:ascii="方正仿宋_GBK" w:hAnsi="方正仿宋_GBK" w:eastAsia="方正仿宋_GBK" w:cs="方正仿宋_GBK"/>
          <w:sz w:val="32"/>
          <w:szCs w:val="32"/>
          <w:shd w:val="clear" w:color="auto" w:fill="FFFFFF"/>
        </w:rPr>
        <w:t>2.收入情况。</w:t>
      </w:r>
      <w:r>
        <w:rPr>
          <w:rFonts w:ascii="方正仿宋_GBK" w:hAnsi="方正仿宋_GBK" w:eastAsia="方正仿宋_GBK" w:cs="方正仿宋_GBK"/>
          <w:sz w:val="32"/>
          <w:szCs w:val="32"/>
          <w:shd w:val="clear" w:color="auto" w:fill="FFFFFF"/>
        </w:rPr>
        <w:t>2023年度收入合计2929.12万元，较上年决算数增加333.26万元，增长12.84%，主要原因是</w:t>
      </w:r>
      <w:r>
        <w:rPr>
          <w:rFonts w:ascii="方正仿宋_GBK" w:hAnsi="仿宋" w:eastAsia="方正仿宋_GBK" w:cs="仿宋"/>
          <w:color w:val="000000"/>
          <w:sz w:val="32"/>
          <w:szCs w:val="32"/>
        </w:rPr>
        <w:t>增加的原因是项目资金安排增加、机关运行经费增加、体制补助增加、清算公务员、事业人员绩效工资等。</w:t>
      </w:r>
      <w:r>
        <w:rPr>
          <w:rFonts w:ascii="方正仿宋_GBK" w:hAnsi="方正仿宋_GBK" w:eastAsia="方正仿宋_GBK" w:cs="方正仿宋_GBK"/>
          <w:sz w:val="32"/>
          <w:szCs w:val="32"/>
          <w:shd w:val="clear" w:color="auto" w:fill="FFFFFF"/>
        </w:rPr>
        <w:t>其中：财政拨款收入</w:t>
      </w:r>
      <w:r>
        <w:rPr>
          <w:rFonts w:ascii="方正仿宋_GBK" w:hAnsi="方正仿宋_GBK" w:eastAsia="方正仿宋_GBK" w:cs="方正仿宋_GBK"/>
          <w:sz w:val="32"/>
          <w:szCs w:val="32"/>
        </w:rPr>
        <w:t>2929.12</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100.00</w:t>
      </w:r>
      <w:r>
        <w:rPr>
          <w:rFonts w:ascii="方正仿宋_GBK" w:hAnsi="方正仿宋_GBK" w:eastAsia="方正仿宋_GBK" w:cs="方正仿宋_GBK"/>
          <w:sz w:val="32"/>
          <w:szCs w:val="32"/>
          <w:shd w:val="clear" w:color="auto" w:fill="FFFFFF"/>
        </w:rPr>
        <w:t>%；事业收入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万元，占0.00%；经营收入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万元，占0.00%；其他收入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万元，占0.00%。此外，使用非财政拨款结余和专用结余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万元，年初结转和结余</w:t>
      </w:r>
      <w:r>
        <w:rPr>
          <w:rFonts w:ascii="方正仿宋_GBK" w:hAnsi="方正仿宋_GBK" w:eastAsia="方正仿宋_GBK" w:cs="方正仿宋_GBK"/>
          <w:sz w:val="32"/>
          <w:szCs w:val="32"/>
        </w:rPr>
        <w:t>17.91</w:t>
      </w:r>
      <w:r>
        <w:rPr>
          <w:rFonts w:ascii="方正仿宋_GBK" w:hAnsi="方正仿宋_GBK" w:eastAsia="方正仿宋_GBK" w:cs="方正仿宋_GBK"/>
          <w:sz w:val="32"/>
          <w:szCs w:val="32"/>
          <w:shd w:val="clear" w:color="auto" w:fill="FFFFFF"/>
        </w:rPr>
        <w:t>万元。</w:t>
      </w:r>
    </w:p>
    <w:p>
      <w:pPr>
        <w:pStyle w:val="7"/>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shd w:val="clear" w:color="auto" w:fill="FFFFFF"/>
        </w:rPr>
      </w:pPr>
      <w:r>
        <w:rPr>
          <w:rStyle w:val="11"/>
          <w:rFonts w:ascii="方正仿宋_GBK" w:hAnsi="方正仿宋_GBK" w:eastAsia="方正仿宋_GBK" w:cs="方正仿宋_GBK"/>
          <w:sz w:val="32"/>
          <w:szCs w:val="32"/>
          <w:shd w:val="clear" w:color="auto" w:fill="FFFFFF"/>
        </w:rPr>
        <w:t>3.支出情况。</w:t>
      </w:r>
      <w:r>
        <w:rPr>
          <w:rFonts w:ascii="方正仿宋_GBK" w:hAnsi="方正仿宋_GBK" w:eastAsia="方正仿宋_GBK" w:cs="方正仿宋_GBK"/>
          <w:sz w:val="32"/>
          <w:szCs w:val="32"/>
          <w:shd w:val="clear" w:color="auto" w:fill="FFFFFF"/>
        </w:rPr>
        <w:t>2023年度支出合计</w:t>
      </w:r>
      <w:r>
        <w:rPr>
          <w:rFonts w:ascii="方正仿宋_GBK" w:hAnsi="方正仿宋_GBK" w:eastAsia="方正仿宋_GBK" w:cs="方正仿宋_GBK"/>
          <w:sz w:val="32"/>
          <w:szCs w:val="32"/>
        </w:rPr>
        <w:t>2947.02</w:t>
      </w:r>
      <w:r>
        <w:rPr>
          <w:rFonts w:ascii="方正仿宋_GBK" w:hAnsi="方正仿宋_GBK" w:eastAsia="方正仿宋_GBK" w:cs="方正仿宋_GBK"/>
          <w:sz w:val="32"/>
          <w:szCs w:val="32"/>
          <w:shd w:val="clear" w:color="auto" w:fill="FFFFFF"/>
        </w:rPr>
        <w:t>万元，较上年决算数增加292.13万元，增长11.00%，主要原因是</w:t>
      </w:r>
      <w:r>
        <w:rPr>
          <w:rFonts w:ascii="方正仿宋_GBK" w:hAnsi="仿宋" w:eastAsia="方正仿宋_GBK" w:cs="仿宋"/>
          <w:color w:val="000000"/>
          <w:sz w:val="32"/>
          <w:szCs w:val="32"/>
        </w:rPr>
        <w:t>增加的原因是项目资金安排增加、机关运行经费增加、体制补助增加、清算公务员、事业人员绩效工资等。</w:t>
      </w:r>
      <w:r>
        <w:rPr>
          <w:rFonts w:ascii="方正仿宋_GBK" w:hAnsi="方正仿宋_GBK" w:eastAsia="方正仿宋_GBK" w:cs="方正仿宋_GBK"/>
          <w:sz w:val="32"/>
          <w:szCs w:val="32"/>
          <w:shd w:val="clear" w:color="auto" w:fill="FFFFFF"/>
        </w:rPr>
        <w:t>其中：基本支出</w:t>
      </w:r>
      <w:r>
        <w:rPr>
          <w:rFonts w:ascii="方正仿宋_GBK" w:hAnsi="方正仿宋_GBK" w:eastAsia="方正仿宋_GBK" w:cs="方正仿宋_GBK"/>
          <w:sz w:val="32"/>
          <w:szCs w:val="32"/>
        </w:rPr>
        <w:t>1734.10</w:t>
      </w:r>
      <w:r>
        <w:rPr>
          <w:rFonts w:ascii="方正仿宋_GBK" w:hAnsi="方正仿宋_GBK" w:eastAsia="方正仿宋_GBK" w:cs="方正仿宋_GBK"/>
          <w:sz w:val="32"/>
          <w:szCs w:val="32"/>
          <w:shd w:val="clear" w:color="auto" w:fill="FFFFFF"/>
        </w:rPr>
        <w:t>万元，占58.84%；项目支出</w:t>
      </w:r>
      <w:r>
        <w:rPr>
          <w:rFonts w:ascii="方正仿宋_GBK" w:hAnsi="方正仿宋_GBK" w:eastAsia="方正仿宋_GBK" w:cs="方正仿宋_GBK"/>
          <w:sz w:val="32"/>
          <w:szCs w:val="32"/>
        </w:rPr>
        <w:t>1212.92</w:t>
      </w:r>
      <w:r>
        <w:rPr>
          <w:rFonts w:ascii="方正仿宋_GBK" w:hAnsi="方正仿宋_GBK" w:eastAsia="方正仿宋_GBK" w:cs="方正仿宋_GBK"/>
          <w:sz w:val="32"/>
          <w:szCs w:val="32"/>
          <w:shd w:val="clear" w:color="auto" w:fill="FFFFFF"/>
        </w:rPr>
        <w:t>万元，占41.16%；经营支出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万元，占0.00%。此外，结余分配</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pPr>
        <w:pStyle w:val="7"/>
        <w:snapToGrid w:val="0"/>
        <w:spacing w:before="0" w:beforeAutospacing="0" w:after="0" w:afterAutospacing="0" w:line="600" w:lineRule="exact"/>
        <w:ind w:firstLine="643" w:firstLineChars="200"/>
        <w:jc w:val="both"/>
        <w:rPr>
          <w:rFonts w:hint="default" w:ascii="方正仿宋_GBK" w:eastAsia="方正仿宋_GBK"/>
          <w:sz w:val="32"/>
          <w:szCs w:val="32"/>
          <w:shd w:val="clear" w:color="auto" w:fill="FFFFFF"/>
        </w:rPr>
      </w:pPr>
      <w:r>
        <w:rPr>
          <w:rStyle w:val="11"/>
          <w:rFonts w:ascii="方正仿宋_GBK" w:hAnsi="方正仿宋_GBK" w:eastAsia="方正仿宋_GBK" w:cs="方正仿宋_GBK"/>
          <w:sz w:val="32"/>
          <w:szCs w:val="32"/>
          <w:shd w:val="clear" w:color="auto" w:fill="FFFFFF"/>
        </w:rPr>
        <w:t>4.结转结余情况。</w:t>
      </w:r>
      <w:r>
        <w:rPr>
          <w:rFonts w:ascii="方正仿宋_GBK" w:hAnsi="方正仿宋_GBK" w:eastAsia="方正仿宋_GBK" w:cs="方正仿宋_GBK"/>
          <w:sz w:val="32"/>
          <w:szCs w:val="32"/>
          <w:shd w:val="clear" w:color="auto" w:fill="FFFFFF"/>
        </w:rPr>
        <w:t>2023年度年末结转和结余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万元，0，</w:t>
      </w:r>
      <w:r>
        <w:rPr>
          <w:rFonts w:ascii="方正仿宋_GBK" w:eastAsia="方正仿宋_GBK"/>
          <w:sz w:val="32"/>
          <w:szCs w:val="32"/>
          <w:shd w:val="clear" w:color="auto" w:fill="FFFFFF"/>
        </w:rPr>
        <w:t>主要原因是</w:t>
      </w:r>
      <w:r>
        <w:rPr>
          <w:rFonts w:ascii="方正仿宋_GBK" w:hAnsi="Times New Roman" w:eastAsia="方正仿宋_GBK"/>
          <w:sz w:val="32"/>
          <w:szCs w:val="32"/>
          <w:shd w:val="clear" w:color="auto" w:fill="FFFFFF"/>
        </w:rPr>
        <w:t>2023</w:t>
      </w:r>
      <w:r>
        <w:rPr>
          <w:rFonts w:ascii="方正仿宋_GBK" w:eastAsia="方正仿宋_GBK"/>
          <w:sz w:val="32"/>
          <w:szCs w:val="32"/>
          <w:shd w:val="clear" w:color="auto" w:fill="FFFFFF"/>
        </w:rPr>
        <w:t>年度无结转结余。</w:t>
      </w:r>
    </w:p>
    <w:p>
      <w:pPr>
        <w:pStyle w:val="7"/>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Fonts w:ascii="楷体" w:hAnsi="楷体" w:eastAsia="楷体" w:cs="楷体"/>
          <w:b/>
          <w:bCs/>
          <w:sz w:val="32"/>
          <w:szCs w:val="32"/>
          <w:shd w:val="clear" w:color="auto" w:fill="FFFFFF"/>
        </w:rPr>
        <w:t>（二）财政拨款收入支出决算总体情况说明</w:t>
      </w:r>
    </w:p>
    <w:p>
      <w:pPr>
        <w:pStyle w:val="7"/>
        <w:snapToGrid w:val="0"/>
        <w:spacing w:before="0" w:beforeAutospacing="0" w:after="0" w:afterAutospacing="0" w:line="600" w:lineRule="exact"/>
        <w:ind w:firstLine="640" w:firstLineChars="200"/>
        <w:jc w:val="both"/>
        <w:rPr>
          <w:rFonts w:hint="default" w:ascii="方正仿宋_GBK" w:hAnsi="仿宋" w:eastAsia="方正仿宋_GBK" w:cs="仿宋"/>
          <w:color w:val="000000"/>
          <w:sz w:val="32"/>
          <w:szCs w:val="32"/>
        </w:rPr>
      </w:pPr>
      <w:r>
        <w:rPr>
          <w:rFonts w:ascii="方正仿宋_GBK" w:hAnsi="方正仿宋_GBK" w:eastAsia="方正仿宋_GBK" w:cs="方正仿宋_GBK"/>
          <w:sz w:val="32"/>
          <w:szCs w:val="32"/>
          <w:shd w:val="clear" w:color="auto" w:fill="FFFFFF"/>
        </w:rPr>
        <w:t>2023年度财政拨款收、支总计2947.02万元。与2022年相比，财政拨款收、支总计各增加292.13万元，增长11.00%。主要原因是</w:t>
      </w:r>
      <w:r>
        <w:rPr>
          <w:rFonts w:ascii="方正仿宋_GBK" w:hAnsi="仿宋" w:eastAsia="方正仿宋_GBK" w:cs="仿宋"/>
          <w:color w:val="000000"/>
          <w:sz w:val="32"/>
          <w:szCs w:val="32"/>
        </w:rPr>
        <w:t>增加的原因是项目资金安排增加、机关运行经费增加、体制补助增加、清算公务员、事业人员绩效工资等。</w:t>
      </w:r>
    </w:p>
    <w:p>
      <w:pPr>
        <w:pStyle w:val="7"/>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Fonts w:ascii="楷体" w:hAnsi="楷体" w:eastAsia="楷体" w:cs="楷体"/>
          <w:b/>
          <w:bCs/>
          <w:sz w:val="32"/>
          <w:szCs w:val="32"/>
          <w:shd w:val="clear" w:color="auto" w:fill="FFFFFF"/>
        </w:rPr>
        <w:t>（三）一般公共预算财政拨款收入支出决算情况说明</w:t>
      </w:r>
    </w:p>
    <w:p>
      <w:pPr>
        <w:pStyle w:val="7"/>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1"/>
          <w:rFonts w:ascii="方正仿宋_GBK" w:hAnsi="方正仿宋_GBK" w:eastAsia="方正仿宋_GBK" w:cs="方正仿宋_GBK"/>
          <w:sz w:val="32"/>
          <w:szCs w:val="32"/>
          <w:shd w:val="clear" w:color="auto" w:fill="FFFFFF"/>
        </w:rPr>
        <w:t>1.收入情况。</w:t>
      </w:r>
      <w:r>
        <w:rPr>
          <w:rFonts w:ascii="方正仿宋_GBK" w:hAnsi="方正仿宋_GBK" w:eastAsia="方正仿宋_GBK" w:cs="方正仿宋_GBK"/>
          <w:sz w:val="32"/>
          <w:szCs w:val="32"/>
          <w:shd w:val="clear" w:color="auto" w:fill="FFFFFF"/>
        </w:rPr>
        <w:t>2023年度一般公共预算财政拨款收入</w:t>
      </w:r>
      <w:r>
        <w:rPr>
          <w:rFonts w:ascii="方正仿宋_GBK" w:hAnsi="方正仿宋_GBK" w:eastAsia="方正仿宋_GBK" w:cs="方正仿宋_GBK"/>
          <w:sz w:val="32"/>
          <w:szCs w:val="32"/>
        </w:rPr>
        <w:t>2928.89</w:t>
      </w:r>
      <w:r>
        <w:rPr>
          <w:rFonts w:ascii="方正仿宋_GBK" w:hAnsi="方正仿宋_GBK" w:eastAsia="方正仿宋_GBK" w:cs="方正仿宋_GBK"/>
          <w:sz w:val="32"/>
          <w:szCs w:val="32"/>
          <w:shd w:val="clear" w:color="auto" w:fill="FFFFFF"/>
        </w:rPr>
        <w:t>万元，较上年决算数增加353.31万元，增长13.72%。主要原因是</w:t>
      </w:r>
      <w:r>
        <w:rPr>
          <w:rFonts w:ascii="方正仿宋_GBK" w:hAnsi="仿宋" w:eastAsia="方正仿宋_GBK" w:cs="仿宋"/>
          <w:color w:val="000000"/>
          <w:sz w:val="32"/>
          <w:szCs w:val="32"/>
        </w:rPr>
        <w:t>增加的原因是项目资金安排增加、机关运行经费增加、体制补助增加、清算公务员、事业人员绩效工资等。</w:t>
      </w:r>
      <w:r>
        <w:rPr>
          <w:rFonts w:ascii="方正仿宋_GBK" w:hAnsi="方正仿宋_GBK" w:eastAsia="方正仿宋_GBK" w:cs="方正仿宋_GBK"/>
          <w:sz w:val="32"/>
          <w:szCs w:val="32"/>
          <w:shd w:val="clear" w:color="auto" w:fill="FFFFFF"/>
        </w:rPr>
        <w:t>较年初预算数增加1269.65万元，增长76.52%。</w:t>
      </w:r>
      <w:r>
        <w:rPr>
          <w:rFonts w:ascii="方正仿宋_GBK" w:eastAsia="方正仿宋_GBK"/>
          <w:sz w:val="32"/>
          <w:szCs w:val="32"/>
        </w:rPr>
        <w:t>主要原因是</w:t>
      </w:r>
      <w:r>
        <w:rPr>
          <w:rFonts w:ascii="方正仿宋_GBK" w:eastAsia="方正仿宋_GBK"/>
          <w:color w:val="000000"/>
          <w:sz w:val="32"/>
          <w:szCs w:val="32"/>
        </w:rPr>
        <w:t>工作不确定性，年中追加安排部分财政拨款预算。</w:t>
      </w:r>
      <w:r>
        <w:rPr>
          <w:rFonts w:ascii="方正仿宋_GBK" w:hAnsi="方正仿宋_GBK" w:eastAsia="方正仿宋_GBK" w:cs="方正仿宋_GBK"/>
          <w:sz w:val="32"/>
          <w:szCs w:val="32"/>
          <w:shd w:val="clear" w:color="auto" w:fill="FFFFFF"/>
        </w:rPr>
        <w:t>此外，年初财政拨款结转和结余</w:t>
      </w:r>
      <w:r>
        <w:rPr>
          <w:rFonts w:ascii="方正仿宋_GBK" w:hAnsi="方正仿宋_GBK" w:eastAsia="方正仿宋_GBK" w:cs="方正仿宋_GBK"/>
          <w:sz w:val="32"/>
          <w:szCs w:val="32"/>
        </w:rPr>
        <w:t>17.91</w:t>
      </w:r>
      <w:r>
        <w:rPr>
          <w:rFonts w:ascii="方正仿宋_GBK" w:hAnsi="方正仿宋_GBK" w:eastAsia="方正仿宋_GBK" w:cs="方正仿宋_GBK"/>
          <w:sz w:val="32"/>
          <w:szCs w:val="32"/>
          <w:shd w:val="clear" w:color="auto" w:fill="FFFFFF"/>
        </w:rPr>
        <w:t>万元。</w:t>
      </w:r>
    </w:p>
    <w:p>
      <w:pPr>
        <w:pStyle w:val="7"/>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1"/>
          <w:rFonts w:ascii="方正仿宋_GBK" w:hAnsi="方正仿宋_GBK" w:eastAsia="方正仿宋_GBK" w:cs="方正仿宋_GBK"/>
          <w:sz w:val="32"/>
          <w:szCs w:val="32"/>
          <w:shd w:val="clear" w:color="auto" w:fill="FFFFFF"/>
        </w:rPr>
        <w:t>2.支出情况。</w:t>
      </w:r>
      <w:r>
        <w:rPr>
          <w:rFonts w:ascii="方正仿宋_GBK" w:hAnsi="方正仿宋_GBK" w:eastAsia="方正仿宋_GBK" w:cs="方正仿宋_GBK"/>
          <w:sz w:val="32"/>
          <w:szCs w:val="32"/>
          <w:shd w:val="clear" w:color="auto" w:fill="FFFFFF"/>
        </w:rPr>
        <w:t>2023年度一般公共预算财政拨款支出</w:t>
      </w:r>
      <w:r>
        <w:rPr>
          <w:rFonts w:ascii="方正仿宋_GBK" w:hAnsi="方正仿宋_GBK" w:eastAsia="方正仿宋_GBK" w:cs="方正仿宋_GBK"/>
          <w:sz w:val="32"/>
          <w:szCs w:val="32"/>
        </w:rPr>
        <w:t>2946.79</w:t>
      </w:r>
      <w:r>
        <w:rPr>
          <w:rFonts w:ascii="方正仿宋_GBK" w:hAnsi="方正仿宋_GBK" w:eastAsia="方正仿宋_GBK" w:cs="方正仿宋_GBK"/>
          <w:sz w:val="32"/>
          <w:szCs w:val="32"/>
          <w:shd w:val="clear" w:color="auto" w:fill="FFFFFF"/>
        </w:rPr>
        <w:t>万元，较上年决算数增加312.18万元，增长11.85%。主要原因是</w:t>
      </w:r>
      <w:r>
        <w:rPr>
          <w:rFonts w:ascii="方正仿宋_GBK" w:hAnsi="仿宋" w:eastAsia="方正仿宋_GBK" w:cs="仿宋"/>
          <w:color w:val="000000"/>
          <w:sz w:val="32"/>
          <w:szCs w:val="32"/>
        </w:rPr>
        <w:t>增加的原因是项目资金安排增加、机关运行经费增加、体制补助增加、清算公务员、事业人员绩效工资等。</w:t>
      </w:r>
      <w:r>
        <w:rPr>
          <w:rFonts w:ascii="方正仿宋_GBK" w:hAnsi="方正仿宋_GBK" w:eastAsia="方正仿宋_GBK" w:cs="方正仿宋_GBK"/>
          <w:sz w:val="32"/>
          <w:szCs w:val="32"/>
          <w:shd w:val="clear" w:color="auto" w:fill="FFFFFF"/>
        </w:rPr>
        <w:t>较年初预算数增加1287.55万元，增长77.60%。</w:t>
      </w:r>
      <w:r>
        <w:rPr>
          <w:rFonts w:ascii="方正仿宋_GBK" w:eastAsia="方正仿宋_GBK"/>
          <w:sz w:val="32"/>
          <w:szCs w:val="32"/>
        </w:rPr>
        <w:t>主要原因是</w:t>
      </w:r>
      <w:r>
        <w:rPr>
          <w:rFonts w:ascii="方正仿宋_GBK" w:eastAsia="方正仿宋_GBK"/>
          <w:color w:val="000000"/>
          <w:sz w:val="32"/>
          <w:szCs w:val="32"/>
        </w:rPr>
        <w:t>工作不确定性，年中追加安排部分财政拨款预算。</w:t>
      </w:r>
    </w:p>
    <w:p>
      <w:pPr>
        <w:pStyle w:val="7"/>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1"/>
          <w:rFonts w:ascii="方正仿宋_GBK" w:hAnsi="方正仿宋_GBK" w:eastAsia="方正仿宋_GBK" w:cs="方正仿宋_GBK"/>
          <w:sz w:val="32"/>
          <w:szCs w:val="32"/>
          <w:shd w:val="clear" w:color="auto" w:fill="FFFFFF"/>
        </w:rPr>
        <w:t>3.结转结余情况。</w:t>
      </w:r>
      <w:r>
        <w:rPr>
          <w:rFonts w:ascii="方正仿宋_GBK" w:hAnsi="方正仿宋_GBK" w:eastAsia="方正仿宋_GBK" w:cs="方正仿宋_GBK"/>
          <w:sz w:val="32"/>
          <w:szCs w:val="32"/>
          <w:shd w:val="clear" w:color="auto" w:fill="FFFFFF"/>
        </w:rPr>
        <w:t>2023年度年末一般公共预算财政拨款结转和结余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万元，0，</w:t>
      </w:r>
      <w:r>
        <w:rPr>
          <w:rFonts w:ascii="方正仿宋_GBK" w:eastAsia="方正仿宋_GBK"/>
          <w:sz w:val="32"/>
          <w:szCs w:val="32"/>
          <w:shd w:val="clear" w:color="auto" w:fill="FFFFFF"/>
        </w:rPr>
        <w:t>主要原因是</w:t>
      </w:r>
      <w:r>
        <w:rPr>
          <w:rFonts w:ascii="方正仿宋_GBK" w:hAnsi="Times New Roman" w:eastAsia="方正仿宋_GBK"/>
          <w:sz w:val="32"/>
          <w:szCs w:val="32"/>
          <w:shd w:val="clear" w:color="auto" w:fill="FFFFFF"/>
        </w:rPr>
        <w:t>2023</w:t>
      </w:r>
      <w:r>
        <w:rPr>
          <w:rFonts w:ascii="方正仿宋_GBK" w:eastAsia="方正仿宋_GBK"/>
          <w:sz w:val="32"/>
          <w:szCs w:val="32"/>
          <w:shd w:val="clear" w:color="auto" w:fill="FFFFFF"/>
        </w:rPr>
        <w:t>年度无结转结余。</w:t>
      </w:r>
    </w:p>
    <w:p>
      <w:pPr>
        <w:pStyle w:val="7"/>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1"/>
          <w:rFonts w:ascii="方正仿宋_GBK" w:hAnsi="方正仿宋_GBK" w:eastAsia="方正仿宋_GBK" w:cs="方正仿宋_GBK"/>
          <w:sz w:val="32"/>
          <w:szCs w:val="32"/>
          <w:shd w:val="clear" w:color="auto" w:fill="FFFFFF"/>
        </w:rPr>
        <w:t>4.比较情况。</w:t>
      </w:r>
      <w:r>
        <w:rPr>
          <w:rFonts w:ascii="方正仿宋_GBK" w:hAnsi="方正仿宋_GBK" w:eastAsia="方正仿宋_GBK" w:cs="方正仿宋_GBK"/>
          <w:sz w:val="32"/>
          <w:szCs w:val="32"/>
          <w:shd w:val="clear" w:color="auto" w:fill="FFFFFF"/>
        </w:rPr>
        <w:t>本部门2023年度一般公共预算财政拨款支出主要用于以下几个方面：</w:t>
      </w:r>
    </w:p>
    <w:p>
      <w:pPr>
        <w:pStyle w:val="7"/>
        <w:snapToGrid w:val="0"/>
        <w:spacing w:before="0" w:beforeAutospacing="0" w:after="0" w:afterAutospacing="0" w:line="600" w:lineRule="exact"/>
        <w:ind w:firstLine="640" w:firstLineChars="200"/>
        <w:jc w:val="both"/>
        <w:rPr>
          <w:rFonts w:hint="default" w:ascii="方正仿宋_GBK" w:eastAsia="方正仿宋_GBK"/>
          <w:color w:val="000000"/>
          <w:sz w:val="32"/>
          <w:szCs w:val="32"/>
          <w:shd w:val="clear" w:color="auto" w:fill="FFFFFF"/>
        </w:rPr>
      </w:pPr>
      <w:r>
        <w:rPr>
          <w:rFonts w:ascii="方正仿宋_GBK" w:hAnsi="方正仿宋_GBK" w:eastAsia="方正仿宋_GBK" w:cs="方正仿宋_GBK"/>
          <w:sz w:val="32"/>
          <w:szCs w:val="32"/>
          <w:shd w:val="clear" w:color="auto" w:fill="FFFFFF"/>
        </w:rPr>
        <w:t>（1）一般公共服务支出</w:t>
      </w:r>
      <w:r>
        <w:rPr>
          <w:rFonts w:ascii="方正仿宋_GBK" w:hAnsi="方正仿宋_GBK" w:eastAsia="方正仿宋_GBK" w:cs="方正仿宋_GBK"/>
          <w:sz w:val="32"/>
          <w:szCs w:val="32"/>
        </w:rPr>
        <w:t>959.73</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32.57</w:t>
      </w:r>
      <w:r>
        <w:rPr>
          <w:rFonts w:ascii="方正仿宋_GBK" w:hAnsi="方正仿宋_GBK" w:eastAsia="方正仿宋_GBK" w:cs="方正仿宋_GBK"/>
          <w:sz w:val="32"/>
          <w:szCs w:val="32"/>
          <w:shd w:val="clear" w:color="auto" w:fill="FFFFFF"/>
        </w:rPr>
        <w:t>%，较年初预算数增加355.20万元，增长58.76%，</w:t>
      </w:r>
      <w:r>
        <w:rPr>
          <w:rFonts w:ascii="方正仿宋_GBK" w:eastAsia="方正仿宋_GBK"/>
          <w:color w:val="000000"/>
          <w:sz w:val="32"/>
          <w:szCs w:val="32"/>
          <w:shd w:val="clear" w:color="auto" w:fill="FFFFFF"/>
        </w:rPr>
        <w:t>主要原因是工作不确定性，年中追加安排部分财政拨款预算。</w:t>
      </w:r>
    </w:p>
    <w:p>
      <w:pPr>
        <w:pStyle w:val="7"/>
        <w:snapToGrid w:val="0"/>
        <w:spacing w:before="0" w:beforeAutospacing="0" w:after="0" w:afterAutospacing="0" w:line="600" w:lineRule="exact"/>
        <w:ind w:firstLine="640" w:firstLineChars="200"/>
        <w:jc w:val="both"/>
        <w:rPr>
          <w:rFonts w:hint="default" w:ascii="方正仿宋_GBK" w:eastAsia="方正仿宋_GBK"/>
          <w:color w:val="000000"/>
          <w:sz w:val="32"/>
          <w:szCs w:val="32"/>
          <w:shd w:val="clear" w:color="auto" w:fill="FFFFFF"/>
        </w:rPr>
      </w:pPr>
      <w:r>
        <w:rPr>
          <w:rFonts w:ascii="方正仿宋_GBK" w:hAnsi="方正仿宋_GBK" w:eastAsia="方正仿宋_GBK" w:cs="方正仿宋_GBK"/>
          <w:sz w:val="32"/>
          <w:szCs w:val="32"/>
          <w:shd w:val="clear" w:color="auto" w:fill="FFFFFF"/>
        </w:rPr>
        <w:t>（2）公共安全支出</w:t>
      </w:r>
      <w:r>
        <w:rPr>
          <w:rFonts w:ascii="方正仿宋_GBK" w:hAnsi="方正仿宋_GBK" w:eastAsia="方正仿宋_GBK" w:cs="方正仿宋_GBK"/>
          <w:sz w:val="32"/>
          <w:szCs w:val="32"/>
        </w:rPr>
        <w:t>25.54</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0.87</w:t>
      </w:r>
      <w:r>
        <w:rPr>
          <w:rFonts w:ascii="方正仿宋_GBK" w:hAnsi="方正仿宋_GBK" w:eastAsia="方正仿宋_GBK" w:cs="方正仿宋_GBK"/>
          <w:sz w:val="32"/>
          <w:szCs w:val="32"/>
          <w:shd w:val="clear" w:color="auto" w:fill="FFFFFF"/>
        </w:rPr>
        <w:t>%，较年初预算数增加25.54万元，增长100.00%，</w:t>
      </w:r>
      <w:r>
        <w:rPr>
          <w:rFonts w:ascii="方正仿宋_GBK" w:eastAsia="方正仿宋_GBK"/>
          <w:sz w:val="32"/>
          <w:szCs w:val="32"/>
          <w:shd w:val="clear" w:color="auto" w:fill="FFFFFF"/>
        </w:rPr>
        <w:t>主要原因是</w:t>
      </w:r>
      <w:r>
        <w:rPr>
          <w:rFonts w:ascii="方正仿宋_GBK" w:eastAsia="方正仿宋_GBK"/>
          <w:color w:val="000000"/>
          <w:sz w:val="32"/>
          <w:szCs w:val="32"/>
          <w:shd w:val="clear" w:color="auto" w:fill="FFFFFF"/>
        </w:rPr>
        <w:t>不确定性年初预算未安排，年终根据工作实际予以追加。</w:t>
      </w:r>
    </w:p>
    <w:p>
      <w:pPr>
        <w:pStyle w:val="7"/>
        <w:snapToGrid w:val="0"/>
        <w:spacing w:before="0" w:beforeAutospacing="0" w:after="0" w:afterAutospacing="0" w:line="600" w:lineRule="exact"/>
        <w:ind w:firstLine="640" w:firstLineChars="200"/>
        <w:jc w:val="both"/>
        <w:rPr>
          <w:rFonts w:hint="default" w:ascii="方正仿宋_GBK" w:eastAsia="方正仿宋_GBK"/>
          <w:color w:val="000000"/>
          <w:sz w:val="32"/>
          <w:szCs w:val="32"/>
          <w:shd w:val="clear" w:color="auto" w:fill="FFFFFF"/>
        </w:rPr>
      </w:pPr>
      <w:r>
        <w:rPr>
          <w:rFonts w:ascii="方正仿宋_GBK" w:hAnsi="方正仿宋_GBK" w:eastAsia="方正仿宋_GBK" w:cs="方正仿宋_GBK"/>
          <w:sz w:val="32"/>
          <w:szCs w:val="32"/>
          <w:shd w:val="clear" w:color="auto" w:fill="FFFFFF"/>
        </w:rPr>
        <w:t>（3）科学技术支出</w:t>
      </w:r>
      <w:r>
        <w:rPr>
          <w:rFonts w:ascii="方正仿宋_GBK" w:hAnsi="方正仿宋_GBK" w:eastAsia="方正仿宋_GBK" w:cs="方正仿宋_GBK"/>
          <w:sz w:val="32"/>
          <w:szCs w:val="32"/>
        </w:rPr>
        <w:t>0.35</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0.01</w:t>
      </w:r>
      <w:r>
        <w:rPr>
          <w:rFonts w:ascii="方正仿宋_GBK" w:hAnsi="方正仿宋_GBK" w:eastAsia="方正仿宋_GBK" w:cs="方正仿宋_GBK"/>
          <w:sz w:val="32"/>
          <w:szCs w:val="32"/>
          <w:shd w:val="clear" w:color="auto" w:fill="FFFFFF"/>
        </w:rPr>
        <w:t>%，较年初预算数增加0.35万元，增长100.00%，</w:t>
      </w:r>
      <w:r>
        <w:rPr>
          <w:rFonts w:ascii="方正仿宋_GBK" w:eastAsia="方正仿宋_GBK"/>
          <w:sz w:val="32"/>
          <w:szCs w:val="32"/>
          <w:shd w:val="clear" w:color="auto" w:fill="FFFFFF"/>
        </w:rPr>
        <w:t>主要原因是</w:t>
      </w:r>
      <w:r>
        <w:rPr>
          <w:rFonts w:ascii="方正仿宋_GBK" w:eastAsia="方正仿宋_GBK"/>
          <w:color w:val="000000"/>
          <w:sz w:val="32"/>
          <w:szCs w:val="32"/>
          <w:shd w:val="clear" w:color="auto" w:fill="FFFFFF"/>
        </w:rPr>
        <w:t>不确定性年初预算未安排，年终根据工作实际予以追加。</w:t>
      </w:r>
    </w:p>
    <w:p>
      <w:pPr>
        <w:pStyle w:val="7"/>
        <w:snapToGrid w:val="0"/>
        <w:spacing w:before="0" w:beforeAutospacing="0" w:after="0" w:afterAutospacing="0" w:line="600" w:lineRule="exact"/>
        <w:ind w:firstLine="640" w:firstLineChars="200"/>
        <w:jc w:val="both"/>
        <w:rPr>
          <w:rFonts w:hint="default" w:ascii="方正仿宋_GBK" w:eastAsia="方正仿宋_GBK"/>
          <w:color w:val="000000"/>
          <w:sz w:val="32"/>
          <w:szCs w:val="32"/>
          <w:shd w:val="clear" w:color="auto" w:fill="FFFFFF"/>
        </w:rPr>
      </w:pPr>
      <w:r>
        <w:rPr>
          <w:rFonts w:ascii="方正仿宋_GBK" w:hAnsi="方正仿宋_GBK" w:eastAsia="方正仿宋_GBK" w:cs="方正仿宋_GBK"/>
          <w:sz w:val="32"/>
          <w:szCs w:val="32"/>
          <w:shd w:val="clear" w:color="auto" w:fill="FFFFFF"/>
        </w:rPr>
        <w:t>（4）文化旅游体育与传媒支出</w:t>
      </w:r>
      <w:r>
        <w:rPr>
          <w:rFonts w:ascii="方正仿宋_GBK" w:hAnsi="方正仿宋_GBK" w:eastAsia="方正仿宋_GBK" w:cs="方正仿宋_GBK"/>
          <w:sz w:val="32"/>
          <w:szCs w:val="32"/>
        </w:rPr>
        <w:t>109.98</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3.73</w:t>
      </w:r>
      <w:r>
        <w:rPr>
          <w:rFonts w:ascii="方正仿宋_GBK" w:hAnsi="方正仿宋_GBK" w:eastAsia="方正仿宋_GBK" w:cs="方正仿宋_GBK"/>
          <w:sz w:val="32"/>
          <w:szCs w:val="32"/>
          <w:shd w:val="clear" w:color="auto" w:fill="FFFFFF"/>
        </w:rPr>
        <w:t>%，较年初预算数增加9.24万元，增长9.17%，</w:t>
      </w:r>
      <w:r>
        <w:rPr>
          <w:rFonts w:ascii="方正仿宋_GBK" w:eastAsia="方正仿宋_GBK"/>
          <w:color w:val="000000"/>
          <w:sz w:val="32"/>
          <w:szCs w:val="32"/>
          <w:shd w:val="clear" w:color="auto" w:fill="FFFFFF"/>
        </w:rPr>
        <w:t>主要原因是工作不确定性，年中追加安排部分财政拨款预算。</w:t>
      </w:r>
    </w:p>
    <w:p>
      <w:pPr>
        <w:pStyle w:val="7"/>
        <w:snapToGrid w:val="0"/>
        <w:spacing w:before="0" w:beforeAutospacing="0" w:after="0" w:afterAutospacing="0" w:line="600" w:lineRule="exact"/>
        <w:ind w:firstLine="640" w:firstLineChars="200"/>
        <w:jc w:val="both"/>
        <w:rPr>
          <w:rFonts w:hint="default" w:ascii="方正仿宋_GBK" w:eastAsia="方正仿宋_GBK"/>
          <w:color w:val="000000"/>
          <w:sz w:val="32"/>
          <w:szCs w:val="32"/>
          <w:shd w:val="clear" w:color="auto" w:fill="FFFFFF"/>
        </w:rPr>
      </w:pPr>
      <w:r>
        <w:rPr>
          <w:rFonts w:ascii="方正仿宋_GBK" w:hAnsi="方正仿宋_GBK" w:eastAsia="方正仿宋_GBK" w:cs="方正仿宋_GBK"/>
          <w:sz w:val="32"/>
          <w:szCs w:val="32"/>
          <w:shd w:val="clear" w:color="auto" w:fill="FFFFFF"/>
        </w:rPr>
        <w:t>（5）社会保障与就业支出</w:t>
      </w:r>
      <w:r>
        <w:rPr>
          <w:rFonts w:ascii="方正仿宋_GBK" w:hAnsi="方正仿宋_GBK" w:eastAsia="方正仿宋_GBK" w:cs="方正仿宋_GBK"/>
          <w:sz w:val="32"/>
          <w:szCs w:val="32"/>
        </w:rPr>
        <w:t>431.83</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14.65</w:t>
      </w:r>
      <w:r>
        <w:rPr>
          <w:rFonts w:ascii="方正仿宋_GBK" w:hAnsi="方正仿宋_GBK" w:eastAsia="方正仿宋_GBK" w:cs="方正仿宋_GBK"/>
          <w:sz w:val="32"/>
          <w:szCs w:val="32"/>
          <w:shd w:val="clear" w:color="auto" w:fill="FFFFFF"/>
        </w:rPr>
        <w:t>%，较年初预算数增加78.01万元，增长22.05%，</w:t>
      </w:r>
      <w:r>
        <w:rPr>
          <w:rFonts w:ascii="方正仿宋_GBK" w:eastAsia="方正仿宋_GBK"/>
          <w:color w:val="000000"/>
          <w:sz w:val="32"/>
          <w:szCs w:val="32"/>
          <w:shd w:val="clear" w:color="auto" w:fill="FFFFFF"/>
        </w:rPr>
        <w:t>主要原因是工作不确定性，年中追加安排部分财政拨款预算。</w:t>
      </w:r>
    </w:p>
    <w:p>
      <w:pPr>
        <w:pStyle w:val="7"/>
        <w:snapToGrid w:val="0"/>
        <w:spacing w:before="0" w:beforeAutospacing="0" w:after="0" w:afterAutospacing="0" w:line="600" w:lineRule="exact"/>
        <w:ind w:firstLine="640" w:firstLineChars="200"/>
        <w:jc w:val="both"/>
        <w:rPr>
          <w:rFonts w:hint="default" w:ascii="方正仿宋_GBK" w:eastAsia="方正仿宋_GBK"/>
          <w:color w:val="000000"/>
          <w:sz w:val="32"/>
          <w:szCs w:val="32"/>
          <w:shd w:val="clear" w:color="auto" w:fill="FFFFFF"/>
        </w:rPr>
      </w:pPr>
      <w:r>
        <w:rPr>
          <w:rFonts w:ascii="方正仿宋_GBK" w:hAnsi="方正仿宋_GBK" w:eastAsia="方正仿宋_GBK" w:cs="方正仿宋_GBK"/>
          <w:sz w:val="32"/>
          <w:szCs w:val="32"/>
          <w:shd w:val="clear" w:color="auto" w:fill="FFFFFF"/>
        </w:rPr>
        <w:t>（6）卫生健康支出</w:t>
      </w:r>
      <w:r>
        <w:rPr>
          <w:rFonts w:ascii="方正仿宋_GBK" w:hAnsi="方正仿宋_GBK" w:eastAsia="方正仿宋_GBK" w:cs="方正仿宋_GBK"/>
          <w:sz w:val="32"/>
          <w:szCs w:val="32"/>
        </w:rPr>
        <w:t>68.32</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2.32</w:t>
      </w:r>
      <w:r>
        <w:rPr>
          <w:rFonts w:ascii="方正仿宋_GBK" w:hAnsi="方正仿宋_GBK" w:eastAsia="方正仿宋_GBK" w:cs="方正仿宋_GBK"/>
          <w:sz w:val="32"/>
          <w:szCs w:val="32"/>
          <w:shd w:val="clear" w:color="auto" w:fill="FFFFFF"/>
        </w:rPr>
        <w:t>%，较年初预算数增加24.66万元，增长56.48%，</w:t>
      </w:r>
      <w:r>
        <w:rPr>
          <w:rFonts w:ascii="方正仿宋_GBK" w:eastAsia="方正仿宋_GBK"/>
          <w:color w:val="000000"/>
          <w:sz w:val="32"/>
          <w:szCs w:val="32"/>
          <w:shd w:val="clear" w:color="auto" w:fill="FFFFFF"/>
        </w:rPr>
        <w:t>主要原因是工作不确定性，年中追加安排部分财政拨款预算。</w:t>
      </w:r>
    </w:p>
    <w:p>
      <w:pPr>
        <w:pStyle w:val="7"/>
        <w:snapToGrid w:val="0"/>
        <w:spacing w:before="0" w:beforeAutospacing="0" w:after="0" w:afterAutospacing="0" w:line="600" w:lineRule="exact"/>
        <w:ind w:firstLine="640" w:firstLineChars="200"/>
        <w:jc w:val="both"/>
        <w:rPr>
          <w:rFonts w:hint="default" w:ascii="方正仿宋_GBK" w:eastAsia="方正仿宋_GBK"/>
          <w:color w:val="000000"/>
          <w:sz w:val="32"/>
          <w:szCs w:val="32"/>
          <w:shd w:val="clear" w:color="auto" w:fill="FFFFFF"/>
        </w:rPr>
      </w:pPr>
      <w:r>
        <w:rPr>
          <w:rFonts w:ascii="方正仿宋_GBK" w:hAnsi="方正仿宋_GBK" w:eastAsia="方正仿宋_GBK" w:cs="方正仿宋_GBK"/>
          <w:sz w:val="32"/>
          <w:szCs w:val="32"/>
          <w:shd w:val="clear" w:color="auto" w:fill="FFFFFF"/>
        </w:rPr>
        <w:t>（7）节能环保支出</w:t>
      </w:r>
      <w:r>
        <w:rPr>
          <w:rFonts w:ascii="方正仿宋_GBK" w:hAnsi="方正仿宋_GBK" w:eastAsia="方正仿宋_GBK" w:cs="方正仿宋_GBK"/>
          <w:sz w:val="32"/>
          <w:szCs w:val="32"/>
        </w:rPr>
        <w:t>5.00</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0.17</w:t>
      </w:r>
      <w:r>
        <w:rPr>
          <w:rFonts w:ascii="方正仿宋_GBK" w:hAnsi="方正仿宋_GBK" w:eastAsia="方正仿宋_GBK" w:cs="方正仿宋_GBK"/>
          <w:sz w:val="32"/>
          <w:szCs w:val="32"/>
          <w:shd w:val="clear" w:color="auto" w:fill="FFFFFF"/>
        </w:rPr>
        <w:t>%，较年初预算数增加5.00万元，增长100.00%，</w:t>
      </w:r>
      <w:r>
        <w:rPr>
          <w:rFonts w:ascii="方正仿宋_GBK" w:eastAsia="方正仿宋_GBK"/>
          <w:sz w:val="32"/>
          <w:szCs w:val="32"/>
          <w:shd w:val="clear" w:color="auto" w:fill="FFFFFF"/>
        </w:rPr>
        <w:t>主要原因是</w:t>
      </w:r>
      <w:r>
        <w:rPr>
          <w:rFonts w:ascii="方正仿宋_GBK" w:eastAsia="方正仿宋_GBK"/>
          <w:color w:val="000000"/>
          <w:sz w:val="32"/>
          <w:szCs w:val="32"/>
          <w:shd w:val="clear" w:color="auto" w:fill="FFFFFF"/>
        </w:rPr>
        <w:t>不确定性年初预算未安排，年终根据工作实际予以追加。</w:t>
      </w:r>
    </w:p>
    <w:p>
      <w:pPr>
        <w:pStyle w:val="7"/>
        <w:snapToGrid w:val="0"/>
        <w:spacing w:before="0" w:beforeAutospacing="0" w:after="0" w:afterAutospacing="0" w:line="600" w:lineRule="exact"/>
        <w:ind w:firstLine="640" w:firstLineChars="200"/>
        <w:jc w:val="both"/>
        <w:rPr>
          <w:rFonts w:hint="default" w:ascii="方正仿宋_GBK" w:eastAsia="方正仿宋_GBK"/>
          <w:color w:val="000000"/>
          <w:sz w:val="32"/>
          <w:szCs w:val="32"/>
          <w:shd w:val="clear" w:color="auto" w:fill="FFFFFF"/>
        </w:rPr>
      </w:pPr>
      <w:r>
        <w:rPr>
          <w:rFonts w:ascii="方正仿宋_GBK" w:hAnsi="方正仿宋_GBK" w:eastAsia="方正仿宋_GBK" w:cs="方正仿宋_GBK"/>
          <w:sz w:val="32"/>
          <w:szCs w:val="32"/>
          <w:shd w:val="clear" w:color="auto" w:fill="FFFFFF"/>
        </w:rPr>
        <w:t>（8）城乡社区支出</w:t>
      </w:r>
      <w:r>
        <w:rPr>
          <w:rFonts w:ascii="方正仿宋_GBK" w:hAnsi="方正仿宋_GBK" w:eastAsia="方正仿宋_GBK" w:cs="方正仿宋_GBK"/>
          <w:sz w:val="32"/>
          <w:szCs w:val="32"/>
        </w:rPr>
        <w:t>146.85</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4.98</w:t>
      </w:r>
      <w:r>
        <w:rPr>
          <w:rFonts w:ascii="方正仿宋_GBK" w:hAnsi="方正仿宋_GBK" w:eastAsia="方正仿宋_GBK" w:cs="方正仿宋_GBK"/>
          <w:sz w:val="32"/>
          <w:szCs w:val="32"/>
          <w:shd w:val="clear" w:color="auto" w:fill="FFFFFF"/>
        </w:rPr>
        <w:t>%，较年初预算数增加26.80万元，增长22.32%，</w:t>
      </w:r>
      <w:r>
        <w:rPr>
          <w:rFonts w:ascii="方正仿宋_GBK" w:eastAsia="方正仿宋_GBK"/>
          <w:color w:val="000000"/>
          <w:sz w:val="32"/>
          <w:szCs w:val="32"/>
          <w:shd w:val="clear" w:color="auto" w:fill="FFFFFF"/>
        </w:rPr>
        <w:t>主要原因是工作不确定性，年中追加安排部分财政拨款预算。</w:t>
      </w:r>
    </w:p>
    <w:p>
      <w:pPr>
        <w:pStyle w:val="7"/>
        <w:snapToGrid w:val="0"/>
        <w:spacing w:before="0" w:beforeAutospacing="0" w:after="0" w:afterAutospacing="0" w:line="600" w:lineRule="exact"/>
        <w:ind w:firstLine="640" w:firstLineChars="200"/>
        <w:jc w:val="both"/>
        <w:rPr>
          <w:rFonts w:hint="default" w:ascii="方正仿宋_GBK" w:eastAsia="方正仿宋_GBK"/>
          <w:color w:val="000000"/>
          <w:sz w:val="32"/>
          <w:szCs w:val="32"/>
          <w:shd w:val="clear" w:color="auto" w:fill="FFFFFF"/>
        </w:rPr>
      </w:pPr>
      <w:r>
        <w:rPr>
          <w:rFonts w:ascii="方正仿宋_GBK" w:hAnsi="方正仿宋_GBK" w:eastAsia="方正仿宋_GBK" w:cs="方正仿宋_GBK"/>
          <w:sz w:val="32"/>
          <w:szCs w:val="32"/>
          <w:shd w:val="clear" w:color="auto" w:fill="FFFFFF"/>
        </w:rPr>
        <w:t>（9）农林水支出</w:t>
      </w:r>
      <w:r>
        <w:rPr>
          <w:rFonts w:ascii="方正仿宋_GBK" w:hAnsi="方正仿宋_GBK" w:eastAsia="方正仿宋_GBK" w:cs="方正仿宋_GBK"/>
          <w:sz w:val="32"/>
          <w:szCs w:val="32"/>
        </w:rPr>
        <w:t>664.90</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22.56</w:t>
      </w:r>
      <w:r>
        <w:rPr>
          <w:rFonts w:ascii="方正仿宋_GBK" w:hAnsi="方正仿宋_GBK" w:eastAsia="方正仿宋_GBK" w:cs="方正仿宋_GBK"/>
          <w:sz w:val="32"/>
          <w:szCs w:val="32"/>
          <w:shd w:val="clear" w:color="auto" w:fill="FFFFFF"/>
        </w:rPr>
        <w:t>%，较年初预算数增加312.12万元，增长88.47%，</w:t>
      </w:r>
      <w:r>
        <w:rPr>
          <w:rFonts w:ascii="方正仿宋_GBK" w:eastAsia="方正仿宋_GBK"/>
          <w:color w:val="000000"/>
          <w:sz w:val="32"/>
          <w:szCs w:val="32"/>
          <w:shd w:val="clear" w:color="auto" w:fill="FFFFFF"/>
        </w:rPr>
        <w:t>主要原因是工作不确定性，年中追加安排部分财政拨款预算。</w:t>
      </w:r>
    </w:p>
    <w:p>
      <w:pPr>
        <w:pStyle w:val="7"/>
        <w:snapToGrid w:val="0"/>
        <w:spacing w:before="0" w:beforeAutospacing="0" w:after="0" w:afterAutospacing="0" w:line="600" w:lineRule="exact"/>
        <w:ind w:firstLine="640" w:firstLineChars="200"/>
        <w:jc w:val="both"/>
        <w:rPr>
          <w:rFonts w:hint="default" w:ascii="方正仿宋_GBK" w:eastAsia="方正仿宋_GBK"/>
          <w:color w:val="000000"/>
          <w:sz w:val="32"/>
          <w:szCs w:val="32"/>
          <w:shd w:val="clear" w:color="auto" w:fill="FFFFFF"/>
        </w:rPr>
      </w:pPr>
      <w:r>
        <w:rPr>
          <w:rFonts w:ascii="方正仿宋_GBK" w:hAnsi="方正仿宋_GBK" w:eastAsia="方正仿宋_GBK" w:cs="方正仿宋_GBK"/>
          <w:sz w:val="32"/>
          <w:szCs w:val="32"/>
          <w:shd w:val="clear" w:color="auto" w:fill="FFFFFF"/>
        </w:rPr>
        <w:t>（10）交通运输支出</w:t>
      </w:r>
      <w:r>
        <w:rPr>
          <w:rFonts w:ascii="方正仿宋_GBK" w:hAnsi="方正仿宋_GBK" w:eastAsia="方正仿宋_GBK" w:cs="方正仿宋_GBK"/>
          <w:sz w:val="32"/>
          <w:szCs w:val="32"/>
        </w:rPr>
        <w:t>125.82</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4.27</w:t>
      </w:r>
      <w:r>
        <w:rPr>
          <w:rFonts w:ascii="方正仿宋_GBK" w:hAnsi="方正仿宋_GBK" w:eastAsia="方正仿宋_GBK" w:cs="方正仿宋_GBK"/>
          <w:sz w:val="32"/>
          <w:szCs w:val="32"/>
          <w:shd w:val="clear" w:color="auto" w:fill="FFFFFF"/>
        </w:rPr>
        <w:t>%，较年初预算数增加125.82万元，增长100.00%，</w:t>
      </w:r>
      <w:r>
        <w:rPr>
          <w:rFonts w:ascii="方正仿宋_GBK" w:eastAsia="方正仿宋_GBK"/>
          <w:sz w:val="32"/>
          <w:szCs w:val="32"/>
          <w:shd w:val="clear" w:color="auto" w:fill="FFFFFF"/>
        </w:rPr>
        <w:t>主要原因是</w:t>
      </w:r>
      <w:r>
        <w:rPr>
          <w:rFonts w:ascii="方正仿宋_GBK" w:eastAsia="方正仿宋_GBK"/>
          <w:color w:val="000000"/>
          <w:sz w:val="32"/>
          <w:szCs w:val="32"/>
          <w:shd w:val="clear" w:color="auto" w:fill="FFFFFF"/>
        </w:rPr>
        <w:t>不确定性年初预算未安排，年终根据工作实际予以追加。</w:t>
      </w:r>
    </w:p>
    <w:p>
      <w:pPr>
        <w:pStyle w:val="7"/>
        <w:snapToGrid w:val="0"/>
        <w:spacing w:before="0" w:beforeAutospacing="0" w:after="0" w:afterAutospacing="0" w:line="600" w:lineRule="exact"/>
        <w:ind w:firstLine="640" w:firstLineChars="200"/>
        <w:jc w:val="both"/>
        <w:rPr>
          <w:rFonts w:hint="default" w:ascii="方正仿宋_GBK" w:eastAsia="方正仿宋_GBK"/>
          <w:color w:val="000000"/>
          <w:sz w:val="32"/>
          <w:szCs w:val="32"/>
          <w:shd w:val="clear" w:color="auto" w:fill="FFFFFF"/>
        </w:rPr>
      </w:pPr>
      <w:r>
        <w:rPr>
          <w:rFonts w:ascii="方正仿宋_GBK" w:hAnsi="方正仿宋_GBK" w:eastAsia="方正仿宋_GBK" w:cs="方正仿宋_GBK"/>
          <w:sz w:val="32"/>
          <w:szCs w:val="32"/>
          <w:shd w:val="clear" w:color="auto" w:fill="FFFFFF"/>
        </w:rPr>
        <w:t>（11）资源勘探信息等支出</w:t>
      </w:r>
      <w:r>
        <w:rPr>
          <w:rFonts w:ascii="方正仿宋_GBK" w:hAnsi="方正仿宋_GBK" w:eastAsia="方正仿宋_GBK" w:cs="方正仿宋_GBK"/>
          <w:sz w:val="32"/>
          <w:szCs w:val="32"/>
        </w:rPr>
        <w:t>267.51</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9.08</w:t>
      </w:r>
      <w:r>
        <w:rPr>
          <w:rFonts w:ascii="方正仿宋_GBK" w:hAnsi="方正仿宋_GBK" w:eastAsia="方正仿宋_GBK" w:cs="方正仿宋_GBK"/>
          <w:sz w:val="32"/>
          <w:szCs w:val="32"/>
          <w:shd w:val="clear" w:color="auto" w:fill="FFFFFF"/>
        </w:rPr>
        <w:t>%，较年初预算数增加252.51万元，增长1683.40%，</w:t>
      </w:r>
      <w:r>
        <w:rPr>
          <w:rFonts w:ascii="方正仿宋_GBK" w:eastAsia="方正仿宋_GBK"/>
          <w:color w:val="000000"/>
          <w:sz w:val="32"/>
          <w:szCs w:val="32"/>
          <w:shd w:val="clear" w:color="auto" w:fill="FFFFFF"/>
        </w:rPr>
        <w:t>主要原因是工作不确定性，年中追加安排部分财政拨款预算。</w:t>
      </w:r>
    </w:p>
    <w:p>
      <w:pPr>
        <w:spacing w:line="600" w:lineRule="exact"/>
        <w:ind w:firstLine="640" w:firstLineChars="200"/>
        <w:rPr>
          <w:rFonts w:hint="default" w:ascii="方正仿宋_GBK" w:eastAsia="方正仿宋_GBK"/>
          <w:color w:val="000000"/>
          <w:sz w:val="32"/>
          <w:szCs w:val="32"/>
          <w:shd w:val="clear" w:color="auto" w:fill="FFFFFF"/>
        </w:rPr>
      </w:pPr>
      <w:r>
        <w:rPr>
          <w:rFonts w:ascii="方正仿宋_GBK" w:hAnsi="方正仿宋_GBK" w:eastAsia="方正仿宋_GBK" w:cs="方正仿宋_GBK"/>
          <w:sz w:val="32"/>
          <w:szCs w:val="32"/>
          <w:shd w:val="clear" w:color="auto" w:fill="FFFFFF"/>
        </w:rPr>
        <w:t>（12）</w:t>
      </w:r>
      <w:r>
        <w:rPr>
          <w:rFonts w:ascii="方正仿宋_GBK" w:hAnsi="方正仿宋_GBK" w:eastAsia="方正仿宋_GBK" w:cs="方正仿宋_GBK"/>
          <w:sz w:val="32"/>
          <w:szCs w:val="32"/>
        </w:rPr>
        <w:t>住房保障支出101.30</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3.44</w:t>
      </w:r>
      <w:r>
        <w:rPr>
          <w:rFonts w:ascii="方正仿宋_GBK" w:hAnsi="方正仿宋_GBK" w:eastAsia="方正仿宋_GBK" w:cs="方正仿宋_GBK"/>
          <w:sz w:val="32"/>
          <w:szCs w:val="32"/>
          <w:shd w:val="clear" w:color="auto" w:fill="FFFFFF"/>
        </w:rPr>
        <w:t>%，较年初预算数增加32.64万元，增长47.54%，</w:t>
      </w:r>
      <w:r>
        <w:rPr>
          <w:rFonts w:ascii="方正仿宋_GBK" w:eastAsia="方正仿宋_GBK"/>
          <w:color w:val="000000"/>
          <w:sz w:val="32"/>
          <w:szCs w:val="32"/>
          <w:shd w:val="clear" w:color="auto" w:fill="FFFFFF"/>
        </w:rPr>
        <w:t>主要原因是工作不确定性，年中追加安排部分财政拨款预算。</w:t>
      </w:r>
    </w:p>
    <w:p>
      <w:pPr>
        <w:spacing w:line="600" w:lineRule="exact"/>
        <w:ind w:firstLine="640" w:firstLineChars="200"/>
        <w:rPr>
          <w:rFonts w:hint="default" w:ascii="方正仿宋_GBK" w:eastAsia="方正仿宋_GBK"/>
          <w:color w:val="000000"/>
          <w:sz w:val="32"/>
          <w:szCs w:val="32"/>
          <w:shd w:val="clear" w:color="auto" w:fill="FFFFFF"/>
        </w:rPr>
      </w:pPr>
      <w:r>
        <w:rPr>
          <w:rFonts w:ascii="方正仿宋_GBK" w:hAnsi="方正仿宋_GBK" w:eastAsia="方正仿宋_GBK" w:cs="方正仿宋_GBK"/>
          <w:sz w:val="32"/>
          <w:szCs w:val="32"/>
          <w:shd w:val="clear" w:color="auto" w:fill="FFFFFF"/>
        </w:rPr>
        <w:t>（13）</w:t>
      </w:r>
      <w:r>
        <w:rPr>
          <w:rFonts w:ascii="方正仿宋_GBK" w:hAnsi="方正仿宋_GBK" w:eastAsia="方正仿宋_GBK" w:cs="方正仿宋_GBK"/>
          <w:sz w:val="32"/>
          <w:szCs w:val="32"/>
        </w:rPr>
        <w:t>灾害防治及应急管理支出39.68</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1.35</w:t>
      </w:r>
      <w:r>
        <w:rPr>
          <w:rFonts w:ascii="方正仿宋_GBK" w:hAnsi="方正仿宋_GBK" w:eastAsia="方正仿宋_GBK" w:cs="方正仿宋_GBK"/>
          <w:sz w:val="32"/>
          <w:szCs w:val="32"/>
          <w:shd w:val="clear" w:color="auto" w:fill="FFFFFF"/>
        </w:rPr>
        <w:t>%，较年初预算数增加39.68万元，增长100.00%，</w:t>
      </w:r>
      <w:r>
        <w:rPr>
          <w:rFonts w:ascii="方正仿宋_GBK" w:eastAsia="方正仿宋_GBK"/>
          <w:sz w:val="32"/>
          <w:szCs w:val="32"/>
          <w:shd w:val="clear" w:color="auto" w:fill="FFFFFF"/>
        </w:rPr>
        <w:t>主要原因是</w:t>
      </w:r>
      <w:r>
        <w:rPr>
          <w:rFonts w:ascii="方正仿宋_GBK" w:eastAsia="方正仿宋_GBK"/>
          <w:color w:val="000000"/>
          <w:sz w:val="32"/>
          <w:szCs w:val="32"/>
          <w:shd w:val="clear" w:color="auto" w:fill="FFFFFF"/>
        </w:rPr>
        <w:t>不确定性年初预算未安排，年终根据工作实际予以追加。</w:t>
      </w:r>
    </w:p>
    <w:p>
      <w:pPr>
        <w:pStyle w:val="13"/>
        <w:autoSpaceDE w:val="0"/>
        <w:spacing w:line="600" w:lineRule="exact"/>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（四）一般公共预算财政拨款基本支出决算情况说明</w:t>
      </w:r>
    </w:p>
    <w:p>
      <w:pPr>
        <w:pStyle w:val="13"/>
        <w:autoSpaceDE w:val="0"/>
        <w:spacing w:line="600" w:lineRule="exact"/>
        <w:ind w:firstLine="640"/>
        <w:rPr>
          <w:rFonts w:ascii="楷体" w:hAnsi="楷体" w:eastAsia="楷体" w:cs="楷体"/>
          <w:b/>
          <w:bCs/>
          <w:sz w:val="32"/>
          <w:szCs w:val="32"/>
          <w:shd w:val="clear" w:color="auto" w:fill="FFFFFF"/>
        </w:rPr>
      </w:pPr>
      <w:r>
        <w:rPr>
          <w:rFonts w:ascii="方正仿宋_GBK" w:hAnsi="方正仿宋_GBK" w:eastAsia="方正仿宋_GBK" w:cs="方正仿宋_GBK"/>
          <w:sz w:val="32"/>
          <w:szCs w:val="32"/>
          <w:shd w:val="clear" w:color="auto" w:fill="FFFFFF"/>
        </w:rPr>
        <w:t>2023年度一般公共财政拨款基本支出</w:t>
      </w:r>
      <w:r>
        <w:rPr>
          <w:rFonts w:ascii="方正仿宋_GBK" w:hAnsi="方正仿宋_GBK" w:eastAsia="方正仿宋_GBK" w:cs="方正仿宋_GBK"/>
          <w:sz w:val="32"/>
          <w:szCs w:val="32"/>
        </w:rPr>
        <w:t>1734.10</w:t>
      </w:r>
      <w:r>
        <w:rPr>
          <w:rFonts w:ascii="方正仿宋_GBK" w:hAnsi="方正仿宋_GBK" w:eastAsia="方正仿宋_GBK" w:cs="方正仿宋_GBK"/>
          <w:sz w:val="32"/>
          <w:szCs w:val="32"/>
          <w:shd w:val="clear" w:color="auto" w:fill="FFFFFF"/>
        </w:rPr>
        <w:t>万元。其中：人员经费</w:t>
      </w:r>
      <w:r>
        <w:rPr>
          <w:rFonts w:ascii="方正仿宋_GBK" w:hAnsi="方正仿宋_GBK" w:eastAsia="方正仿宋_GBK" w:cs="方正仿宋_GBK"/>
          <w:sz w:val="32"/>
          <w:szCs w:val="32"/>
        </w:rPr>
        <w:t>1494.78</w:t>
      </w:r>
      <w:r>
        <w:rPr>
          <w:rFonts w:ascii="方正仿宋_GBK" w:hAnsi="方正仿宋_GBK" w:eastAsia="方正仿宋_GBK" w:cs="方正仿宋_GBK"/>
          <w:sz w:val="32"/>
          <w:szCs w:val="32"/>
          <w:shd w:val="clear" w:color="auto" w:fill="FFFFFF"/>
        </w:rPr>
        <w:t>万元，较上年决算数增加239.71万元，增长19.10%，主要原因是清算公务员绩效工资、事业人员绩效工资、退休人员健康修养费等。人员经费用途</w:t>
      </w:r>
      <w:r>
        <w:rPr>
          <w:rFonts w:hint="eastAsia" w:ascii="方正仿宋_GBK" w:eastAsia="方正仿宋_GBK"/>
          <w:color w:val="000000"/>
          <w:sz w:val="32"/>
          <w:szCs w:val="32"/>
          <w:shd w:val="clear" w:color="auto" w:fill="FFFFFF"/>
        </w:rPr>
        <w:t>主要包括基本工资、津贴补贴、奖金、绩效工资、机关事业单位基本养老保险缴费、职业年金缴费、职工基本医疗保险缴费、其他社会保障缴费、住房公积金、医疗费、其他工资福利支出等支出。</w:t>
      </w:r>
      <w:r>
        <w:rPr>
          <w:rFonts w:ascii="方正仿宋_GBK" w:hAnsi="方正仿宋_GBK" w:eastAsia="方正仿宋_GBK" w:cs="方正仿宋_GBK"/>
          <w:sz w:val="32"/>
          <w:szCs w:val="32"/>
          <w:shd w:val="clear" w:color="auto" w:fill="FFFFFF"/>
        </w:rPr>
        <w:t>公用经费</w:t>
      </w:r>
      <w:r>
        <w:rPr>
          <w:rFonts w:ascii="方正仿宋_GBK" w:hAnsi="方正仿宋_GBK" w:eastAsia="方正仿宋_GBK" w:cs="方正仿宋_GBK"/>
          <w:sz w:val="32"/>
          <w:szCs w:val="32"/>
        </w:rPr>
        <w:t>239.32</w:t>
      </w:r>
      <w:r>
        <w:rPr>
          <w:rFonts w:ascii="方正仿宋_GBK" w:hAnsi="方正仿宋_GBK" w:eastAsia="方正仿宋_GBK" w:cs="方正仿宋_GBK"/>
          <w:sz w:val="32"/>
          <w:szCs w:val="32"/>
          <w:shd w:val="clear" w:color="auto" w:fill="FFFFFF"/>
        </w:rPr>
        <w:t>万元，较上年决算数增加79.75万元，增长49.98%，</w:t>
      </w:r>
      <w:r>
        <w:rPr>
          <w:rFonts w:hint="eastAsia" w:ascii="方正仿宋_GBK" w:eastAsia="方正仿宋_GBK"/>
          <w:color w:val="000000"/>
          <w:sz w:val="32"/>
          <w:szCs w:val="32"/>
          <w:shd w:val="clear" w:color="auto" w:fill="FFFFFF"/>
        </w:rPr>
        <w:t>主要原因是</w:t>
      </w:r>
      <w:r>
        <w:rPr>
          <w:rFonts w:ascii="方正仿宋_GBK" w:eastAsia="方正仿宋_GBK"/>
          <w:color w:val="000000"/>
          <w:sz w:val="32"/>
          <w:szCs w:val="32"/>
          <w:shd w:val="clear" w:color="auto" w:fill="FFFFFF"/>
        </w:rPr>
        <w:t>疫情过后培训次数增加、</w:t>
      </w:r>
      <w:r>
        <w:rPr>
          <w:rFonts w:hint="eastAsia" w:ascii="方正仿宋_GBK" w:eastAsia="方正仿宋_GBK"/>
          <w:color w:val="000000"/>
          <w:sz w:val="32"/>
          <w:szCs w:val="32"/>
          <w:shd w:val="clear" w:color="auto" w:fill="FFFFFF"/>
        </w:rPr>
        <w:t>工会</w:t>
      </w:r>
      <w:r>
        <w:rPr>
          <w:rFonts w:ascii="方正仿宋_GBK" w:eastAsia="方正仿宋_GBK"/>
          <w:color w:val="000000"/>
          <w:sz w:val="32"/>
          <w:szCs w:val="32"/>
          <w:shd w:val="clear" w:color="auto" w:fill="FFFFFF"/>
        </w:rPr>
        <w:t>经费</w:t>
      </w:r>
      <w:r>
        <w:rPr>
          <w:rFonts w:hint="eastAsia" w:ascii="方正仿宋_GBK" w:eastAsia="方正仿宋_GBK"/>
          <w:color w:val="000000"/>
          <w:sz w:val="32"/>
          <w:szCs w:val="32"/>
          <w:shd w:val="clear" w:color="auto" w:fill="FFFFFF"/>
        </w:rPr>
        <w:t>增加</w:t>
      </w:r>
      <w:r>
        <w:rPr>
          <w:rFonts w:ascii="方正仿宋_GBK" w:eastAsia="方正仿宋_GBK"/>
          <w:color w:val="000000"/>
          <w:sz w:val="32"/>
          <w:szCs w:val="32"/>
          <w:shd w:val="clear" w:color="auto" w:fill="FFFFFF"/>
        </w:rPr>
        <w:t>等</w:t>
      </w:r>
      <w:r>
        <w:rPr>
          <w:rFonts w:hint="eastAsia" w:ascii="方正仿宋_GBK" w:eastAsia="方正仿宋_GBK"/>
          <w:color w:val="000000"/>
          <w:sz w:val="32"/>
          <w:szCs w:val="32"/>
          <w:shd w:val="clear" w:color="auto" w:fill="FFFFFF"/>
        </w:rPr>
        <w:t>。公用经费用途主要包括办公费、印刷费、咨询费、水费、电费、邮电费、差旅费、维修（护）费、租赁费、培训费、公务接待费、劳务费、委托业务费、工会经费、公务用车运行维护费、其他交通费、其他商品和服务费等。</w:t>
      </w:r>
    </w:p>
    <w:p>
      <w:pPr>
        <w:pStyle w:val="13"/>
        <w:autoSpaceDE w:val="0"/>
        <w:spacing w:line="600" w:lineRule="exact"/>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（五）政府性基金预算收支决算情况说明</w:t>
      </w:r>
    </w:p>
    <w:p>
      <w:pPr>
        <w:pStyle w:val="14"/>
        <w:shd w:val="clear" w:color="auto" w:fill="FFFFFF"/>
        <w:spacing w:before="0" w:beforeAutospacing="0" w:after="0" w:afterAutospacing="0" w:line="600" w:lineRule="exact"/>
        <w:ind w:firstLine="640" w:firstLineChars="200"/>
        <w:rPr>
          <w:rFonts w:ascii="方正仿宋_GBK" w:eastAsia="方正仿宋_GBK"/>
          <w:sz w:val="32"/>
          <w:szCs w:val="32"/>
          <w:shd w:val="clear" w:color="auto" w:fill="FFFF00"/>
        </w:rPr>
      </w:pPr>
      <w:r>
        <w:rPr>
          <w:rFonts w:ascii="方正仿宋_GBK" w:hAnsi="方正仿宋_GBK" w:eastAsia="方正仿宋_GBK" w:cs="方正仿宋_GBK"/>
          <w:sz w:val="32"/>
          <w:szCs w:val="32"/>
          <w:shd w:val="clear" w:color="auto" w:fill="FFFFFF"/>
        </w:rPr>
        <w:t>2023年度政府性基金预算财政拨款年初结转结余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万元，年末结转结余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万元。本年收入</w:t>
      </w:r>
      <w:r>
        <w:rPr>
          <w:rFonts w:ascii="方正仿宋_GBK" w:hAnsi="方正仿宋_GBK" w:eastAsia="方正仿宋_GBK" w:cs="方正仿宋_GBK"/>
          <w:sz w:val="32"/>
          <w:szCs w:val="32"/>
        </w:rPr>
        <w:t>0.20</w:t>
      </w:r>
      <w:r>
        <w:rPr>
          <w:rFonts w:ascii="方正仿宋_GBK" w:hAnsi="方正仿宋_GBK" w:eastAsia="方正仿宋_GBK" w:cs="方正仿宋_GBK"/>
          <w:sz w:val="32"/>
          <w:szCs w:val="32"/>
          <w:shd w:val="clear" w:color="auto" w:fill="FFFFFF"/>
        </w:rPr>
        <w:t>万元，较上年决算数减少20.08万元，下降99.01%，</w:t>
      </w:r>
      <w:r>
        <w:rPr>
          <w:rFonts w:hint="eastAsia" w:ascii="方正仿宋_GBK" w:eastAsia="方正仿宋_GBK"/>
          <w:sz w:val="32"/>
          <w:szCs w:val="32"/>
          <w:shd w:val="clear" w:color="auto" w:fill="FFFFFF"/>
        </w:rPr>
        <w:t>主要原因是</w:t>
      </w:r>
      <w:r>
        <w:rPr>
          <w:rFonts w:hint="eastAsia" w:ascii="方正仿宋_GBK" w:eastAsia="方正仿宋_GBK"/>
          <w:color w:val="000000"/>
          <w:sz w:val="32"/>
          <w:szCs w:val="32"/>
          <w:shd w:val="clear" w:color="auto" w:fill="FFFFFF"/>
        </w:rPr>
        <w:t>不确定性年初预算未安排，年末按实际支出。</w:t>
      </w:r>
      <w:r>
        <w:rPr>
          <w:rFonts w:ascii="方正仿宋_GBK" w:hAnsi="方正仿宋_GBK" w:eastAsia="方正仿宋_GBK" w:cs="方正仿宋_GBK"/>
          <w:sz w:val="32"/>
          <w:szCs w:val="32"/>
          <w:shd w:val="clear" w:color="auto" w:fill="FFFFFF"/>
        </w:rPr>
        <w:t>本年支出</w:t>
      </w:r>
      <w:r>
        <w:rPr>
          <w:rFonts w:ascii="方正仿宋_GBK" w:hAnsi="方正仿宋_GBK" w:eastAsia="方正仿宋_GBK" w:cs="方正仿宋_GBK"/>
          <w:sz w:val="32"/>
          <w:szCs w:val="32"/>
        </w:rPr>
        <w:t>0.20</w:t>
      </w:r>
      <w:r>
        <w:rPr>
          <w:rFonts w:ascii="方正仿宋_GBK" w:hAnsi="方正仿宋_GBK" w:eastAsia="方正仿宋_GBK" w:cs="方正仿宋_GBK"/>
          <w:sz w:val="32"/>
          <w:szCs w:val="32"/>
          <w:shd w:val="clear" w:color="auto" w:fill="FFFFFF"/>
        </w:rPr>
        <w:t>万元，较上年决算数减少20.08万元，下降99.01%，</w:t>
      </w:r>
      <w:r>
        <w:rPr>
          <w:rFonts w:hint="eastAsia" w:ascii="方正仿宋_GBK" w:eastAsia="方正仿宋_GBK"/>
          <w:sz w:val="32"/>
          <w:szCs w:val="32"/>
          <w:shd w:val="clear" w:color="auto" w:fill="FFFFFF"/>
        </w:rPr>
        <w:t>主要原因是</w:t>
      </w:r>
      <w:r>
        <w:rPr>
          <w:rFonts w:hint="eastAsia" w:ascii="方正仿宋_GBK" w:eastAsia="方正仿宋_GBK"/>
          <w:color w:val="000000"/>
          <w:sz w:val="32"/>
          <w:szCs w:val="32"/>
          <w:shd w:val="clear" w:color="auto" w:fill="FFFFFF"/>
        </w:rPr>
        <w:t>按实际支出。</w:t>
      </w:r>
    </w:p>
    <w:p>
      <w:pPr>
        <w:pStyle w:val="7"/>
        <w:snapToGrid w:val="0"/>
        <w:spacing w:before="0" w:beforeAutospacing="0" w:after="0" w:afterAutospacing="0" w:line="600" w:lineRule="exact"/>
        <w:ind w:firstLine="643" w:firstLineChars="200"/>
        <w:jc w:val="both"/>
        <w:rPr>
          <w:rFonts w:hint="default" w:ascii="楷体" w:hAnsi="楷体" w:eastAsia="楷体" w:cs="楷体"/>
          <w:b/>
          <w:bCs/>
          <w:sz w:val="32"/>
          <w:szCs w:val="32"/>
          <w:shd w:val="clear" w:color="auto" w:fill="FFFFFF"/>
        </w:rPr>
      </w:pPr>
      <w:r>
        <w:rPr>
          <w:rFonts w:ascii="楷体" w:hAnsi="楷体" w:eastAsia="楷体" w:cs="楷体"/>
          <w:b/>
          <w:bCs/>
          <w:sz w:val="32"/>
          <w:szCs w:val="32"/>
          <w:shd w:val="clear" w:color="auto" w:fill="FFFFFF"/>
        </w:rPr>
        <w:t>（六）国有资本经营预算财政拨款支出决算情况说明</w:t>
      </w:r>
    </w:p>
    <w:p>
      <w:pPr>
        <w:pStyle w:val="7"/>
        <w:snapToGrid w:val="0"/>
        <w:spacing w:before="0" w:beforeAutospacing="0" w:after="0" w:afterAutospacing="0" w:line="600" w:lineRule="exact"/>
        <w:ind w:firstLine="640" w:firstLineChars="200"/>
        <w:jc w:val="both"/>
        <w:rPr>
          <w:rFonts w:hint="default" w:ascii="楷体" w:hAnsi="楷体" w:eastAsia="楷体" w:cs="楷体"/>
          <w:b/>
          <w:bCs/>
          <w:sz w:val="32"/>
          <w:szCs w:val="32"/>
          <w:shd w:val="clear" w:color="auto" w:fill="FFFFFF"/>
        </w:rPr>
      </w:pPr>
      <w:r>
        <w:rPr>
          <w:rFonts w:ascii="方正仿宋_GBK" w:hAnsi="方正仿宋_GBK" w:eastAsia="方正仿宋_GBK" w:cs="方正仿宋_GBK"/>
          <w:sz w:val="32"/>
          <w:szCs w:val="32"/>
          <w:shd w:val="clear" w:color="auto" w:fill="FFFFFF"/>
        </w:rPr>
        <w:t>2023年度国有资本经营预算财政拨本年支出</w:t>
      </w:r>
      <w:r>
        <w:rPr>
          <w:rFonts w:ascii="方正仿宋_GBK" w:hAnsi="方正仿宋_GBK" w:eastAsia="方正仿宋_GBK" w:cs="方正仿宋_GBK"/>
          <w:sz w:val="32"/>
          <w:szCs w:val="32"/>
        </w:rPr>
        <w:t>0.03</w:t>
      </w:r>
      <w:r>
        <w:rPr>
          <w:rFonts w:ascii="方正仿宋_GBK" w:hAnsi="方正仿宋_GBK" w:eastAsia="方正仿宋_GBK" w:cs="方正仿宋_GBK"/>
          <w:sz w:val="32"/>
          <w:szCs w:val="32"/>
          <w:shd w:val="clear" w:color="auto" w:fill="FFFFFF"/>
        </w:rPr>
        <w:t>万元，基本支出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万元，项目支出</w:t>
      </w:r>
      <w:r>
        <w:rPr>
          <w:rFonts w:ascii="方正仿宋_GBK" w:hAnsi="方正仿宋_GBK" w:eastAsia="方正仿宋_GBK" w:cs="方正仿宋_GBK"/>
          <w:sz w:val="32"/>
          <w:szCs w:val="32"/>
        </w:rPr>
        <w:t>0.03</w:t>
      </w:r>
      <w:r>
        <w:rPr>
          <w:rFonts w:ascii="方正仿宋_GBK" w:hAnsi="方正仿宋_GBK" w:eastAsia="方正仿宋_GBK" w:cs="方正仿宋_GBK"/>
          <w:sz w:val="32"/>
          <w:szCs w:val="32"/>
          <w:shd w:val="clear" w:color="auto" w:fill="FFFFFF"/>
        </w:rPr>
        <w:t>万元，主要用途用于国有企业退休人员座谈会开支。</w:t>
      </w:r>
    </w:p>
    <w:p>
      <w:pPr>
        <w:pStyle w:val="7"/>
        <w:snapToGrid w:val="0"/>
        <w:spacing w:before="0" w:beforeAutospacing="0" w:after="0" w:afterAutospacing="0" w:line="600" w:lineRule="exact"/>
        <w:ind w:firstLine="643" w:firstLineChars="200"/>
        <w:jc w:val="both"/>
        <w:rPr>
          <w:rStyle w:val="11"/>
          <w:rFonts w:hint="default" w:ascii="楷体" w:hAnsi="楷体" w:eastAsia="楷体" w:cs="楷体"/>
          <w:bCs/>
          <w:sz w:val="32"/>
          <w:szCs w:val="32"/>
          <w:shd w:val="clear" w:color="auto" w:fill="FFFFFF"/>
        </w:rPr>
      </w:pPr>
      <w:r>
        <w:rPr>
          <w:rStyle w:val="11"/>
          <w:rFonts w:ascii="黑体" w:hAnsi="黑体" w:eastAsia="黑体" w:cs="黑体"/>
          <w:sz w:val="32"/>
          <w:szCs w:val="32"/>
          <w:shd w:val="clear" w:color="auto" w:fill="FFFFFF"/>
        </w:rPr>
        <w:t>三、“三公”经费情况说明</w:t>
      </w:r>
    </w:p>
    <w:p>
      <w:pPr>
        <w:pStyle w:val="13"/>
        <w:autoSpaceDE w:val="0"/>
        <w:spacing w:line="600" w:lineRule="exact"/>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（一）“三公”经费支出总体情况说明</w:t>
      </w:r>
    </w:p>
    <w:p>
      <w:pPr>
        <w:pStyle w:val="7"/>
        <w:snapToGrid w:val="0"/>
        <w:spacing w:before="0" w:beforeAutospacing="0" w:after="0" w:afterAutospacing="0" w:line="600" w:lineRule="exact"/>
        <w:ind w:firstLine="640" w:firstLineChars="200"/>
        <w:jc w:val="both"/>
        <w:rPr>
          <w:rFonts w:hint="default" w:ascii="楷体" w:hAnsi="楷体" w:eastAsia="楷体" w:cs="楷体"/>
          <w:b/>
          <w:bCs/>
          <w:sz w:val="32"/>
          <w:szCs w:val="32"/>
          <w:shd w:val="clear" w:color="auto" w:fill="FFFFFF"/>
        </w:rPr>
      </w:pPr>
      <w:r>
        <w:rPr>
          <w:rFonts w:ascii="方正仿宋_GBK" w:hAnsi="方正仿宋_GBK" w:eastAsia="方正仿宋_GBK" w:cs="方正仿宋_GBK"/>
          <w:sz w:val="32"/>
          <w:szCs w:val="32"/>
          <w:shd w:val="clear" w:color="auto" w:fill="FFFFFF"/>
        </w:rPr>
        <w:t>2023年度“三公”经费支出共计</w:t>
      </w:r>
      <w:r>
        <w:rPr>
          <w:rFonts w:ascii="方正仿宋_GBK" w:hAnsi="方正仿宋_GBK" w:eastAsia="方正仿宋_GBK" w:cs="方正仿宋_GBK"/>
          <w:sz w:val="32"/>
          <w:szCs w:val="32"/>
        </w:rPr>
        <w:t>8.74</w:t>
      </w:r>
      <w:r>
        <w:rPr>
          <w:rFonts w:ascii="方正仿宋_GBK" w:hAnsi="方正仿宋_GBK" w:eastAsia="方正仿宋_GBK" w:cs="方正仿宋_GBK"/>
          <w:sz w:val="32"/>
          <w:szCs w:val="32"/>
          <w:shd w:val="clear" w:color="auto" w:fill="FFFFFF"/>
        </w:rPr>
        <w:t>万元，较年初预算数增加3.24万元，增长58.91%，</w:t>
      </w:r>
      <w:r>
        <w:rPr>
          <w:rFonts w:ascii="方正仿宋_GBK" w:eastAsia="方正仿宋_GBK"/>
          <w:sz w:val="32"/>
          <w:szCs w:val="32"/>
          <w:shd w:val="clear" w:color="auto" w:fill="FFFFFF"/>
        </w:rPr>
        <w:t>主要原因是不确定性年初预算少了，年终根据工作实际予以追加。</w:t>
      </w:r>
      <w:r>
        <w:rPr>
          <w:rFonts w:ascii="方正仿宋_GBK" w:hAnsi="方正仿宋_GBK" w:eastAsia="方正仿宋_GBK" w:cs="方正仿宋_GBK"/>
          <w:sz w:val="32"/>
          <w:szCs w:val="32"/>
          <w:shd w:val="clear" w:color="auto" w:fill="FFFFFF"/>
        </w:rPr>
        <w:t>较上年支出数减少0.33万元，下降3.64%，</w:t>
      </w:r>
      <w:r>
        <w:rPr>
          <w:rFonts w:ascii="方正仿宋_GBK" w:eastAsia="方正仿宋_GBK"/>
          <w:sz w:val="32"/>
          <w:szCs w:val="32"/>
          <w:shd w:val="clear" w:color="auto" w:fill="FFFFFF"/>
        </w:rPr>
        <w:t>主要原因</w:t>
      </w:r>
      <w:r>
        <w:rPr>
          <w:rFonts w:ascii="方正仿宋_GBK" w:eastAsia="方正仿宋_GBK"/>
          <w:color w:val="000000"/>
          <w:sz w:val="32"/>
          <w:szCs w:val="32"/>
          <w:shd w:val="clear" w:color="auto" w:fill="FFFFFF"/>
        </w:rPr>
        <w:t>：</w:t>
      </w:r>
      <w:r>
        <w:rPr>
          <w:rFonts w:ascii="方正仿宋_GBK" w:eastAsia="方正仿宋_GBK"/>
          <w:b/>
          <w:color w:val="000000"/>
          <w:sz w:val="32"/>
          <w:szCs w:val="32"/>
          <w:shd w:val="clear" w:color="auto" w:fill="FFFFFF"/>
        </w:rPr>
        <w:t>一是</w:t>
      </w:r>
      <w:r>
        <w:rPr>
          <w:rFonts w:ascii="方正仿宋_GBK" w:eastAsia="方正仿宋_GBK"/>
          <w:color w:val="000000"/>
          <w:sz w:val="32"/>
          <w:szCs w:val="32"/>
          <w:shd w:val="clear" w:color="auto" w:fill="FFFFFF"/>
        </w:rPr>
        <w:t>认真贯彻落实中央八项规定精神，按照只减不增的要求从严控制</w:t>
      </w:r>
      <w:r>
        <w:rPr>
          <w:rFonts w:ascii="方正仿宋_GBK" w:hAnsi="Times New Roman" w:eastAsia="方正仿宋_GBK"/>
          <w:color w:val="000000"/>
          <w:sz w:val="32"/>
          <w:szCs w:val="32"/>
          <w:shd w:val="clear" w:color="auto" w:fill="FFFFFF"/>
        </w:rPr>
        <w:t>“</w:t>
      </w:r>
      <w:r>
        <w:rPr>
          <w:rFonts w:ascii="方正仿宋_GBK" w:eastAsia="方正仿宋_GBK"/>
          <w:color w:val="000000"/>
          <w:sz w:val="32"/>
          <w:szCs w:val="32"/>
          <w:shd w:val="clear" w:color="auto" w:fill="FFFFFF"/>
        </w:rPr>
        <w:t>三公</w:t>
      </w:r>
      <w:r>
        <w:rPr>
          <w:rFonts w:ascii="方正仿宋_GBK" w:hAnsi="Times New Roman" w:eastAsia="方正仿宋_GBK"/>
          <w:color w:val="000000"/>
          <w:sz w:val="32"/>
          <w:szCs w:val="32"/>
          <w:shd w:val="clear" w:color="auto" w:fill="FFFFFF"/>
        </w:rPr>
        <w:t>”</w:t>
      </w:r>
      <w:r>
        <w:rPr>
          <w:rFonts w:ascii="方正仿宋_GBK" w:eastAsia="方正仿宋_GBK"/>
          <w:color w:val="000000"/>
          <w:sz w:val="32"/>
          <w:szCs w:val="32"/>
          <w:shd w:val="clear" w:color="auto" w:fill="FFFFFF"/>
        </w:rPr>
        <w:t>经费，严格控制全年实际支出。</w:t>
      </w:r>
      <w:r>
        <w:rPr>
          <w:rFonts w:ascii="方正仿宋_GBK" w:eastAsia="方正仿宋_GBK"/>
          <w:b/>
          <w:color w:val="000000"/>
          <w:sz w:val="32"/>
          <w:szCs w:val="32"/>
          <w:shd w:val="clear" w:color="auto" w:fill="FFFFFF"/>
        </w:rPr>
        <w:t>二是</w:t>
      </w:r>
      <w:r>
        <w:rPr>
          <w:rFonts w:ascii="方正仿宋_GBK" w:eastAsia="方正仿宋_GBK"/>
          <w:color w:val="000000"/>
          <w:sz w:val="32"/>
          <w:szCs w:val="32"/>
          <w:shd w:val="clear" w:color="auto" w:fill="FFFFFF"/>
        </w:rPr>
        <w:t>严格落实公车使用规定，公车运行维护成本大幅下降。</w:t>
      </w:r>
      <w:r>
        <w:rPr>
          <w:rFonts w:ascii="方正仿宋_GBK" w:eastAsia="方正仿宋_GBK"/>
          <w:b/>
          <w:color w:val="000000"/>
          <w:sz w:val="32"/>
          <w:szCs w:val="32"/>
          <w:shd w:val="clear" w:color="auto" w:fill="FFFFFF"/>
        </w:rPr>
        <w:t>三是</w:t>
      </w:r>
      <w:r>
        <w:rPr>
          <w:rFonts w:ascii="方正仿宋_GBK" w:eastAsia="方正仿宋_GBK"/>
          <w:color w:val="000000"/>
          <w:sz w:val="32"/>
          <w:szCs w:val="32"/>
          <w:shd w:val="clear" w:color="auto" w:fill="FFFFFF"/>
        </w:rPr>
        <w:t>强化公务接待支出管理，严格遵守公务接待开支范围和开支标准，严格控制陪餐人数，对应由接待对象承担的费用一律由接待对象自行支付，公务接待费大幅下降。</w:t>
      </w:r>
      <w:r>
        <w:rPr>
          <w:rFonts w:ascii="方正仿宋_GBK" w:eastAsia="方正仿宋_GBK"/>
          <w:b/>
          <w:color w:val="000000"/>
          <w:sz w:val="32"/>
          <w:szCs w:val="32"/>
          <w:shd w:val="clear" w:color="auto" w:fill="FFFFFF"/>
        </w:rPr>
        <w:t>四是</w:t>
      </w:r>
      <w:r>
        <w:rPr>
          <w:rFonts w:ascii="方正仿宋_GBK" w:eastAsia="方正仿宋_GBK"/>
          <w:color w:val="000000"/>
          <w:sz w:val="32"/>
          <w:szCs w:val="32"/>
          <w:shd w:val="clear" w:color="auto" w:fill="FFFFFF"/>
        </w:rPr>
        <w:t>进一步规范因公出国（境）活动，今年未安排人员出国出访。</w:t>
      </w:r>
    </w:p>
    <w:p>
      <w:pPr>
        <w:pStyle w:val="13"/>
        <w:autoSpaceDE w:val="0"/>
        <w:spacing w:line="600" w:lineRule="exact"/>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（二）“三公”经费分项支出情况</w:t>
      </w:r>
    </w:p>
    <w:p>
      <w:pPr>
        <w:adjustRightInd w:val="0"/>
        <w:snapToGrid w:val="0"/>
        <w:spacing w:line="600" w:lineRule="exact"/>
        <w:ind w:firstLine="640" w:firstLineChars="200"/>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2023年度本部门因公出国（境）费用0.00万元。费用支出较年初预算数无增减，主要原因是年初预算数未安排因公出国（境）费用，也未发生因公出国（境）费用。较上年支出数无增减，主要原因是上年和本年均未发生因公出国（境）费用。</w:t>
      </w:r>
    </w:p>
    <w:p>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 xml:space="preserve"> 公务车购置费0.00万元。费用支出较年初预算数无增减，主要原因是年初预算数未安排且本年未发生公务车购置费用。较上年支出数无增减，主要原因是上年和本年均未发生公务车购置费用。 </w:t>
      </w:r>
    </w:p>
    <w:p>
      <w:pPr>
        <w:pStyle w:val="7"/>
        <w:snapToGrid w:val="0"/>
        <w:spacing w:before="0" w:beforeAutospacing="0" w:after="0" w:afterAutospacing="0" w:line="600" w:lineRule="exact"/>
        <w:ind w:firstLine="640" w:firstLineChars="200"/>
        <w:jc w:val="both"/>
        <w:rPr>
          <w:rFonts w:hint="default" w:ascii="方正仿宋_GBK" w:eastAsia="方正仿宋_GBK"/>
          <w:color w:val="000000"/>
          <w:sz w:val="32"/>
          <w:szCs w:val="32"/>
          <w:shd w:val="clear" w:color="auto" w:fill="FFFFFF"/>
        </w:rPr>
      </w:pPr>
      <w:r>
        <w:rPr>
          <w:rFonts w:ascii="方正仿宋_GBK" w:hAnsi="方正仿宋_GBK" w:eastAsia="方正仿宋_GBK" w:cs="方正仿宋_GBK"/>
          <w:sz w:val="32"/>
          <w:szCs w:val="32"/>
          <w:shd w:val="clear" w:color="auto" w:fill="FFFFFF"/>
        </w:rPr>
        <w:t>公务车运行维护费</w:t>
      </w:r>
      <w:r>
        <w:rPr>
          <w:rFonts w:ascii="方正仿宋_GBK" w:hAnsi="方正仿宋_GBK" w:eastAsia="方正仿宋_GBK" w:cs="方正仿宋_GBK"/>
          <w:sz w:val="32"/>
          <w:szCs w:val="32"/>
        </w:rPr>
        <w:t>4.04</w:t>
      </w:r>
      <w:r>
        <w:rPr>
          <w:rFonts w:ascii="方正仿宋_GBK" w:hAnsi="方正仿宋_GBK" w:eastAsia="方正仿宋_GBK" w:cs="方正仿宋_GBK"/>
          <w:sz w:val="32"/>
          <w:szCs w:val="32"/>
          <w:shd w:val="clear" w:color="auto" w:fill="FFFFFF"/>
        </w:rPr>
        <w:t>万元，</w:t>
      </w:r>
      <w:r>
        <w:rPr>
          <w:rFonts w:ascii="方正仿宋_GBK" w:eastAsia="方正仿宋_GBK"/>
          <w:sz w:val="32"/>
          <w:szCs w:val="32"/>
          <w:shd w:val="clear" w:color="auto" w:fill="FFFFFF"/>
        </w:rPr>
        <w:t>主要用于</w:t>
      </w:r>
      <w:r>
        <w:rPr>
          <w:rFonts w:ascii="方正仿宋_GBK" w:eastAsia="方正仿宋_GBK"/>
          <w:color w:val="000000"/>
          <w:sz w:val="32"/>
          <w:szCs w:val="32"/>
          <w:shd w:val="clear" w:color="auto" w:fill="FFFFFF"/>
        </w:rPr>
        <w:t>按规定保留的公务用车机要文件交换、市内因公出行等工作所需车辆的燃料费、维修费、过桥过路费、保险费等支出。</w:t>
      </w:r>
      <w:r>
        <w:rPr>
          <w:rFonts w:ascii="方正仿宋_GBK" w:hAnsi="方正仿宋_GBK" w:eastAsia="方正仿宋_GBK" w:cs="方正仿宋_GBK"/>
          <w:sz w:val="32"/>
          <w:szCs w:val="32"/>
          <w:shd w:val="clear" w:color="auto" w:fill="FFFFFF"/>
        </w:rPr>
        <w:t>费用支出较年初预算数增加0.94万元，增长30.32%，</w:t>
      </w:r>
      <w:r>
        <w:rPr>
          <w:rFonts w:ascii="方正仿宋_GBK" w:eastAsia="方正仿宋_GBK"/>
          <w:sz w:val="32"/>
          <w:szCs w:val="32"/>
          <w:shd w:val="clear" w:color="auto" w:fill="FFFFFF"/>
        </w:rPr>
        <w:t>主要原因是年初预算不足，年中根据实际工作予以追加。</w:t>
      </w:r>
      <w:r>
        <w:rPr>
          <w:rFonts w:ascii="方正仿宋_GBK" w:hAnsi="方正仿宋_GBK" w:eastAsia="方正仿宋_GBK" w:cs="方正仿宋_GBK"/>
          <w:sz w:val="32"/>
          <w:szCs w:val="32"/>
          <w:shd w:val="clear" w:color="auto" w:fill="FFFFFF"/>
        </w:rPr>
        <w:t>较上年支出数无增减，</w:t>
      </w:r>
      <w:r>
        <w:rPr>
          <w:rFonts w:ascii="方正仿宋_GBK" w:eastAsia="方正仿宋_GBK"/>
          <w:color w:val="000000"/>
          <w:sz w:val="32"/>
          <w:szCs w:val="32"/>
          <w:shd w:val="clear" w:color="auto" w:fill="FFFFFF"/>
        </w:rPr>
        <w:t>主要原因是严格落实公车使用规定，严格控制公车运行维护成本。</w:t>
      </w:r>
    </w:p>
    <w:p>
      <w:pPr>
        <w:pStyle w:val="7"/>
        <w:snapToGrid w:val="0"/>
        <w:spacing w:before="0" w:beforeAutospacing="0" w:after="0" w:afterAutospacing="0" w:line="600" w:lineRule="exact"/>
        <w:ind w:firstLine="640" w:firstLineChars="200"/>
        <w:jc w:val="both"/>
        <w:rPr>
          <w:rFonts w:hint="default" w:ascii="方正仿宋_GBK" w:eastAsia="方正仿宋_GBK"/>
          <w:color w:val="000000"/>
          <w:sz w:val="32"/>
          <w:szCs w:val="32"/>
          <w:shd w:val="clear" w:color="auto" w:fill="FFFFFF"/>
        </w:rPr>
      </w:pPr>
      <w:r>
        <w:rPr>
          <w:rFonts w:ascii="方正仿宋_GBK" w:hAnsi="方正仿宋_GBK" w:eastAsia="方正仿宋_GBK" w:cs="方正仿宋_GBK"/>
          <w:sz w:val="32"/>
          <w:szCs w:val="32"/>
          <w:shd w:val="clear" w:color="auto" w:fill="FFFFFF"/>
        </w:rPr>
        <w:t>公务接待费</w:t>
      </w:r>
      <w:r>
        <w:rPr>
          <w:rFonts w:ascii="方正仿宋_GBK" w:hAnsi="方正仿宋_GBK" w:eastAsia="方正仿宋_GBK" w:cs="方正仿宋_GBK"/>
          <w:sz w:val="32"/>
          <w:szCs w:val="32"/>
        </w:rPr>
        <w:t>4.70</w:t>
      </w:r>
      <w:r>
        <w:rPr>
          <w:rFonts w:ascii="方正仿宋_GBK" w:hAnsi="方正仿宋_GBK" w:eastAsia="方正仿宋_GBK" w:cs="方正仿宋_GBK"/>
          <w:sz w:val="32"/>
          <w:szCs w:val="32"/>
          <w:shd w:val="clear" w:color="auto" w:fill="FFFFFF"/>
        </w:rPr>
        <w:t>万元，</w:t>
      </w:r>
      <w:r>
        <w:rPr>
          <w:rFonts w:ascii="方正仿宋_GBK" w:eastAsia="方正仿宋_GBK"/>
          <w:color w:val="000000"/>
          <w:sz w:val="32"/>
          <w:szCs w:val="32"/>
          <w:shd w:val="clear" w:color="auto" w:fill="FFFFFF"/>
        </w:rPr>
        <w:t>主要用于接待上级部门到我单位学习调研督导各项工作推进情况、接受相关部门检查指导工作及相关单位到我镇招商引资考察学习发生的接待支出。</w:t>
      </w:r>
      <w:r>
        <w:rPr>
          <w:rFonts w:ascii="方正仿宋_GBK" w:hAnsi="方正仿宋_GBK" w:eastAsia="方正仿宋_GBK" w:cs="方正仿宋_GBK"/>
          <w:sz w:val="32"/>
          <w:szCs w:val="32"/>
          <w:shd w:val="clear" w:color="auto" w:fill="FFFFFF"/>
        </w:rPr>
        <w:t>费用支出较年初预算数增加2.30万元，增长95.83%，</w:t>
      </w:r>
      <w:r>
        <w:rPr>
          <w:rFonts w:ascii="方正仿宋_GBK" w:eastAsia="方正仿宋_GBK"/>
          <w:sz w:val="32"/>
          <w:szCs w:val="32"/>
          <w:shd w:val="clear" w:color="auto" w:fill="FFFFFF"/>
        </w:rPr>
        <w:t>主要原因是年初预算不足，年中根据实际工作予以追加。</w:t>
      </w:r>
      <w:r>
        <w:rPr>
          <w:rFonts w:ascii="方正仿宋_GBK" w:hAnsi="方正仿宋_GBK" w:eastAsia="方正仿宋_GBK" w:cs="方正仿宋_GBK"/>
          <w:sz w:val="32"/>
          <w:szCs w:val="32"/>
          <w:shd w:val="clear" w:color="auto" w:fill="FFFFFF"/>
        </w:rPr>
        <w:t>较上年支出数减少0.33万元，下降6.56%，</w:t>
      </w:r>
      <w:r>
        <w:rPr>
          <w:rFonts w:ascii="方正仿宋_GBK" w:eastAsia="方正仿宋_GBK"/>
          <w:color w:val="000000"/>
          <w:sz w:val="32"/>
          <w:szCs w:val="32"/>
          <w:shd w:val="clear" w:color="auto" w:fill="FFFFFF"/>
        </w:rPr>
        <w:t>主要原因是强化公务接待支出管理，严格遵守公务接待开支范围和开支标准，严格控制陪餐人数，对应由接待对象承担的费用一律由接待对象自行支付，严格控制公务接待费用。</w:t>
      </w:r>
    </w:p>
    <w:p>
      <w:pPr>
        <w:pStyle w:val="13"/>
        <w:autoSpaceDE w:val="0"/>
        <w:spacing w:line="600" w:lineRule="exact"/>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（三）“三公”经费实物量情况</w:t>
      </w:r>
    </w:p>
    <w:p>
      <w:pPr>
        <w:pStyle w:val="13"/>
        <w:autoSpaceDE w:val="0"/>
        <w:spacing w:line="600" w:lineRule="exact"/>
        <w:ind w:firstLine="640"/>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2023年度本部门因公出国（境）共计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个团组，</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人；公务用车购置</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辆，公务车保有量为</w:t>
      </w:r>
      <w:r>
        <w:rPr>
          <w:rFonts w:ascii="方正仿宋_GBK" w:hAnsi="方正仿宋_GBK" w:eastAsia="方正仿宋_GBK" w:cs="方正仿宋_GBK"/>
          <w:sz w:val="32"/>
          <w:szCs w:val="32"/>
        </w:rPr>
        <w:t>2</w:t>
      </w:r>
      <w:r>
        <w:rPr>
          <w:rFonts w:ascii="方正仿宋_GBK" w:hAnsi="方正仿宋_GBK" w:eastAsia="方正仿宋_GBK" w:cs="方正仿宋_GBK"/>
          <w:sz w:val="32"/>
          <w:szCs w:val="32"/>
          <w:shd w:val="clear" w:color="auto" w:fill="FFFFFF"/>
        </w:rPr>
        <w:t>辆；国内公务接待</w:t>
      </w:r>
      <w:r>
        <w:rPr>
          <w:rFonts w:ascii="方正仿宋_GBK" w:hAnsi="方正仿宋_GBK" w:eastAsia="方正仿宋_GBK" w:cs="方正仿宋_GBK"/>
          <w:sz w:val="32"/>
          <w:szCs w:val="32"/>
        </w:rPr>
        <w:t>205</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1020</w:t>
      </w:r>
      <w:r>
        <w:rPr>
          <w:rFonts w:ascii="方正仿宋_GBK" w:hAnsi="方正仿宋_GBK" w:eastAsia="方正仿宋_GBK" w:cs="方正仿宋_GBK"/>
          <w:sz w:val="32"/>
          <w:szCs w:val="32"/>
          <w:shd w:val="clear" w:color="auto" w:fill="FFFFFF"/>
        </w:rPr>
        <w:t>人，其中：国内外事接待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人；国（境）外公务接待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人。2023年本部门人均接待费</w:t>
      </w:r>
      <w:r>
        <w:rPr>
          <w:rFonts w:ascii="方正仿宋_GBK" w:hAnsi="方正仿宋_GBK" w:eastAsia="方正仿宋_GBK" w:cs="方正仿宋_GBK"/>
          <w:sz w:val="32"/>
          <w:szCs w:val="32"/>
        </w:rPr>
        <w:t>46.03</w:t>
      </w:r>
      <w:r>
        <w:rPr>
          <w:rFonts w:ascii="方正仿宋_GBK" w:hAnsi="方正仿宋_GBK" w:eastAsia="方正仿宋_GBK" w:cs="方正仿宋_GBK"/>
          <w:sz w:val="32"/>
          <w:szCs w:val="32"/>
          <w:shd w:val="clear" w:color="auto" w:fill="FFFFFF"/>
        </w:rPr>
        <w:t>元，车均购置费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万元，车均维护费</w:t>
      </w:r>
      <w:r>
        <w:rPr>
          <w:rFonts w:ascii="方正仿宋_GBK" w:hAnsi="方正仿宋_GBK" w:eastAsia="方正仿宋_GBK" w:cs="方正仿宋_GBK"/>
          <w:sz w:val="32"/>
          <w:szCs w:val="32"/>
        </w:rPr>
        <w:t>2.02</w:t>
      </w:r>
      <w:r>
        <w:rPr>
          <w:rFonts w:ascii="方正仿宋_GBK" w:hAnsi="方正仿宋_GBK" w:eastAsia="方正仿宋_GBK" w:cs="方正仿宋_GBK"/>
          <w:sz w:val="32"/>
          <w:szCs w:val="32"/>
          <w:shd w:val="clear" w:color="auto" w:fill="FFFFFF"/>
        </w:rPr>
        <w:t>万元。</w:t>
      </w:r>
    </w:p>
    <w:p>
      <w:pPr>
        <w:pStyle w:val="13"/>
        <w:autoSpaceDE w:val="0"/>
        <w:spacing w:line="600" w:lineRule="exact"/>
        <w:ind w:firstLine="643"/>
        <w:rPr>
          <w:rStyle w:val="11"/>
          <w:rFonts w:ascii="楷体" w:hAnsi="楷体" w:eastAsia="楷体" w:cs="楷体"/>
          <w:bCs/>
          <w:sz w:val="32"/>
          <w:szCs w:val="32"/>
          <w:shd w:val="clear" w:color="auto" w:fill="FFFFFF"/>
        </w:rPr>
      </w:pPr>
      <w:r>
        <w:rPr>
          <w:rStyle w:val="11"/>
          <w:rFonts w:ascii="黑体" w:hAnsi="黑体" w:eastAsia="黑体" w:cs="黑体"/>
          <w:sz w:val="32"/>
          <w:szCs w:val="32"/>
          <w:shd w:val="clear" w:color="auto" w:fill="FFFFFF"/>
        </w:rPr>
        <w:t>四、其他需要说明的事项</w:t>
      </w:r>
    </w:p>
    <w:p>
      <w:pPr>
        <w:pStyle w:val="13"/>
        <w:autoSpaceDE w:val="0"/>
        <w:spacing w:line="600" w:lineRule="exact"/>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（一）财政拨款会议费和培训费情况说明</w:t>
      </w:r>
    </w:p>
    <w:p>
      <w:pPr>
        <w:pStyle w:val="13"/>
        <w:autoSpaceDE w:val="0"/>
        <w:spacing w:line="600" w:lineRule="exact"/>
        <w:ind w:firstLine="640"/>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本年度会议费支出</w:t>
      </w:r>
      <w:r>
        <w:rPr>
          <w:rFonts w:ascii="方正仿宋_GBK" w:hAnsi="方正仿宋_GBK" w:eastAsia="方正仿宋_GBK" w:cs="方正仿宋_GBK"/>
          <w:sz w:val="32"/>
          <w:szCs w:val="32"/>
        </w:rPr>
        <w:t>5.30</w:t>
      </w:r>
      <w:r>
        <w:rPr>
          <w:rFonts w:ascii="方正仿宋_GBK" w:hAnsi="方正仿宋_GBK" w:eastAsia="方正仿宋_GBK" w:cs="方正仿宋_GBK"/>
          <w:sz w:val="32"/>
          <w:szCs w:val="32"/>
          <w:shd w:val="clear" w:color="auto" w:fill="FFFFFF"/>
        </w:rPr>
        <w:t>万元，较上年决算数减少0.24万元，下降4.33%，</w:t>
      </w:r>
      <w:r>
        <w:rPr>
          <w:rFonts w:ascii="方正仿宋_GBK" w:eastAsia="方正仿宋_GBK"/>
          <w:sz w:val="32"/>
          <w:szCs w:val="32"/>
          <w:shd w:val="clear" w:color="auto" w:fill="FFFFFF"/>
        </w:rPr>
        <w:t>主要原因是本年度</w:t>
      </w:r>
      <w:r>
        <w:rPr>
          <w:rFonts w:hint="eastAsia" w:ascii="方正仿宋_GBK" w:eastAsia="方正仿宋_GBK"/>
          <w:sz w:val="32"/>
          <w:szCs w:val="32"/>
          <w:shd w:val="clear" w:color="auto" w:fill="FFFFFF"/>
        </w:rPr>
        <w:t>本部门</w:t>
      </w:r>
      <w:r>
        <w:rPr>
          <w:rFonts w:ascii="方正仿宋_GBK" w:eastAsia="方正仿宋_GBK"/>
          <w:sz w:val="32"/>
          <w:szCs w:val="32"/>
          <w:shd w:val="clear" w:color="auto" w:fill="FFFFFF"/>
        </w:rPr>
        <w:t>无</w:t>
      </w:r>
      <w:r>
        <w:rPr>
          <w:rFonts w:ascii="方正仿宋_GBK" w:eastAsia="方正仿宋_GBK"/>
          <w:color w:val="000000"/>
          <w:sz w:val="32"/>
          <w:szCs w:val="32"/>
          <w:shd w:val="clear" w:color="auto" w:fill="FFFFFF"/>
        </w:rPr>
        <w:t>人大代表换届选举推选县人大代表和镇长选举。</w:t>
      </w:r>
      <w:r>
        <w:rPr>
          <w:rFonts w:ascii="方正仿宋_GBK" w:hAnsi="方正仿宋_GBK" w:eastAsia="方正仿宋_GBK" w:cs="方正仿宋_GBK"/>
          <w:sz w:val="32"/>
          <w:szCs w:val="32"/>
          <w:shd w:val="clear" w:color="auto" w:fill="FFFFFF"/>
        </w:rPr>
        <w:t>本年度培训费支出</w:t>
      </w:r>
      <w:r>
        <w:rPr>
          <w:rFonts w:ascii="方正仿宋_GBK" w:hAnsi="方正仿宋_GBK" w:eastAsia="方正仿宋_GBK" w:cs="方正仿宋_GBK"/>
          <w:sz w:val="32"/>
          <w:szCs w:val="32"/>
        </w:rPr>
        <w:t>2.17</w:t>
      </w:r>
      <w:r>
        <w:rPr>
          <w:rFonts w:ascii="方正仿宋_GBK" w:hAnsi="方正仿宋_GBK" w:eastAsia="方正仿宋_GBK" w:cs="方正仿宋_GBK"/>
          <w:sz w:val="32"/>
          <w:szCs w:val="32"/>
          <w:shd w:val="clear" w:color="auto" w:fill="FFFFFF"/>
        </w:rPr>
        <w:t>万元，较上年决算数增加2.00万元，增长1176.47%，主要原因是疫情过去后培训次数增加。</w:t>
      </w:r>
    </w:p>
    <w:p>
      <w:pPr>
        <w:pStyle w:val="13"/>
        <w:autoSpaceDE w:val="0"/>
        <w:spacing w:line="600" w:lineRule="exact"/>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（二）机关运行经费情况说明</w:t>
      </w:r>
    </w:p>
    <w:p>
      <w:pPr>
        <w:pStyle w:val="13"/>
        <w:autoSpaceDE w:val="0"/>
        <w:spacing w:line="600" w:lineRule="exact"/>
        <w:ind w:firstLine="640"/>
        <w:rPr>
          <w:rFonts w:ascii="楷体" w:hAnsi="楷体" w:eastAsia="楷体" w:cs="楷体"/>
          <w:b/>
          <w:bCs/>
          <w:sz w:val="32"/>
          <w:szCs w:val="32"/>
          <w:shd w:val="clear" w:color="auto" w:fill="FFFFFF"/>
        </w:rPr>
      </w:pPr>
      <w:r>
        <w:rPr>
          <w:rFonts w:ascii="方正仿宋_GBK" w:hAnsi="方正仿宋_GBK" w:eastAsia="方正仿宋_GBK" w:cs="方正仿宋_GBK"/>
          <w:sz w:val="32"/>
          <w:szCs w:val="32"/>
          <w:shd w:val="clear" w:color="auto" w:fill="FFFFFF"/>
        </w:rPr>
        <w:t>2023年度本部门机关运行经费支出</w:t>
      </w:r>
      <w:r>
        <w:rPr>
          <w:rFonts w:ascii="方正仿宋_GBK" w:hAnsi="方正仿宋_GBK" w:eastAsia="方正仿宋_GBK" w:cs="方正仿宋_GBK"/>
          <w:sz w:val="32"/>
          <w:szCs w:val="32"/>
        </w:rPr>
        <w:t>184.53</w:t>
      </w:r>
      <w:r>
        <w:rPr>
          <w:rFonts w:ascii="方正仿宋_GBK" w:hAnsi="方正仿宋_GBK" w:eastAsia="方正仿宋_GBK" w:cs="方正仿宋_GBK"/>
          <w:sz w:val="32"/>
          <w:szCs w:val="32"/>
          <w:shd w:val="clear" w:color="auto" w:fill="FFFFFF"/>
        </w:rPr>
        <w:t>万元，机关运行经费主要用于开支办公费、印刷费、水费、电费、邮电费、差旅费、维修（护）费、会议费、培训费、公务接待费、劳务费、委托业务费、工会经费、福利费、公务用车运行维护费、其他交通费用、其他商品和服务支出、办公设备购置。机关运行经费较上年支出数增加54.11万元，增长41.49%，主要原因是疫情过去后培训次数增加、工会经费增加。</w:t>
      </w:r>
    </w:p>
    <w:p>
      <w:pPr>
        <w:pStyle w:val="13"/>
        <w:autoSpaceDE w:val="0"/>
        <w:spacing w:line="600" w:lineRule="exact"/>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（三）国有资产占用情况说明</w:t>
      </w:r>
    </w:p>
    <w:p>
      <w:pPr>
        <w:pStyle w:val="13"/>
        <w:autoSpaceDE w:val="0"/>
        <w:spacing w:line="600" w:lineRule="exact"/>
        <w:ind w:firstLine="640"/>
        <w:rPr>
          <w:rFonts w:ascii="楷体" w:hAnsi="楷体" w:eastAsia="楷体" w:cs="楷体"/>
          <w:b/>
          <w:bCs/>
          <w:sz w:val="32"/>
          <w:szCs w:val="32"/>
          <w:shd w:val="clear" w:color="auto" w:fill="FFFFFF"/>
        </w:rPr>
      </w:pPr>
      <w:r>
        <w:rPr>
          <w:rFonts w:ascii="方正仿宋_GBK" w:hAnsi="方正仿宋_GBK" w:eastAsia="方正仿宋_GBK" w:cs="方正仿宋_GBK"/>
          <w:sz w:val="32"/>
          <w:szCs w:val="32"/>
          <w:shd w:val="clear" w:color="auto" w:fill="FFFFFF"/>
        </w:rPr>
        <w:t>截至2023年12月31日，本部门共有车辆</w:t>
      </w:r>
      <w:r>
        <w:rPr>
          <w:rFonts w:ascii="方正仿宋_GBK" w:hAnsi="方正仿宋_GBK" w:eastAsia="方正仿宋_GBK" w:cs="方正仿宋_GBK"/>
          <w:sz w:val="32"/>
          <w:szCs w:val="32"/>
        </w:rPr>
        <w:t>2</w:t>
      </w:r>
      <w:r>
        <w:rPr>
          <w:rFonts w:ascii="方正仿宋_GBK" w:hAnsi="方正仿宋_GBK" w:eastAsia="方正仿宋_GBK" w:cs="方正仿宋_GBK"/>
          <w:sz w:val="32"/>
          <w:szCs w:val="32"/>
          <w:shd w:val="clear" w:color="auto" w:fill="FFFFFF"/>
        </w:rPr>
        <w:t>辆，其中，副部（省）级及以上领导用车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辆、主要负责人用车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辆、机要通信用车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辆、应急保障用车</w:t>
      </w:r>
      <w:r>
        <w:rPr>
          <w:rFonts w:ascii="方正仿宋_GBK" w:hAnsi="方正仿宋_GBK" w:eastAsia="方正仿宋_GBK" w:cs="方正仿宋_GBK"/>
          <w:sz w:val="32"/>
          <w:szCs w:val="32"/>
        </w:rPr>
        <w:t>2</w:t>
      </w:r>
      <w:r>
        <w:rPr>
          <w:rFonts w:ascii="方正仿宋_GBK" w:hAnsi="方正仿宋_GBK" w:eastAsia="方正仿宋_GBK" w:cs="方正仿宋_GBK"/>
          <w:sz w:val="32"/>
          <w:szCs w:val="32"/>
          <w:shd w:val="clear" w:color="auto" w:fill="FFFFFF"/>
        </w:rPr>
        <w:t>辆、执法执勤用车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辆，特种专业技术用车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辆，离退休干部用车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辆。单价100万元（含）以上专用设备</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台（套）。</w:t>
      </w:r>
    </w:p>
    <w:p>
      <w:pPr>
        <w:pStyle w:val="13"/>
        <w:autoSpaceDE w:val="0"/>
        <w:spacing w:line="600" w:lineRule="exact"/>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（四）政府采购支出情况说明</w:t>
      </w:r>
    </w:p>
    <w:p>
      <w:pPr>
        <w:pStyle w:val="13"/>
        <w:autoSpaceDE w:val="0"/>
        <w:spacing w:line="600" w:lineRule="exact"/>
        <w:ind w:firstLine="640"/>
        <w:rPr>
          <w:rFonts w:ascii="方正仿宋_GBK" w:eastAsia="方正仿宋_GBK"/>
          <w:sz w:val="32"/>
          <w:szCs w:val="32"/>
          <w:shd w:val="clear" w:color="auto" w:fill="FFFFFF"/>
        </w:rPr>
      </w:pPr>
      <w:r>
        <w:rPr>
          <w:rFonts w:ascii="方正仿宋_GBK" w:hAnsi="方正仿宋_GBK" w:eastAsia="方正仿宋_GBK" w:cs="方正仿宋_GBK"/>
          <w:sz w:val="32"/>
          <w:szCs w:val="32"/>
          <w:shd w:val="clear" w:color="auto" w:fill="FFFFFF"/>
        </w:rPr>
        <w:t>2023年度本部门政府采购支出总额</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万元，其中：政府采购货物支出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万元、政府采购工程支出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万元、政府采购服务支出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万元。授予中小企业合同金额</w:t>
      </w:r>
      <w:r>
        <w:rPr>
          <w:rFonts w:ascii="方正仿宋_GBK" w:hAnsi="方正仿宋_GBK" w:eastAsia="方正仿宋_GBK" w:cs="方正仿宋_GBK"/>
          <w:sz w:val="32"/>
          <w:szCs w:val="32"/>
        </w:rPr>
        <w:t>0.00万</w:t>
      </w:r>
      <w:r>
        <w:rPr>
          <w:rFonts w:ascii="方正仿宋_GBK" w:hAnsi="方正仿宋_GBK" w:eastAsia="方正仿宋_GBK" w:cs="方正仿宋_GBK"/>
          <w:sz w:val="32"/>
          <w:szCs w:val="32"/>
          <w:shd w:val="clear" w:color="auto" w:fill="FFFFFF"/>
        </w:rPr>
        <w:t>元，占政府采购支出总额的</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%，其中：授予小微企业合同金额</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万元，占政府采购支出总额的</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 xml:space="preserve"> %。2023年度我</w:t>
      </w:r>
      <w:r>
        <w:rPr>
          <w:rFonts w:hint="eastAsia" w:ascii="方正仿宋_GBK" w:hAnsi="方正仿宋_GBK" w:eastAsia="方正仿宋_GBK" w:cs="方正仿宋_GBK"/>
          <w:sz w:val="32"/>
          <w:szCs w:val="32"/>
          <w:shd w:val="clear" w:color="auto" w:fill="FFFFFF"/>
        </w:rPr>
        <w:t>部门</w:t>
      </w:r>
      <w:r>
        <w:rPr>
          <w:rFonts w:ascii="方正仿宋_GBK" w:hAnsi="方正仿宋_GBK" w:eastAsia="方正仿宋_GBK" w:cs="方正仿宋_GBK"/>
          <w:sz w:val="32"/>
          <w:szCs w:val="32"/>
          <w:shd w:val="clear" w:color="auto" w:fill="FFFFFF"/>
        </w:rPr>
        <w:t>未发生政府采购事项，无相关经费支出。</w:t>
      </w:r>
    </w:p>
    <w:p>
      <w:pPr>
        <w:pStyle w:val="13"/>
        <w:autoSpaceDE w:val="0"/>
        <w:spacing w:line="600" w:lineRule="exact"/>
        <w:ind w:firstLine="643"/>
        <w:rPr>
          <w:rStyle w:val="11"/>
          <w:rFonts w:ascii="楷体" w:hAnsi="楷体" w:eastAsia="楷体" w:cs="楷体"/>
          <w:bCs/>
          <w:sz w:val="32"/>
          <w:szCs w:val="32"/>
          <w:shd w:val="clear" w:color="auto" w:fill="FFFFFF"/>
        </w:rPr>
      </w:pPr>
      <w:r>
        <w:rPr>
          <w:rStyle w:val="11"/>
          <w:rFonts w:ascii="黑体" w:hAnsi="黑体" w:eastAsia="黑体" w:cs="黑体"/>
          <w:sz w:val="32"/>
          <w:szCs w:val="32"/>
          <w:shd w:val="clear" w:color="auto" w:fill="FFFFFF"/>
        </w:rPr>
        <w:t>（五）预算绩效管理情况说明</w:t>
      </w:r>
    </w:p>
    <w:p>
      <w:pPr>
        <w:pStyle w:val="13"/>
        <w:autoSpaceDE w:val="0"/>
        <w:spacing w:line="600" w:lineRule="exact"/>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（一）部门自评情况</w:t>
      </w:r>
    </w:p>
    <w:p>
      <w:pPr>
        <w:pStyle w:val="13"/>
        <w:autoSpaceDE w:val="0"/>
        <w:spacing w:line="600" w:lineRule="exact"/>
        <w:ind w:firstLine="640"/>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根据预算绩效管理要求，我部门对部门整体和68个二级项目开展了绩效自评，涉及财政拨款项目支出资金1212.94万元。</w:t>
      </w:r>
    </w:p>
    <w:tbl>
      <w:tblPr>
        <w:tblStyle w:val="8"/>
        <w:tblW w:w="0" w:type="auto"/>
        <w:tblInd w:w="95" w:type="dxa"/>
        <w:tblLayout w:type="autofit"/>
        <w:tblCellMar>
          <w:top w:w="0" w:type="dxa"/>
          <w:left w:w="108" w:type="dxa"/>
          <w:bottom w:w="0" w:type="dxa"/>
          <w:right w:w="108" w:type="dxa"/>
        </w:tblCellMar>
      </w:tblPr>
      <w:tblGrid>
        <w:gridCol w:w="1606"/>
        <w:gridCol w:w="758"/>
        <w:gridCol w:w="758"/>
        <w:gridCol w:w="756"/>
        <w:gridCol w:w="602"/>
        <w:gridCol w:w="716"/>
        <w:gridCol w:w="718"/>
        <w:gridCol w:w="716"/>
        <w:gridCol w:w="525"/>
        <w:gridCol w:w="679"/>
        <w:gridCol w:w="602"/>
      </w:tblGrid>
      <w:tr>
        <w:tblPrEx>
          <w:tblCellMar>
            <w:top w:w="0" w:type="dxa"/>
            <w:left w:w="108" w:type="dxa"/>
            <w:bottom w:w="0" w:type="dxa"/>
            <w:right w:w="108" w:type="dxa"/>
          </w:tblCellMar>
        </w:tblPrEx>
        <w:trPr>
          <w:trHeight w:val="799" w:hRule="atLeast"/>
        </w:trPr>
        <w:tc>
          <w:tcPr>
            <w:tcW w:w="0" w:type="auto"/>
            <w:gridSpan w:val="11"/>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default" w:ascii="微软雅黑" w:hAnsi="微软雅黑" w:eastAsia="微软雅黑" w:cs="宋体"/>
                <w:b/>
                <w:bCs/>
                <w:color w:val="000000"/>
                <w:sz w:val="40"/>
                <w:szCs w:val="40"/>
              </w:rPr>
            </w:pPr>
            <w:r>
              <w:rPr>
                <w:rFonts w:ascii="微软雅黑" w:hAnsi="微软雅黑" w:eastAsia="微软雅黑" w:cs="宋体"/>
                <w:b/>
                <w:bCs/>
                <w:color w:val="000000"/>
                <w:sz w:val="40"/>
                <w:szCs w:val="40"/>
              </w:rPr>
              <w:t>2023年度部门整体绩效自评表</w:t>
            </w:r>
          </w:p>
        </w:tc>
      </w:tr>
      <w:tr>
        <w:tblPrEx>
          <w:tblCellMar>
            <w:top w:w="0" w:type="dxa"/>
            <w:left w:w="108" w:type="dxa"/>
            <w:bottom w:w="0" w:type="dxa"/>
            <w:right w:w="108" w:type="dxa"/>
          </w:tblCellMar>
        </w:tblPrEx>
        <w:trPr>
          <w:trHeight w:val="499" w:hRule="atLeast"/>
        </w:trPr>
        <w:tc>
          <w:tcPr>
            <w:tcW w:w="0" w:type="auto"/>
            <w:gridSpan w:val="11"/>
            <w:tcBorders>
              <w:top w:val="single" w:color="auto" w:sz="4" w:space="0"/>
              <w:left w:val="single" w:color="auto" w:sz="4" w:space="0"/>
              <w:bottom w:val="single" w:color="auto" w:sz="4" w:space="0"/>
              <w:right w:val="single" w:color="auto" w:sz="4" w:space="0"/>
            </w:tcBorders>
            <w:shd w:val="clear" w:color="auto" w:fill="auto"/>
            <w:noWrap/>
            <w:vAlign w:val="center"/>
          </w:tcPr>
          <w:p>
            <w:pPr>
              <w:ind w:firstLine="221" w:firstLineChars="100"/>
              <w:jc w:val="right"/>
              <w:rPr>
                <w:rFonts w:hint="default" w:cs="宋体"/>
                <w:b/>
                <w:bCs/>
                <w:color w:val="DA3232"/>
                <w:sz w:val="22"/>
                <w:szCs w:val="22"/>
              </w:rPr>
            </w:pPr>
            <w:r>
              <w:rPr>
                <w:rFonts w:cs="宋体"/>
                <w:b/>
                <w:bCs/>
                <w:color w:val="DA3232"/>
                <w:sz w:val="22"/>
                <w:szCs w:val="22"/>
              </w:rPr>
              <w:t>状态：绩效审核已审</w:t>
            </w:r>
          </w:p>
        </w:tc>
      </w:tr>
      <w:tr>
        <w:tblPrEx>
          <w:tblCellMar>
            <w:top w:w="0" w:type="dxa"/>
            <w:left w:w="108" w:type="dxa"/>
            <w:bottom w:w="0" w:type="dxa"/>
            <w:right w:w="108" w:type="dxa"/>
          </w:tblCellMar>
        </w:tblPrEx>
        <w:trPr>
          <w:trHeight w:val="499"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pPr>
              <w:jc w:val="right"/>
              <w:rPr>
                <w:rFonts w:hint="default" w:cs="宋体"/>
                <w:b/>
                <w:bCs/>
                <w:color w:val="000000"/>
                <w:sz w:val="22"/>
                <w:szCs w:val="22"/>
              </w:rPr>
            </w:pPr>
            <w:r>
              <w:rPr>
                <w:rFonts w:cs="宋体"/>
                <w:b/>
                <w:bCs/>
                <w:color w:val="000000"/>
                <w:sz w:val="22"/>
                <w:szCs w:val="22"/>
              </w:rPr>
              <w:t>项目名称：</w:t>
            </w:r>
          </w:p>
        </w:tc>
        <w:tc>
          <w:tcPr>
            <w:tcW w:w="0" w:type="auto"/>
            <w:gridSpan w:val="2"/>
            <w:tcBorders>
              <w:top w:val="single" w:color="auto" w:sz="4" w:space="0"/>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垫江县五洞镇人民政府整体监控</w:t>
            </w:r>
          </w:p>
        </w:tc>
        <w:tc>
          <w:tcPr>
            <w:tcW w:w="0" w:type="auto"/>
            <w:tcBorders>
              <w:top w:val="nil"/>
              <w:left w:val="nil"/>
              <w:bottom w:val="single" w:color="auto" w:sz="4" w:space="0"/>
              <w:right w:val="single" w:color="auto" w:sz="4" w:space="0"/>
            </w:tcBorders>
            <w:shd w:val="clear" w:color="auto" w:fill="auto"/>
            <w:noWrap/>
            <w:vAlign w:val="center"/>
          </w:tcPr>
          <w:p>
            <w:pPr>
              <w:jc w:val="right"/>
              <w:rPr>
                <w:rFonts w:hint="default" w:cs="宋体"/>
                <w:b/>
                <w:bCs/>
                <w:color w:val="000000"/>
                <w:sz w:val="22"/>
                <w:szCs w:val="22"/>
              </w:rPr>
            </w:pPr>
            <w:r>
              <w:rPr>
                <w:rFonts w:cs="宋体"/>
                <w:b/>
                <w:bCs/>
                <w:color w:val="000000"/>
                <w:sz w:val="22"/>
                <w:szCs w:val="22"/>
              </w:rPr>
              <w:t>项目编码：</w:t>
            </w:r>
          </w:p>
        </w:tc>
        <w:tc>
          <w:tcPr>
            <w:tcW w:w="0" w:type="auto"/>
            <w:gridSpan w:val="2"/>
            <w:tcBorders>
              <w:top w:val="single" w:color="auto" w:sz="4" w:space="0"/>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50023100023P000076</w:t>
            </w:r>
          </w:p>
        </w:tc>
        <w:tc>
          <w:tcPr>
            <w:tcW w:w="0" w:type="auto"/>
            <w:tcBorders>
              <w:top w:val="nil"/>
              <w:left w:val="nil"/>
              <w:bottom w:val="single" w:color="auto" w:sz="4" w:space="0"/>
              <w:right w:val="single" w:color="auto" w:sz="4" w:space="0"/>
            </w:tcBorders>
            <w:shd w:val="clear" w:color="auto" w:fill="auto"/>
            <w:noWrap/>
            <w:vAlign w:val="center"/>
          </w:tcPr>
          <w:p>
            <w:pPr>
              <w:jc w:val="right"/>
              <w:rPr>
                <w:rFonts w:hint="default" w:cs="宋体"/>
                <w:b/>
                <w:bCs/>
                <w:color w:val="000000"/>
                <w:sz w:val="22"/>
                <w:szCs w:val="22"/>
              </w:rPr>
            </w:pPr>
            <w:r>
              <w:rPr>
                <w:rFonts w:cs="宋体"/>
                <w:b/>
                <w:bCs/>
                <w:color w:val="000000"/>
                <w:sz w:val="22"/>
                <w:szCs w:val="22"/>
              </w:rPr>
              <w:t>自评总分：</w:t>
            </w:r>
          </w:p>
        </w:tc>
        <w:tc>
          <w:tcPr>
            <w:tcW w:w="0" w:type="auto"/>
            <w:gridSpan w:val="2"/>
            <w:tcBorders>
              <w:top w:val="single" w:color="auto" w:sz="4" w:space="0"/>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100.00</w:t>
            </w:r>
          </w:p>
        </w:tc>
        <w:tc>
          <w:tcPr>
            <w:tcW w:w="0" w:type="auto"/>
            <w:tcBorders>
              <w:top w:val="nil"/>
              <w:left w:val="nil"/>
              <w:bottom w:val="single" w:color="auto" w:sz="4" w:space="0"/>
              <w:right w:val="single" w:color="auto" w:sz="4" w:space="0"/>
            </w:tcBorders>
            <w:shd w:val="clear" w:color="auto" w:fill="auto"/>
            <w:noWrap/>
            <w:vAlign w:val="center"/>
          </w:tcPr>
          <w:p>
            <w:pPr>
              <w:jc w:val="right"/>
              <w:rPr>
                <w:rFonts w:hint="default" w:cs="宋体"/>
                <w:b/>
                <w:bCs/>
                <w:color w:val="000000"/>
                <w:sz w:val="22"/>
                <w:szCs w:val="22"/>
              </w:rPr>
            </w:pPr>
            <w:r>
              <w:rPr>
                <w:rFonts w:cs="宋体"/>
                <w:b/>
                <w:bCs/>
                <w:color w:val="000000"/>
                <w:sz w:val="22"/>
                <w:szCs w:val="22"/>
              </w:rPr>
              <w:t>　</w:t>
            </w:r>
          </w:p>
        </w:tc>
        <w:tc>
          <w:tcPr>
            <w:tcW w:w="0" w:type="auto"/>
            <w:tcBorders>
              <w:top w:val="nil"/>
              <w:left w:val="nil"/>
              <w:bottom w:val="single" w:color="auto" w:sz="4" w:space="0"/>
              <w:right w:val="single" w:color="auto" w:sz="4" w:space="0"/>
            </w:tcBorders>
            <w:shd w:val="clear" w:color="auto" w:fill="auto"/>
            <w:vAlign w:val="center"/>
          </w:tcPr>
          <w:p>
            <w:pPr>
              <w:rPr>
                <w:rFonts w:hint="default" w:cs="宋体"/>
                <w:color w:val="000000"/>
                <w:sz w:val="22"/>
                <w:szCs w:val="22"/>
              </w:rPr>
            </w:pPr>
            <w:r>
              <w:rPr>
                <w:rFonts w:cs="宋体"/>
                <w:color w:val="000000"/>
                <w:sz w:val="22"/>
                <w:szCs w:val="22"/>
              </w:rPr>
              <w:t>　</w:t>
            </w:r>
          </w:p>
        </w:tc>
      </w:tr>
      <w:tr>
        <w:tblPrEx>
          <w:tblCellMar>
            <w:top w:w="0" w:type="dxa"/>
            <w:left w:w="108" w:type="dxa"/>
            <w:bottom w:w="0" w:type="dxa"/>
            <w:right w:w="108" w:type="dxa"/>
          </w:tblCellMar>
        </w:tblPrEx>
        <w:trPr>
          <w:trHeight w:val="499"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pPr>
              <w:jc w:val="right"/>
              <w:rPr>
                <w:rFonts w:hint="default" w:cs="宋体"/>
                <w:b/>
                <w:bCs/>
                <w:color w:val="000000"/>
                <w:sz w:val="22"/>
                <w:szCs w:val="22"/>
              </w:rPr>
            </w:pPr>
            <w:r>
              <w:rPr>
                <w:rFonts w:cs="宋体"/>
                <w:b/>
                <w:bCs/>
                <w:color w:val="000000"/>
                <w:sz w:val="22"/>
                <w:szCs w:val="22"/>
              </w:rPr>
              <w:t>项目主管部门：</w:t>
            </w:r>
          </w:p>
        </w:tc>
        <w:tc>
          <w:tcPr>
            <w:tcW w:w="0" w:type="auto"/>
            <w:gridSpan w:val="2"/>
            <w:tcBorders>
              <w:top w:val="single" w:color="auto" w:sz="4" w:space="0"/>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716-垫江县五洞镇人民政府</w:t>
            </w:r>
          </w:p>
        </w:tc>
        <w:tc>
          <w:tcPr>
            <w:tcW w:w="0" w:type="auto"/>
            <w:tcBorders>
              <w:top w:val="nil"/>
              <w:left w:val="nil"/>
              <w:bottom w:val="single" w:color="auto" w:sz="4" w:space="0"/>
              <w:right w:val="single" w:color="auto" w:sz="4" w:space="0"/>
            </w:tcBorders>
            <w:shd w:val="clear" w:color="auto" w:fill="auto"/>
            <w:noWrap/>
            <w:vAlign w:val="center"/>
          </w:tcPr>
          <w:p>
            <w:pPr>
              <w:jc w:val="right"/>
              <w:rPr>
                <w:rFonts w:hint="default" w:cs="宋体"/>
                <w:b/>
                <w:bCs/>
                <w:color w:val="000000"/>
                <w:sz w:val="22"/>
                <w:szCs w:val="22"/>
              </w:rPr>
            </w:pPr>
            <w:r>
              <w:rPr>
                <w:rFonts w:cs="宋体"/>
                <w:b/>
                <w:bCs/>
                <w:color w:val="000000"/>
                <w:sz w:val="22"/>
                <w:szCs w:val="22"/>
              </w:rPr>
              <w:t>财政归口处室：</w:t>
            </w:r>
          </w:p>
        </w:tc>
        <w:tc>
          <w:tcPr>
            <w:tcW w:w="0" w:type="auto"/>
            <w:gridSpan w:val="2"/>
            <w:tcBorders>
              <w:top w:val="single" w:color="auto" w:sz="4" w:space="0"/>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014-会计管理核算中心</w:t>
            </w:r>
          </w:p>
        </w:tc>
        <w:tc>
          <w:tcPr>
            <w:tcW w:w="0" w:type="auto"/>
            <w:tcBorders>
              <w:top w:val="nil"/>
              <w:left w:val="nil"/>
              <w:bottom w:val="single" w:color="auto" w:sz="4" w:space="0"/>
              <w:right w:val="single" w:color="auto" w:sz="4" w:space="0"/>
            </w:tcBorders>
            <w:shd w:val="clear" w:color="auto" w:fill="auto"/>
            <w:noWrap/>
            <w:vAlign w:val="center"/>
          </w:tcPr>
          <w:p>
            <w:pPr>
              <w:jc w:val="right"/>
              <w:rPr>
                <w:rFonts w:hint="default" w:cs="宋体"/>
                <w:b/>
                <w:bCs/>
                <w:color w:val="000000"/>
                <w:sz w:val="22"/>
                <w:szCs w:val="22"/>
              </w:rPr>
            </w:pPr>
            <w:r>
              <w:rPr>
                <w:rFonts w:cs="宋体"/>
                <w:b/>
                <w:bCs/>
                <w:color w:val="000000"/>
                <w:sz w:val="22"/>
                <w:szCs w:val="22"/>
              </w:rPr>
              <w:t>部门联系人：</w:t>
            </w:r>
          </w:p>
        </w:tc>
        <w:tc>
          <w:tcPr>
            <w:tcW w:w="0" w:type="auto"/>
            <w:gridSpan w:val="2"/>
            <w:tcBorders>
              <w:top w:val="single" w:color="auto" w:sz="4" w:space="0"/>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杨晓梅</w:t>
            </w:r>
          </w:p>
        </w:tc>
        <w:tc>
          <w:tcPr>
            <w:tcW w:w="0" w:type="auto"/>
            <w:tcBorders>
              <w:top w:val="nil"/>
              <w:left w:val="nil"/>
              <w:bottom w:val="single" w:color="auto" w:sz="4" w:space="0"/>
              <w:right w:val="single" w:color="auto" w:sz="4" w:space="0"/>
            </w:tcBorders>
            <w:shd w:val="clear" w:color="auto" w:fill="auto"/>
            <w:noWrap/>
            <w:vAlign w:val="center"/>
          </w:tcPr>
          <w:p>
            <w:pPr>
              <w:jc w:val="right"/>
              <w:rPr>
                <w:rFonts w:hint="default" w:cs="宋体"/>
                <w:b/>
                <w:bCs/>
                <w:color w:val="000000"/>
                <w:sz w:val="22"/>
                <w:szCs w:val="22"/>
              </w:rPr>
            </w:pPr>
            <w:r>
              <w:rPr>
                <w:rFonts w:cs="宋体"/>
                <w:b/>
                <w:bCs/>
                <w:color w:val="000000"/>
                <w:sz w:val="22"/>
                <w:szCs w:val="22"/>
              </w:rPr>
              <w:t>联系电话：</w:t>
            </w:r>
          </w:p>
        </w:tc>
        <w:tc>
          <w:tcPr>
            <w:tcW w:w="0" w:type="auto"/>
            <w:tcBorders>
              <w:top w:val="nil"/>
              <w:left w:val="nil"/>
              <w:bottom w:val="single" w:color="auto" w:sz="4" w:space="0"/>
              <w:right w:val="single" w:color="auto" w:sz="4" w:space="0"/>
            </w:tcBorders>
            <w:shd w:val="clear" w:color="auto" w:fill="auto"/>
            <w:vAlign w:val="center"/>
          </w:tcPr>
          <w:p>
            <w:pPr>
              <w:rPr>
                <w:rFonts w:hint="default" w:cs="宋体"/>
                <w:color w:val="000000"/>
                <w:sz w:val="22"/>
                <w:szCs w:val="22"/>
              </w:rPr>
            </w:pPr>
            <w:r>
              <w:rPr>
                <w:rFonts w:cs="宋体"/>
                <w:color w:val="000000"/>
                <w:sz w:val="22"/>
                <w:szCs w:val="22"/>
              </w:rPr>
              <w:t>74562700</w:t>
            </w:r>
          </w:p>
        </w:tc>
      </w:tr>
      <w:tr>
        <w:tblPrEx>
          <w:tblCellMar>
            <w:top w:w="0" w:type="dxa"/>
            <w:left w:w="108" w:type="dxa"/>
            <w:bottom w:w="0" w:type="dxa"/>
            <w:right w:w="108" w:type="dxa"/>
          </w:tblCellMar>
        </w:tblPrEx>
        <w:trPr>
          <w:trHeight w:val="600" w:hRule="atLeast"/>
        </w:trPr>
        <w:tc>
          <w:tcPr>
            <w:tcW w:w="0" w:type="auto"/>
            <w:gridSpan w:val="11"/>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default" w:ascii="微软雅黑" w:hAnsi="微软雅黑" w:eastAsia="微软雅黑" w:cs="宋体"/>
                <w:b/>
                <w:bCs/>
                <w:color w:val="7F7F7F"/>
                <w:sz w:val="28"/>
                <w:szCs w:val="28"/>
              </w:rPr>
            </w:pPr>
            <w:r>
              <w:rPr>
                <w:rFonts w:ascii="微软雅黑" w:hAnsi="微软雅黑" w:eastAsia="微软雅黑" w:cs="宋体"/>
                <w:b/>
                <w:bCs/>
                <w:color w:val="7F7F7F"/>
                <w:sz w:val="28"/>
                <w:szCs w:val="28"/>
              </w:rPr>
              <w:t>资金情况</w:t>
            </w:r>
          </w:p>
        </w:tc>
      </w:tr>
      <w:tr>
        <w:tblPrEx>
          <w:tblCellMar>
            <w:top w:w="0" w:type="dxa"/>
            <w:left w:w="108" w:type="dxa"/>
            <w:bottom w:w="0" w:type="dxa"/>
            <w:right w:w="108" w:type="dxa"/>
          </w:tblCellMar>
        </w:tblPrEx>
        <w:trPr>
          <w:trHeight w:val="499" w:hRule="atLeast"/>
        </w:trPr>
        <w:tc>
          <w:tcPr>
            <w:tcW w:w="0" w:type="auto"/>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default" w:cs="宋体"/>
                <w:color w:val="000000"/>
                <w:sz w:val="22"/>
                <w:szCs w:val="22"/>
              </w:rPr>
            </w:pPr>
            <w:r>
              <w:rPr>
                <w:rFonts w:cs="宋体"/>
                <w:color w:val="000000"/>
                <w:sz w:val="22"/>
                <w:szCs w:val="22"/>
              </w:rPr>
              <w:t>　</w:t>
            </w:r>
          </w:p>
        </w:tc>
        <w:tc>
          <w:tcPr>
            <w:tcW w:w="0" w:type="auto"/>
            <w:gridSpan w:val="2"/>
            <w:tcBorders>
              <w:top w:val="single" w:color="auto" w:sz="4" w:space="0"/>
              <w:left w:val="nil"/>
              <w:bottom w:val="single" w:color="auto" w:sz="4" w:space="0"/>
              <w:right w:val="single" w:color="auto" w:sz="4" w:space="0"/>
            </w:tcBorders>
            <w:shd w:val="clear" w:color="auto" w:fill="auto"/>
            <w:noWrap/>
            <w:vAlign w:val="center"/>
          </w:tcPr>
          <w:p>
            <w:pPr>
              <w:jc w:val="center"/>
              <w:rPr>
                <w:rFonts w:hint="default" w:cs="宋体"/>
                <w:b/>
                <w:bCs/>
                <w:color w:val="000000"/>
                <w:sz w:val="22"/>
                <w:szCs w:val="22"/>
              </w:rPr>
            </w:pPr>
            <w:r>
              <w:rPr>
                <w:rFonts w:cs="宋体"/>
                <w:b/>
                <w:bCs/>
                <w:color w:val="000000"/>
                <w:sz w:val="22"/>
                <w:szCs w:val="22"/>
              </w:rPr>
              <w:t>年初预算数</w:t>
            </w:r>
          </w:p>
        </w:tc>
        <w:tc>
          <w:tcPr>
            <w:tcW w:w="0" w:type="auto"/>
            <w:gridSpan w:val="2"/>
            <w:tcBorders>
              <w:top w:val="single" w:color="auto" w:sz="4" w:space="0"/>
              <w:left w:val="nil"/>
              <w:bottom w:val="single" w:color="auto" w:sz="4" w:space="0"/>
              <w:right w:val="single" w:color="auto" w:sz="4" w:space="0"/>
            </w:tcBorders>
            <w:shd w:val="clear" w:color="auto" w:fill="auto"/>
            <w:noWrap/>
            <w:vAlign w:val="center"/>
          </w:tcPr>
          <w:p>
            <w:pPr>
              <w:jc w:val="center"/>
              <w:rPr>
                <w:rFonts w:hint="default" w:cs="宋体"/>
                <w:b/>
                <w:bCs/>
                <w:color w:val="000000"/>
                <w:sz w:val="22"/>
                <w:szCs w:val="22"/>
              </w:rPr>
            </w:pPr>
            <w:r>
              <w:rPr>
                <w:rFonts w:cs="宋体"/>
                <w:b/>
                <w:bCs/>
                <w:color w:val="000000"/>
                <w:sz w:val="22"/>
                <w:szCs w:val="22"/>
              </w:rPr>
              <w:t>全年（调整）预算数</w:t>
            </w:r>
          </w:p>
        </w:tc>
        <w:tc>
          <w:tcPr>
            <w:tcW w:w="0" w:type="auto"/>
            <w:gridSpan w:val="2"/>
            <w:tcBorders>
              <w:top w:val="single" w:color="auto" w:sz="4" w:space="0"/>
              <w:left w:val="nil"/>
              <w:bottom w:val="single" w:color="auto" w:sz="4" w:space="0"/>
              <w:right w:val="single" w:color="auto" w:sz="4" w:space="0"/>
            </w:tcBorders>
            <w:shd w:val="clear" w:color="auto" w:fill="auto"/>
            <w:noWrap/>
            <w:vAlign w:val="center"/>
          </w:tcPr>
          <w:p>
            <w:pPr>
              <w:jc w:val="center"/>
              <w:rPr>
                <w:rFonts w:hint="default" w:cs="宋体"/>
                <w:b/>
                <w:bCs/>
                <w:color w:val="000000"/>
                <w:sz w:val="22"/>
                <w:szCs w:val="22"/>
              </w:rPr>
            </w:pPr>
            <w:r>
              <w:rPr>
                <w:rFonts w:cs="宋体"/>
                <w:b/>
                <w:bCs/>
                <w:color w:val="000000"/>
                <w:sz w:val="22"/>
                <w:szCs w:val="22"/>
              </w:rPr>
              <w:t>全年执行数</w:t>
            </w:r>
          </w:p>
        </w:tc>
        <w:tc>
          <w:tcPr>
            <w:tcW w:w="0" w:type="auto"/>
            <w:tcBorders>
              <w:top w:val="nil"/>
              <w:left w:val="nil"/>
              <w:bottom w:val="single" w:color="auto" w:sz="4" w:space="0"/>
              <w:right w:val="single" w:color="auto" w:sz="4" w:space="0"/>
            </w:tcBorders>
            <w:shd w:val="clear" w:color="auto" w:fill="auto"/>
            <w:noWrap/>
            <w:vAlign w:val="center"/>
          </w:tcPr>
          <w:p>
            <w:pPr>
              <w:jc w:val="center"/>
              <w:rPr>
                <w:rFonts w:hint="default" w:cs="宋体"/>
                <w:b/>
                <w:bCs/>
                <w:color w:val="000000"/>
                <w:sz w:val="22"/>
                <w:szCs w:val="22"/>
              </w:rPr>
            </w:pPr>
            <w:r>
              <w:rPr>
                <w:rFonts w:cs="宋体"/>
                <w:b/>
                <w:bCs/>
                <w:color w:val="000000"/>
                <w:sz w:val="22"/>
                <w:szCs w:val="22"/>
              </w:rPr>
              <w:t>执行率</w:t>
            </w:r>
          </w:p>
        </w:tc>
        <w:tc>
          <w:tcPr>
            <w:tcW w:w="0" w:type="auto"/>
            <w:tcBorders>
              <w:top w:val="nil"/>
              <w:left w:val="nil"/>
              <w:bottom w:val="single" w:color="auto" w:sz="4" w:space="0"/>
              <w:right w:val="single" w:color="auto" w:sz="4" w:space="0"/>
            </w:tcBorders>
            <w:shd w:val="clear" w:color="auto" w:fill="auto"/>
            <w:noWrap/>
            <w:vAlign w:val="center"/>
          </w:tcPr>
          <w:p>
            <w:pPr>
              <w:rPr>
                <w:rFonts w:hint="default" w:cs="宋体"/>
                <w:b/>
                <w:bCs/>
                <w:color w:val="000000"/>
                <w:sz w:val="22"/>
                <w:szCs w:val="22"/>
              </w:rPr>
            </w:pPr>
            <w:r>
              <w:rPr>
                <w:rFonts w:cs="宋体"/>
                <w:b/>
                <w:bCs/>
                <w:color w:val="000000"/>
                <w:sz w:val="22"/>
                <w:szCs w:val="22"/>
              </w:rPr>
              <w:t>执行率权重</w:t>
            </w:r>
          </w:p>
        </w:tc>
        <w:tc>
          <w:tcPr>
            <w:tcW w:w="0" w:type="auto"/>
            <w:tcBorders>
              <w:top w:val="nil"/>
              <w:left w:val="nil"/>
              <w:bottom w:val="single" w:color="auto" w:sz="4" w:space="0"/>
              <w:right w:val="single" w:color="auto" w:sz="4" w:space="0"/>
            </w:tcBorders>
            <w:shd w:val="clear" w:color="auto" w:fill="auto"/>
            <w:noWrap/>
            <w:vAlign w:val="center"/>
          </w:tcPr>
          <w:p>
            <w:pPr>
              <w:jc w:val="center"/>
              <w:rPr>
                <w:rFonts w:hint="default" w:cs="宋体"/>
                <w:b/>
                <w:bCs/>
                <w:color w:val="000000"/>
                <w:sz w:val="22"/>
                <w:szCs w:val="22"/>
              </w:rPr>
            </w:pPr>
            <w:r>
              <w:rPr>
                <w:rFonts w:cs="宋体"/>
                <w:b/>
                <w:bCs/>
                <w:color w:val="000000"/>
                <w:sz w:val="22"/>
                <w:szCs w:val="22"/>
              </w:rPr>
              <w:t>执行率得分</w:t>
            </w:r>
          </w:p>
        </w:tc>
      </w:tr>
      <w:tr>
        <w:tblPrEx>
          <w:tblCellMar>
            <w:top w:w="0" w:type="dxa"/>
            <w:left w:w="108" w:type="dxa"/>
            <w:bottom w:w="0" w:type="dxa"/>
            <w:right w:w="108" w:type="dxa"/>
          </w:tblCellMar>
        </w:tblPrEx>
        <w:trPr>
          <w:trHeight w:val="499" w:hRule="atLeast"/>
        </w:trPr>
        <w:tc>
          <w:tcPr>
            <w:tcW w:w="0" w:type="auto"/>
            <w:tcBorders>
              <w:top w:val="nil"/>
              <w:left w:val="single" w:color="auto" w:sz="4" w:space="0"/>
              <w:bottom w:val="single" w:color="auto" w:sz="4" w:space="0"/>
              <w:right w:val="nil"/>
            </w:tcBorders>
            <w:shd w:val="clear" w:color="auto" w:fill="auto"/>
            <w:vAlign w:val="center"/>
          </w:tcPr>
          <w:p>
            <w:pPr>
              <w:rPr>
                <w:rFonts w:hint="default" w:cs="宋体"/>
                <w:color w:val="000000"/>
                <w:sz w:val="22"/>
                <w:szCs w:val="22"/>
              </w:rPr>
            </w:pPr>
            <w:r>
              <w:rPr>
                <w:rFonts w:cs="宋体"/>
                <w:color w:val="000000"/>
                <w:sz w:val="22"/>
                <w:szCs w:val="22"/>
              </w:rPr>
              <w:t>年度总金额</w:t>
            </w:r>
          </w:p>
        </w:tc>
        <w:tc>
          <w:tcPr>
            <w:tcW w:w="0" w:type="auto"/>
            <w:tcBorders>
              <w:top w:val="nil"/>
              <w:left w:val="nil"/>
              <w:bottom w:val="single" w:color="auto" w:sz="4" w:space="0"/>
              <w:right w:val="single" w:color="auto" w:sz="4" w:space="0"/>
            </w:tcBorders>
            <w:shd w:val="clear" w:color="auto" w:fill="auto"/>
            <w:noWrap/>
            <w:vAlign w:val="center"/>
          </w:tcPr>
          <w:p>
            <w:pPr>
              <w:rPr>
                <w:rFonts w:hint="default" w:cs="宋体"/>
                <w:color w:val="000000"/>
                <w:sz w:val="22"/>
                <w:szCs w:val="22"/>
              </w:rPr>
            </w:pPr>
            <w:r>
              <w:rPr>
                <w:rFonts w:cs="宋体"/>
                <w:color w:val="000000"/>
                <w:sz w:val="22"/>
                <w:szCs w:val="22"/>
              </w:rPr>
              <w:t>　</w:t>
            </w:r>
          </w:p>
        </w:tc>
        <w:tc>
          <w:tcPr>
            <w:tcW w:w="0" w:type="auto"/>
            <w:tcBorders>
              <w:top w:val="nil"/>
              <w:left w:val="nil"/>
              <w:bottom w:val="single" w:color="auto" w:sz="4" w:space="0"/>
              <w:right w:val="nil"/>
            </w:tcBorders>
            <w:shd w:val="clear" w:color="auto" w:fill="auto"/>
            <w:noWrap/>
            <w:vAlign w:val="center"/>
          </w:tcPr>
          <w:p>
            <w:pPr>
              <w:rPr>
                <w:rFonts w:hint="default" w:cs="宋体"/>
                <w:color w:val="000000"/>
                <w:sz w:val="22"/>
                <w:szCs w:val="22"/>
              </w:rPr>
            </w:pPr>
            <w:r>
              <w:rPr>
                <w:rFonts w:cs="宋体"/>
                <w:color w:val="000000"/>
                <w:sz w:val="22"/>
                <w:szCs w:val="22"/>
              </w:rPr>
              <w:t>　</w:t>
            </w:r>
          </w:p>
        </w:tc>
        <w:tc>
          <w:tcPr>
            <w:tcW w:w="0" w:type="auto"/>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22"/>
                <w:szCs w:val="22"/>
              </w:rPr>
            </w:pPr>
            <w:r>
              <w:rPr>
                <w:rFonts w:cs="宋体"/>
                <w:color w:val="000000"/>
                <w:sz w:val="22"/>
                <w:szCs w:val="22"/>
              </w:rPr>
              <w:t xml:space="preserve">17,333,326.09 </w:t>
            </w:r>
          </w:p>
        </w:tc>
        <w:tc>
          <w:tcPr>
            <w:tcW w:w="0" w:type="auto"/>
            <w:tcBorders>
              <w:top w:val="nil"/>
              <w:left w:val="nil"/>
              <w:bottom w:val="single" w:color="auto" w:sz="4" w:space="0"/>
              <w:right w:val="nil"/>
            </w:tcBorders>
            <w:shd w:val="clear" w:color="auto" w:fill="auto"/>
            <w:noWrap/>
            <w:vAlign w:val="center"/>
          </w:tcPr>
          <w:p>
            <w:pPr>
              <w:rPr>
                <w:rFonts w:hint="default" w:cs="宋体"/>
                <w:color w:val="000000"/>
                <w:sz w:val="22"/>
                <w:szCs w:val="22"/>
              </w:rPr>
            </w:pPr>
            <w:r>
              <w:rPr>
                <w:rFonts w:cs="宋体"/>
                <w:color w:val="000000"/>
                <w:sz w:val="22"/>
                <w:szCs w:val="22"/>
              </w:rPr>
              <w:t>　</w:t>
            </w:r>
          </w:p>
        </w:tc>
        <w:tc>
          <w:tcPr>
            <w:tcW w:w="0" w:type="auto"/>
            <w:tcBorders>
              <w:top w:val="nil"/>
              <w:left w:val="nil"/>
              <w:bottom w:val="single" w:color="auto" w:sz="4" w:space="0"/>
              <w:right w:val="single" w:color="auto" w:sz="4" w:space="0"/>
            </w:tcBorders>
            <w:shd w:val="clear" w:color="auto" w:fill="auto"/>
            <w:vAlign w:val="center"/>
          </w:tcPr>
          <w:p>
            <w:pPr>
              <w:jc w:val="right"/>
              <w:rPr>
                <w:rFonts w:hint="default" w:cs="宋体"/>
                <w:color w:val="000000"/>
                <w:sz w:val="22"/>
                <w:szCs w:val="22"/>
              </w:rPr>
            </w:pPr>
            <w:r>
              <w:rPr>
                <w:rFonts w:cs="宋体"/>
                <w:color w:val="000000"/>
                <w:sz w:val="22"/>
                <w:szCs w:val="22"/>
              </w:rPr>
              <w:t xml:space="preserve">29,470,208.20 </w:t>
            </w:r>
          </w:p>
        </w:tc>
        <w:tc>
          <w:tcPr>
            <w:tcW w:w="0" w:type="auto"/>
            <w:tcBorders>
              <w:top w:val="nil"/>
              <w:left w:val="nil"/>
              <w:bottom w:val="single" w:color="auto" w:sz="4" w:space="0"/>
              <w:right w:val="nil"/>
            </w:tcBorders>
            <w:shd w:val="clear" w:color="auto" w:fill="auto"/>
            <w:noWrap/>
            <w:vAlign w:val="center"/>
          </w:tcPr>
          <w:p>
            <w:pPr>
              <w:rPr>
                <w:rFonts w:hint="default" w:cs="宋体"/>
                <w:color w:val="000000"/>
                <w:sz w:val="22"/>
                <w:szCs w:val="22"/>
              </w:rPr>
            </w:pPr>
            <w:r>
              <w:rPr>
                <w:rFonts w:cs="宋体"/>
                <w:color w:val="000000"/>
                <w:sz w:val="22"/>
                <w:szCs w:val="22"/>
              </w:rPr>
              <w:t>　</w:t>
            </w:r>
          </w:p>
        </w:tc>
        <w:tc>
          <w:tcPr>
            <w:tcW w:w="0" w:type="auto"/>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22"/>
                <w:szCs w:val="22"/>
              </w:rPr>
            </w:pPr>
            <w:r>
              <w:rPr>
                <w:rFonts w:cs="宋体"/>
                <w:color w:val="000000"/>
                <w:sz w:val="22"/>
                <w:szCs w:val="22"/>
              </w:rPr>
              <w:t xml:space="preserve">29,470,208.20 </w:t>
            </w:r>
          </w:p>
        </w:tc>
        <w:tc>
          <w:tcPr>
            <w:tcW w:w="0" w:type="auto"/>
            <w:tcBorders>
              <w:top w:val="nil"/>
              <w:left w:val="nil"/>
              <w:bottom w:val="single" w:color="auto" w:sz="4" w:space="0"/>
              <w:right w:val="single" w:color="auto" w:sz="4" w:space="0"/>
            </w:tcBorders>
            <w:shd w:val="clear" w:color="auto" w:fill="auto"/>
            <w:noWrap/>
            <w:vAlign w:val="center"/>
          </w:tcPr>
          <w:p>
            <w:pPr>
              <w:rPr>
                <w:rFonts w:hint="default" w:cs="宋体"/>
                <w:color w:val="000000"/>
                <w:sz w:val="22"/>
                <w:szCs w:val="22"/>
              </w:rPr>
            </w:pPr>
            <w:r>
              <w:rPr>
                <w:rFonts w:cs="宋体"/>
                <w:color w:val="000000"/>
                <w:sz w:val="22"/>
                <w:szCs w:val="22"/>
              </w:rPr>
              <w:t>　</w:t>
            </w:r>
          </w:p>
        </w:tc>
        <w:tc>
          <w:tcPr>
            <w:tcW w:w="0" w:type="auto"/>
            <w:tcBorders>
              <w:top w:val="nil"/>
              <w:left w:val="nil"/>
              <w:bottom w:val="single" w:color="auto" w:sz="4" w:space="0"/>
              <w:right w:val="single" w:color="auto" w:sz="4" w:space="0"/>
            </w:tcBorders>
            <w:shd w:val="clear" w:color="auto" w:fill="auto"/>
            <w:noWrap/>
            <w:vAlign w:val="center"/>
          </w:tcPr>
          <w:p>
            <w:pPr>
              <w:rPr>
                <w:rFonts w:hint="default" w:cs="宋体"/>
                <w:color w:val="000000"/>
                <w:sz w:val="22"/>
                <w:szCs w:val="22"/>
              </w:rPr>
            </w:pPr>
            <w:r>
              <w:rPr>
                <w:rFonts w:cs="宋体"/>
                <w:color w:val="000000"/>
                <w:sz w:val="22"/>
                <w:szCs w:val="22"/>
              </w:rPr>
              <w:t>　</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sz w:val="22"/>
                <w:szCs w:val="22"/>
              </w:rPr>
            </w:pPr>
            <w:r>
              <w:rPr>
                <w:rFonts w:cs="宋体"/>
                <w:sz w:val="22"/>
                <w:szCs w:val="22"/>
              </w:rPr>
              <w:t>　</w:t>
            </w:r>
          </w:p>
        </w:tc>
      </w:tr>
      <w:tr>
        <w:tblPrEx>
          <w:tblCellMar>
            <w:top w:w="0" w:type="dxa"/>
            <w:left w:w="108" w:type="dxa"/>
            <w:bottom w:w="0" w:type="dxa"/>
            <w:right w:w="108" w:type="dxa"/>
          </w:tblCellMar>
        </w:tblPrEx>
        <w:trPr>
          <w:trHeight w:val="499" w:hRule="atLeast"/>
        </w:trPr>
        <w:tc>
          <w:tcPr>
            <w:tcW w:w="0" w:type="auto"/>
            <w:tcBorders>
              <w:top w:val="nil"/>
              <w:left w:val="single" w:color="auto" w:sz="4" w:space="0"/>
              <w:bottom w:val="single" w:color="auto" w:sz="4" w:space="0"/>
              <w:right w:val="nil"/>
            </w:tcBorders>
            <w:shd w:val="clear" w:color="auto" w:fill="auto"/>
            <w:vAlign w:val="center"/>
          </w:tcPr>
          <w:p>
            <w:pPr>
              <w:rPr>
                <w:rFonts w:hint="default" w:cs="宋体"/>
                <w:color w:val="000000"/>
                <w:sz w:val="22"/>
                <w:szCs w:val="22"/>
              </w:rPr>
            </w:pPr>
            <w:r>
              <w:rPr>
                <w:rFonts w:cs="宋体"/>
                <w:color w:val="000000"/>
                <w:sz w:val="22"/>
                <w:szCs w:val="22"/>
              </w:rPr>
              <w:t>其中：财政拨款</w:t>
            </w:r>
          </w:p>
        </w:tc>
        <w:tc>
          <w:tcPr>
            <w:tcW w:w="0" w:type="auto"/>
            <w:tcBorders>
              <w:top w:val="nil"/>
              <w:left w:val="nil"/>
              <w:bottom w:val="single" w:color="auto" w:sz="4" w:space="0"/>
              <w:right w:val="single" w:color="auto" w:sz="4" w:space="0"/>
            </w:tcBorders>
            <w:shd w:val="clear" w:color="auto" w:fill="auto"/>
            <w:noWrap/>
            <w:vAlign w:val="center"/>
          </w:tcPr>
          <w:p>
            <w:pPr>
              <w:rPr>
                <w:rFonts w:hint="default" w:cs="宋体"/>
                <w:color w:val="000000"/>
                <w:sz w:val="22"/>
                <w:szCs w:val="22"/>
              </w:rPr>
            </w:pPr>
            <w:r>
              <w:rPr>
                <w:rFonts w:cs="宋体"/>
                <w:color w:val="000000"/>
                <w:sz w:val="22"/>
                <w:szCs w:val="22"/>
              </w:rPr>
              <w:t>　</w:t>
            </w:r>
          </w:p>
        </w:tc>
        <w:tc>
          <w:tcPr>
            <w:tcW w:w="0" w:type="auto"/>
            <w:tcBorders>
              <w:top w:val="nil"/>
              <w:left w:val="nil"/>
              <w:bottom w:val="single" w:color="auto" w:sz="4" w:space="0"/>
              <w:right w:val="nil"/>
            </w:tcBorders>
            <w:shd w:val="clear" w:color="auto" w:fill="auto"/>
            <w:noWrap/>
            <w:vAlign w:val="center"/>
          </w:tcPr>
          <w:p>
            <w:pPr>
              <w:rPr>
                <w:rFonts w:hint="default" w:cs="宋体"/>
                <w:color w:val="000000"/>
                <w:sz w:val="22"/>
                <w:szCs w:val="22"/>
              </w:rPr>
            </w:pPr>
            <w:r>
              <w:rPr>
                <w:rFonts w:cs="宋体"/>
                <w:color w:val="000000"/>
                <w:sz w:val="22"/>
                <w:szCs w:val="22"/>
              </w:rPr>
              <w:t>　</w:t>
            </w:r>
          </w:p>
        </w:tc>
        <w:tc>
          <w:tcPr>
            <w:tcW w:w="0" w:type="auto"/>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22"/>
                <w:szCs w:val="22"/>
              </w:rPr>
            </w:pPr>
            <w:r>
              <w:rPr>
                <w:rFonts w:cs="宋体"/>
                <w:color w:val="000000"/>
                <w:sz w:val="22"/>
                <w:szCs w:val="22"/>
              </w:rPr>
              <w:t xml:space="preserve">17,333,326.09 </w:t>
            </w:r>
          </w:p>
        </w:tc>
        <w:tc>
          <w:tcPr>
            <w:tcW w:w="0" w:type="auto"/>
            <w:tcBorders>
              <w:top w:val="nil"/>
              <w:left w:val="nil"/>
              <w:bottom w:val="single" w:color="auto" w:sz="4" w:space="0"/>
              <w:right w:val="nil"/>
            </w:tcBorders>
            <w:shd w:val="clear" w:color="auto" w:fill="auto"/>
            <w:noWrap/>
            <w:vAlign w:val="center"/>
          </w:tcPr>
          <w:p>
            <w:pPr>
              <w:rPr>
                <w:rFonts w:hint="default" w:cs="宋体"/>
                <w:color w:val="000000"/>
                <w:sz w:val="22"/>
                <w:szCs w:val="22"/>
              </w:rPr>
            </w:pPr>
            <w:r>
              <w:rPr>
                <w:rFonts w:cs="宋体"/>
                <w:color w:val="000000"/>
                <w:sz w:val="22"/>
                <w:szCs w:val="22"/>
              </w:rPr>
              <w:t>　</w:t>
            </w:r>
          </w:p>
        </w:tc>
        <w:tc>
          <w:tcPr>
            <w:tcW w:w="0" w:type="auto"/>
            <w:tcBorders>
              <w:top w:val="nil"/>
              <w:left w:val="nil"/>
              <w:bottom w:val="single" w:color="auto" w:sz="4" w:space="0"/>
              <w:right w:val="single" w:color="auto" w:sz="4" w:space="0"/>
            </w:tcBorders>
            <w:shd w:val="clear" w:color="auto" w:fill="auto"/>
            <w:vAlign w:val="center"/>
          </w:tcPr>
          <w:p>
            <w:pPr>
              <w:jc w:val="right"/>
              <w:rPr>
                <w:rFonts w:hint="default" w:cs="宋体"/>
                <w:color w:val="000000"/>
                <w:sz w:val="22"/>
                <w:szCs w:val="22"/>
              </w:rPr>
            </w:pPr>
            <w:r>
              <w:rPr>
                <w:rFonts w:cs="宋体"/>
                <w:color w:val="000000"/>
                <w:sz w:val="22"/>
                <w:szCs w:val="22"/>
              </w:rPr>
              <w:t xml:space="preserve">29,470,208.20 </w:t>
            </w:r>
          </w:p>
        </w:tc>
        <w:tc>
          <w:tcPr>
            <w:tcW w:w="0" w:type="auto"/>
            <w:tcBorders>
              <w:top w:val="nil"/>
              <w:left w:val="nil"/>
              <w:bottom w:val="single" w:color="auto" w:sz="4" w:space="0"/>
              <w:right w:val="nil"/>
            </w:tcBorders>
            <w:shd w:val="clear" w:color="auto" w:fill="auto"/>
            <w:noWrap/>
            <w:vAlign w:val="center"/>
          </w:tcPr>
          <w:p>
            <w:pPr>
              <w:rPr>
                <w:rFonts w:hint="default" w:cs="宋体"/>
                <w:color w:val="000000"/>
                <w:sz w:val="22"/>
                <w:szCs w:val="22"/>
              </w:rPr>
            </w:pPr>
            <w:r>
              <w:rPr>
                <w:rFonts w:cs="宋体"/>
                <w:color w:val="000000"/>
                <w:sz w:val="22"/>
                <w:szCs w:val="22"/>
              </w:rPr>
              <w:t>　</w:t>
            </w:r>
          </w:p>
        </w:tc>
        <w:tc>
          <w:tcPr>
            <w:tcW w:w="0" w:type="auto"/>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22"/>
                <w:szCs w:val="22"/>
              </w:rPr>
            </w:pPr>
            <w:r>
              <w:rPr>
                <w:rFonts w:cs="宋体"/>
                <w:color w:val="000000"/>
                <w:sz w:val="22"/>
                <w:szCs w:val="22"/>
              </w:rPr>
              <w:t xml:space="preserve">29,470,208.20 </w:t>
            </w:r>
          </w:p>
        </w:tc>
        <w:tc>
          <w:tcPr>
            <w:tcW w:w="0" w:type="auto"/>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22"/>
                <w:szCs w:val="22"/>
              </w:rPr>
            </w:pPr>
            <w:r>
              <w:rPr>
                <w:rFonts w:cs="宋体"/>
                <w:color w:val="000000"/>
                <w:sz w:val="22"/>
                <w:szCs w:val="22"/>
              </w:rPr>
              <w:t>100</w:t>
            </w:r>
          </w:p>
        </w:tc>
        <w:tc>
          <w:tcPr>
            <w:tcW w:w="0" w:type="auto"/>
            <w:tcBorders>
              <w:top w:val="nil"/>
              <w:left w:val="nil"/>
              <w:bottom w:val="single" w:color="auto" w:sz="4" w:space="0"/>
              <w:right w:val="single" w:color="auto" w:sz="4" w:space="0"/>
            </w:tcBorders>
            <w:shd w:val="clear" w:color="auto" w:fill="auto"/>
            <w:noWrap/>
            <w:vAlign w:val="center"/>
          </w:tcPr>
          <w:p>
            <w:pPr>
              <w:rPr>
                <w:rFonts w:hint="default" w:cs="宋体"/>
                <w:color w:val="000000"/>
                <w:sz w:val="22"/>
                <w:szCs w:val="22"/>
              </w:rPr>
            </w:pPr>
            <w:r>
              <w:rPr>
                <w:rFonts w:cs="宋体"/>
                <w:color w:val="000000"/>
                <w:sz w:val="22"/>
                <w:szCs w:val="22"/>
              </w:rPr>
              <w:t>10.00</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sz w:val="22"/>
                <w:szCs w:val="22"/>
              </w:rPr>
            </w:pPr>
            <w:r>
              <w:rPr>
                <w:rFonts w:cs="宋体"/>
                <w:sz w:val="22"/>
                <w:szCs w:val="22"/>
              </w:rPr>
              <w:t xml:space="preserve">10.00 </w:t>
            </w:r>
          </w:p>
        </w:tc>
      </w:tr>
      <w:tr>
        <w:tblPrEx>
          <w:tblCellMar>
            <w:top w:w="0" w:type="dxa"/>
            <w:left w:w="108" w:type="dxa"/>
            <w:bottom w:w="0" w:type="dxa"/>
            <w:right w:w="108" w:type="dxa"/>
          </w:tblCellMar>
        </w:tblPrEx>
        <w:trPr>
          <w:trHeight w:val="499" w:hRule="atLeast"/>
        </w:trPr>
        <w:tc>
          <w:tcPr>
            <w:tcW w:w="0" w:type="auto"/>
            <w:tcBorders>
              <w:top w:val="nil"/>
              <w:left w:val="single" w:color="auto" w:sz="4" w:space="0"/>
              <w:bottom w:val="single" w:color="auto" w:sz="4" w:space="0"/>
              <w:right w:val="nil"/>
            </w:tcBorders>
            <w:shd w:val="clear" w:color="auto" w:fill="auto"/>
            <w:vAlign w:val="center"/>
          </w:tcPr>
          <w:p>
            <w:pPr>
              <w:rPr>
                <w:rFonts w:hint="default" w:cs="宋体"/>
                <w:color w:val="000000"/>
                <w:sz w:val="22"/>
                <w:szCs w:val="22"/>
              </w:rPr>
            </w:pPr>
            <w:r>
              <w:rPr>
                <w:rFonts w:cs="宋体"/>
                <w:color w:val="000000"/>
                <w:sz w:val="22"/>
                <w:szCs w:val="22"/>
              </w:rPr>
              <w:t>一般公共预算</w:t>
            </w:r>
          </w:p>
        </w:tc>
        <w:tc>
          <w:tcPr>
            <w:tcW w:w="0" w:type="auto"/>
            <w:tcBorders>
              <w:top w:val="nil"/>
              <w:left w:val="nil"/>
              <w:bottom w:val="single" w:color="auto" w:sz="4" w:space="0"/>
              <w:right w:val="single" w:color="auto" w:sz="4" w:space="0"/>
            </w:tcBorders>
            <w:shd w:val="clear" w:color="auto" w:fill="auto"/>
            <w:noWrap/>
            <w:vAlign w:val="center"/>
          </w:tcPr>
          <w:p>
            <w:pPr>
              <w:rPr>
                <w:rFonts w:hint="default" w:cs="宋体"/>
                <w:color w:val="000000"/>
                <w:sz w:val="22"/>
                <w:szCs w:val="22"/>
              </w:rPr>
            </w:pPr>
            <w:r>
              <w:rPr>
                <w:rFonts w:cs="宋体"/>
                <w:color w:val="000000"/>
                <w:sz w:val="22"/>
                <w:szCs w:val="22"/>
              </w:rPr>
              <w:t>　</w:t>
            </w:r>
          </w:p>
        </w:tc>
        <w:tc>
          <w:tcPr>
            <w:tcW w:w="0" w:type="auto"/>
            <w:tcBorders>
              <w:top w:val="nil"/>
              <w:left w:val="nil"/>
              <w:bottom w:val="single" w:color="auto" w:sz="4" w:space="0"/>
              <w:right w:val="nil"/>
            </w:tcBorders>
            <w:shd w:val="clear" w:color="auto" w:fill="auto"/>
            <w:noWrap/>
            <w:vAlign w:val="center"/>
          </w:tcPr>
          <w:p>
            <w:pPr>
              <w:rPr>
                <w:rFonts w:hint="default" w:cs="宋体"/>
                <w:color w:val="000000"/>
                <w:sz w:val="22"/>
                <w:szCs w:val="22"/>
              </w:rPr>
            </w:pPr>
            <w:r>
              <w:rPr>
                <w:rFonts w:cs="宋体"/>
                <w:color w:val="000000"/>
                <w:sz w:val="22"/>
                <w:szCs w:val="22"/>
              </w:rPr>
              <w:t>　</w:t>
            </w:r>
          </w:p>
        </w:tc>
        <w:tc>
          <w:tcPr>
            <w:tcW w:w="0" w:type="auto"/>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22"/>
                <w:szCs w:val="22"/>
              </w:rPr>
            </w:pPr>
            <w:r>
              <w:rPr>
                <w:rFonts w:cs="宋体"/>
                <w:color w:val="000000"/>
                <w:sz w:val="22"/>
                <w:szCs w:val="22"/>
              </w:rPr>
              <w:t xml:space="preserve">17,331,026.09 </w:t>
            </w:r>
          </w:p>
        </w:tc>
        <w:tc>
          <w:tcPr>
            <w:tcW w:w="0" w:type="auto"/>
            <w:tcBorders>
              <w:top w:val="nil"/>
              <w:left w:val="nil"/>
              <w:bottom w:val="single" w:color="auto" w:sz="4" w:space="0"/>
              <w:right w:val="nil"/>
            </w:tcBorders>
            <w:shd w:val="clear" w:color="auto" w:fill="auto"/>
            <w:noWrap/>
            <w:vAlign w:val="center"/>
          </w:tcPr>
          <w:p>
            <w:pPr>
              <w:rPr>
                <w:rFonts w:hint="default" w:cs="宋体"/>
                <w:color w:val="000000"/>
                <w:sz w:val="22"/>
                <w:szCs w:val="22"/>
              </w:rPr>
            </w:pPr>
            <w:r>
              <w:rPr>
                <w:rFonts w:cs="宋体"/>
                <w:color w:val="000000"/>
                <w:sz w:val="22"/>
                <w:szCs w:val="22"/>
              </w:rPr>
              <w:t>　</w:t>
            </w:r>
          </w:p>
        </w:tc>
        <w:tc>
          <w:tcPr>
            <w:tcW w:w="0" w:type="auto"/>
            <w:tcBorders>
              <w:top w:val="nil"/>
              <w:left w:val="nil"/>
              <w:bottom w:val="single" w:color="auto" w:sz="4" w:space="0"/>
              <w:right w:val="single" w:color="auto" w:sz="4" w:space="0"/>
            </w:tcBorders>
            <w:shd w:val="clear" w:color="auto" w:fill="auto"/>
            <w:vAlign w:val="center"/>
          </w:tcPr>
          <w:p>
            <w:pPr>
              <w:jc w:val="right"/>
              <w:rPr>
                <w:rFonts w:hint="default" w:cs="宋体"/>
                <w:color w:val="000000"/>
                <w:sz w:val="22"/>
                <w:szCs w:val="22"/>
              </w:rPr>
            </w:pPr>
            <w:r>
              <w:rPr>
                <w:rFonts w:cs="宋体"/>
                <w:color w:val="000000"/>
                <w:sz w:val="22"/>
                <w:szCs w:val="22"/>
              </w:rPr>
              <w:t xml:space="preserve">29,467,908.20 </w:t>
            </w:r>
          </w:p>
        </w:tc>
        <w:tc>
          <w:tcPr>
            <w:tcW w:w="0" w:type="auto"/>
            <w:tcBorders>
              <w:top w:val="nil"/>
              <w:left w:val="nil"/>
              <w:bottom w:val="single" w:color="auto" w:sz="4" w:space="0"/>
              <w:right w:val="nil"/>
            </w:tcBorders>
            <w:shd w:val="clear" w:color="auto" w:fill="auto"/>
            <w:noWrap/>
            <w:vAlign w:val="center"/>
          </w:tcPr>
          <w:p>
            <w:pPr>
              <w:rPr>
                <w:rFonts w:hint="default" w:cs="宋体"/>
                <w:color w:val="000000"/>
                <w:sz w:val="22"/>
                <w:szCs w:val="22"/>
              </w:rPr>
            </w:pPr>
            <w:r>
              <w:rPr>
                <w:rFonts w:cs="宋体"/>
                <w:color w:val="000000"/>
                <w:sz w:val="22"/>
                <w:szCs w:val="22"/>
              </w:rPr>
              <w:t>　</w:t>
            </w:r>
          </w:p>
        </w:tc>
        <w:tc>
          <w:tcPr>
            <w:tcW w:w="0" w:type="auto"/>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22"/>
                <w:szCs w:val="22"/>
              </w:rPr>
            </w:pPr>
            <w:r>
              <w:rPr>
                <w:rFonts w:cs="宋体"/>
                <w:color w:val="000000"/>
                <w:sz w:val="22"/>
                <w:szCs w:val="22"/>
              </w:rPr>
              <w:t xml:space="preserve">29,467,908.20 </w:t>
            </w:r>
          </w:p>
        </w:tc>
        <w:tc>
          <w:tcPr>
            <w:tcW w:w="0" w:type="auto"/>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22"/>
                <w:szCs w:val="22"/>
              </w:rPr>
            </w:pPr>
            <w:r>
              <w:rPr>
                <w:rFonts w:cs="宋体"/>
                <w:color w:val="000000"/>
                <w:sz w:val="22"/>
                <w:szCs w:val="22"/>
              </w:rPr>
              <w:t>100</w:t>
            </w:r>
          </w:p>
        </w:tc>
        <w:tc>
          <w:tcPr>
            <w:tcW w:w="0" w:type="auto"/>
            <w:tcBorders>
              <w:top w:val="nil"/>
              <w:left w:val="nil"/>
              <w:bottom w:val="single" w:color="auto" w:sz="4" w:space="0"/>
              <w:right w:val="single" w:color="auto" w:sz="4" w:space="0"/>
            </w:tcBorders>
            <w:shd w:val="clear" w:color="auto" w:fill="auto"/>
            <w:noWrap/>
            <w:vAlign w:val="center"/>
          </w:tcPr>
          <w:p>
            <w:pPr>
              <w:rPr>
                <w:rFonts w:hint="default" w:cs="宋体"/>
                <w:color w:val="000000"/>
                <w:sz w:val="22"/>
                <w:szCs w:val="22"/>
              </w:rPr>
            </w:pPr>
            <w:r>
              <w:rPr>
                <w:rFonts w:cs="宋体"/>
                <w:color w:val="000000"/>
                <w:sz w:val="22"/>
                <w:szCs w:val="22"/>
              </w:rPr>
              <w:t>　</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sz w:val="22"/>
                <w:szCs w:val="22"/>
              </w:rPr>
            </w:pPr>
            <w:r>
              <w:rPr>
                <w:rFonts w:cs="宋体"/>
                <w:sz w:val="22"/>
                <w:szCs w:val="22"/>
              </w:rPr>
              <w:t>　</w:t>
            </w:r>
          </w:p>
        </w:tc>
      </w:tr>
      <w:tr>
        <w:tblPrEx>
          <w:tblCellMar>
            <w:top w:w="0" w:type="dxa"/>
            <w:left w:w="108" w:type="dxa"/>
            <w:bottom w:w="0" w:type="dxa"/>
            <w:right w:w="108" w:type="dxa"/>
          </w:tblCellMar>
        </w:tblPrEx>
        <w:trPr>
          <w:trHeight w:val="600" w:hRule="atLeast"/>
        </w:trPr>
        <w:tc>
          <w:tcPr>
            <w:tcW w:w="0" w:type="auto"/>
            <w:gridSpan w:val="11"/>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default" w:ascii="微软雅黑" w:hAnsi="微软雅黑" w:eastAsia="微软雅黑" w:cs="宋体"/>
                <w:b/>
                <w:bCs/>
                <w:color w:val="7F7F7F"/>
                <w:sz w:val="28"/>
                <w:szCs w:val="28"/>
              </w:rPr>
            </w:pPr>
            <w:r>
              <w:rPr>
                <w:rFonts w:ascii="微软雅黑" w:hAnsi="微软雅黑" w:eastAsia="微软雅黑" w:cs="宋体"/>
                <w:b/>
                <w:bCs/>
                <w:color w:val="7F7F7F"/>
                <w:sz w:val="28"/>
                <w:szCs w:val="28"/>
              </w:rPr>
              <w:t>绩效目标</w:t>
            </w:r>
          </w:p>
        </w:tc>
      </w:tr>
      <w:tr>
        <w:tblPrEx>
          <w:tblCellMar>
            <w:top w:w="0" w:type="dxa"/>
            <w:left w:w="108" w:type="dxa"/>
            <w:bottom w:w="0" w:type="dxa"/>
            <w:right w:w="108" w:type="dxa"/>
          </w:tblCellMar>
        </w:tblPrEx>
        <w:trPr>
          <w:trHeight w:val="499" w:hRule="atLeast"/>
        </w:trPr>
        <w:tc>
          <w:tcPr>
            <w:tcW w:w="0" w:type="auto"/>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default" w:cs="宋体"/>
                <w:b/>
                <w:bCs/>
                <w:color w:val="000000"/>
                <w:sz w:val="22"/>
                <w:szCs w:val="22"/>
              </w:rPr>
            </w:pPr>
            <w:r>
              <w:rPr>
                <w:rFonts w:cs="宋体"/>
                <w:b/>
                <w:bCs/>
                <w:color w:val="000000"/>
                <w:sz w:val="22"/>
                <w:szCs w:val="22"/>
              </w:rPr>
              <w:t>年初绩效目标</w:t>
            </w:r>
          </w:p>
        </w:tc>
        <w:tc>
          <w:tcPr>
            <w:tcW w:w="0" w:type="auto"/>
            <w:gridSpan w:val="4"/>
            <w:tcBorders>
              <w:top w:val="single" w:color="auto" w:sz="4" w:space="0"/>
              <w:left w:val="nil"/>
              <w:bottom w:val="single" w:color="auto" w:sz="4" w:space="0"/>
              <w:right w:val="single" w:color="auto" w:sz="4" w:space="0"/>
            </w:tcBorders>
            <w:shd w:val="clear" w:color="auto" w:fill="auto"/>
            <w:noWrap/>
            <w:vAlign w:val="center"/>
          </w:tcPr>
          <w:p>
            <w:pPr>
              <w:jc w:val="center"/>
              <w:rPr>
                <w:rFonts w:hint="default" w:cs="宋体"/>
                <w:b/>
                <w:bCs/>
                <w:color w:val="000000"/>
                <w:sz w:val="22"/>
                <w:szCs w:val="22"/>
              </w:rPr>
            </w:pPr>
            <w:r>
              <w:rPr>
                <w:rFonts w:cs="宋体"/>
                <w:b/>
                <w:bCs/>
                <w:color w:val="000000"/>
                <w:sz w:val="22"/>
                <w:szCs w:val="22"/>
              </w:rPr>
              <w:t>全年（调整）绩效目标</w:t>
            </w:r>
          </w:p>
        </w:tc>
        <w:tc>
          <w:tcPr>
            <w:tcW w:w="0" w:type="auto"/>
            <w:gridSpan w:val="3"/>
            <w:tcBorders>
              <w:top w:val="single" w:color="auto" w:sz="4" w:space="0"/>
              <w:left w:val="nil"/>
              <w:bottom w:val="single" w:color="auto" w:sz="4" w:space="0"/>
              <w:right w:val="single" w:color="auto" w:sz="4" w:space="0"/>
            </w:tcBorders>
            <w:shd w:val="clear" w:color="auto" w:fill="auto"/>
            <w:noWrap/>
            <w:vAlign w:val="center"/>
          </w:tcPr>
          <w:p>
            <w:pPr>
              <w:jc w:val="center"/>
              <w:rPr>
                <w:rFonts w:hint="default" w:cs="宋体"/>
                <w:b/>
                <w:bCs/>
                <w:color w:val="000000"/>
                <w:sz w:val="22"/>
                <w:szCs w:val="22"/>
              </w:rPr>
            </w:pPr>
            <w:r>
              <w:rPr>
                <w:rFonts w:cs="宋体"/>
                <w:b/>
                <w:bCs/>
                <w:color w:val="000000"/>
                <w:sz w:val="22"/>
                <w:szCs w:val="22"/>
              </w:rPr>
              <w:t>全年目标实际完成情况</w:t>
            </w:r>
          </w:p>
        </w:tc>
      </w:tr>
      <w:tr>
        <w:tblPrEx>
          <w:tblCellMar>
            <w:top w:w="0" w:type="dxa"/>
            <w:left w:w="108" w:type="dxa"/>
            <w:bottom w:w="0" w:type="dxa"/>
            <w:right w:w="108" w:type="dxa"/>
          </w:tblCellMar>
        </w:tblPrEx>
        <w:trPr>
          <w:trHeight w:val="1602" w:hRule="atLeast"/>
        </w:trPr>
        <w:tc>
          <w:tcPr>
            <w:tcW w:w="0" w:type="auto"/>
            <w:gridSpan w:val="4"/>
            <w:tcBorders>
              <w:top w:val="single" w:color="auto" w:sz="4" w:space="0"/>
              <w:left w:val="single" w:color="auto" w:sz="4" w:space="0"/>
              <w:bottom w:val="single" w:color="auto" w:sz="4" w:space="0"/>
              <w:right w:val="single" w:color="auto" w:sz="4" w:space="0"/>
            </w:tcBorders>
            <w:shd w:val="clear" w:color="auto" w:fill="auto"/>
          </w:tcPr>
          <w:p>
            <w:pPr>
              <w:rPr>
                <w:rFonts w:hint="default" w:cs="宋体"/>
                <w:color w:val="000000"/>
                <w:sz w:val="22"/>
                <w:szCs w:val="22"/>
              </w:rPr>
            </w:pPr>
            <w:r>
              <w:rPr>
                <w:rFonts w:cs="宋体"/>
                <w:color w:val="000000"/>
                <w:sz w:val="22"/>
                <w:szCs w:val="22"/>
              </w:rPr>
              <w:t xml:space="preserve">五洞镇人民政府2023年认真贯彻落实上级党委政府的相关政策，在镇党委领导下认真做好基层党组织建设、乡村振兴、疫情防控、社会治安管控、民政优抚等困难群众救助、垃圾清运、人居环境整治、城区保洁、森林防火、市政设施运行及维护等工作。有效防范和化解社会矛盾，确保经济社会稳定，辖区群众满意度达90%以上 </w:t>
            </w:r>
            <w:r>
              <w:rPr>
                <w:rFonts w:cs="宋体"/>
                <w:color w:val="000000"/>
                <w:sz w:val="22"/>
                <w:szCs w:val="22"/>
              </w:rPr>
              <w:br w:type="textWrapping"/>
            </w:r>
            <w:r>
              <w:rPr>
                <w:rFonts w:cs="宋体"/>
                <w:color w:val="000000"/>
                <w:sz w:val="22"/>
                <w:szCs w:val="22"/>
              </w:rPr>
              <w:t>.</w:t>
            </w:r>
          </w:p>
        </w:tc>
        <w:tc>
          <w:tcPr>
            <w:tcW w:w="0" w:type="auto"/>
            <w:gridSpan w:val="4"/>
            <w:tcBorders>
              <w:top w:val="single" w:color="auto" w:sz="4" w:space="0"/>
              <w:left w:val="nil"/>
              <w:bottom w:val="single" w:color="auto" w:sz="4" w:space="0"/>
              <w:right w:val="single" w:color="auto" w:sz="4" w:space="0"/>
            </w:tcBorders>
            <w:shd w:val="clear" w:color="auto" w:fill="auto"/>
          </w:tcPr>
          <w:p>
            <w:pPr>
              <w:rPr>
                <w:rFonts w:hint="default" w:cs="宋体"/>
                <w:color w:val="000000"/>
                <w:sz w:val="22"/>
                <w:szCs w:val="22"/>
              </w:rPr>
            </w:pPr>
            <w:r>
              <w:rPr>
                <w:rFonts w:cs="宋体"/>
                <w:color w:val="000000"/>
                <w:sz w:val="22"/>
                <w:szCs w:val="22"/>
              </w:rPr>
              <w:t>　</w:t>
            </w:r>
          </w:p>
        </w:tc>
        <w:tc>
          <w:tcPr>
            <w:tcW w:w="0" w:type="auto"/>
            <w:gridSpan w:val="3"/>
            <w:tcBorders>
              <w:top w:val="single" w:color="auto" w:sz="4" w:space="0"/>
              <w:left w:val="nil"/>
              <w:bottom w:val="single" w:color="auto" w:sz="4" w:space="0"/>
              <w:right w:val="single" w:color="auto" w:sz="4" w:space="0"/>
            </w:tcBorders>
            <w:shd w:val="clear" w:color="auto" w:fill="auto"/>
          </w:tcPr>
          <w:p>
            <w:pPr>
              <w:rPr>
                <w:rFonts w:hint="default" w:cs="宋体"/>
                <w:color w:val="000000"/>
                <w:sz w:val="22"/>
                <w:szCs w:val="22"/>
              </w:rPr>
            </w:pPr>
            <w:r>
              <w:rPr>
                <w:rFonts w:cs="宋体"/>
                <w:color w:val="000000"/>
                <w:sz w:val="22"/>
                <w:szCs w:val="22"/>
              </w:rPr>
              <w:t>已完成</w:t>
            </w:r>
          </w:p>
        </w:tc>
      </w:tr>
      <w:tr>
        <w:tblPrEx>
          <w:tblCellMar>
            <w:top w:w="0" w:type="dxa"/>
            <w:left w:w="108" w:type="dxa"/>
            <w:bottom w:w="0" w:type="dxa"/>
            <w:right w:w="108" w:type="dxa"/>
          </w:tblCellMar>
        </w:tblPrEx>
        <w:trPr>
          <w:trHeight w:val="600" w:hRule="atLeast"/>
        </w:trPr>
        <w:tc>
          <w:tcPr>
            <w:tcW w:w="0" w:type="auto"/>
            <w:gridSpan w:val="11"/>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default" w:ascii="微软雅黑" w:hAnsi="微软雅黑" w:eastAsia="微软雅黑" w:cs="宋体"/>
                <w:b/>
                <w:bCs/>
                <w:color w:val="7F7F7F"/>
                <w:sz w:val="28"/>
                <w:szCs w:val="28"/>
              </w:rPr>
            </w:pPr>
            <w:r>
              <w:rPr>
                <w:rFonts w:ascii="微软雅黑" w:hAnsi="微软雅黑" w:eastAsia="微软雅黑" w:cs="宋体"/>
                <w:b/>
                <w:bCs/>
                <w:color w:val="7F7F7F"/>
                <w:sz w:val="28"/>
                <w:szCs w:val="28"/>
              </w:rPr>
              <w:t>绩效指标</w:t>
            </w:r>
          </w:p>
        </w:tc>
      </w:tr>
      <w:tr>
        <w:tblPrEx>
          <w:tblCellMar>
            <w:top w:w="0" w:type="dxa"/>
            <w:left w:w="108" w:type="dxa"/>
            <w:bottom w:w="0" w:type="dxa"/>
            <w:right w:w="108" w:type="dxa"/>
          </w:tblCellMar>
        </w:tblPrEx>
        <w:trPr>
          <w:trHeight w:val="499"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pPr>
              <w:jc w:val="center"/>
              <w:rPr>
                <w:rFonts w:hint="default" w:cs="宋体"/>
                <w:b/>
                <w:bCs/>
                <w:color w:val="000000"/>
                <w:sz w:val="22"/>
                <w:szCs w:val="22"/>
              </w:rPr>
            </w:pPr>
            <w:r>
              <w:rPr>
                <w:rFonts w:cs="宋体"/>
                <w:b/>
                <w:bCs/>
                <w:color w:val="000000"/>
                <w:sz w:val="22"/>
                <w:szCs w:val="22"/>
              </w:rPr>
              <w:t>指标名称</w:t>
            </w:r>
          </w:p>
        </w:tc>
        <w:tc>
          <w:tcPr>
            <w:tcW w:w="0" w:type="auto"/>
            <w:tcBorders>
              <w:top w:val="nil"/>
              <w:left w:val="nil"/>
              <w:bottom w:val="single" w:color="auto" w:sz="4" w:space="0"/>
              <w:right w:val="single" w:color="auto" w:sz="4" w:space="0"/>
            </w:tcBorders>
            <w:shd w:val="clear" w:color="auto" w:fill="auto"/>
            <w:noWrap/>
            <w:vAlign w:val="center"/>
          </w:tcPr>
          <w:p>
            <w:pPr>
              <w:jc w:val="center"/>
              <w:rPr>
                <w:rFonts w:hint="default" w:cs="宋体"/>
                <w:b/>
                <w:bCs/>
                <w:color w:val="000000"/>
                <w:sz w:val="22"/>
                <w:szCs w:val="22"/>
              </w:rPr>
            </w:pPr>
            <w:r>
              <w:rPr>
                <w:rFonts w:cs="宋体"/>
                <w:b/>
                <w:bCs/>
                <w:color w:val="000000"/>
                <w:sz w:val="22"/>
                <w:szCs w:val="22"/>
              </w:rPr>
              <w:t>计量单位</w:t>
            </w:r>
          </w:p>
        </w:tc>
        <w:tc>
          <w:tcPr>
            <w:tcW w:w="0" w:type="auto"/>
            <w:tcBorders>
              <w:top w:val="nil"/>
              <w:left w:val="nil"/>
              <w:bottom w:val="single" w:color="auto" w:sz="4" w:space="0"/>
              <w:right w:val="single" w:color="auto" w:sz="4" w:space="0"/>
            </w:tcBorders>
            <w:shd w:val="clear" w:color="auto" w:fill="auto"/>
            <w:noWrap/>
            <w:vAlign w:val="center"/>
          </w:tcPr>
          <w:p>
            <w:pPr>
              <w:jc w:val="center"/>
              <w:rPr>
                <w:rFonts w:hint="default" w:cs="宋体"/>
                <w:b/>
                <w:bCs/>
                <w:color w:val="000000"/>
                <w:sz w:val="22"/>
                <w:szCs w:val="22"/>
              </w:rPr>
            </w:pPr>
            <w:r>
              <w:rPr>
                <w:rFonts w:cs="宋体"/>
                <w:b/>
                <w:bCs/>
                <w:color w:val="000000"/>
                <w:sz w:val="22"/>
                <w:szCs w:val="22"/>
              </w:rPr>
              <w:t>指标性质</w:t>
            </w:r>
          </w:p>
        </w:tc>
        <w:tc>
          <w:tcPr>
            <w:tcW w:w="0" w:type="auto"/>
            <w:tcBorders>
              <w:top w:val="nil"/>
              <w:left w:val="nil"/>
              <w:bottom w:val="single" w:color="auto" w:sz="4" w:space="0"/>
              <w:right w:val="single" w:color="auto" w:sz="4" w:space="0"/>
            </w:tcBorders>
            <w:shd w:val="clear" w:color="auto" w:fill="auto"/>
            <w:noWrap/>
            <w:vAlign w:val="center"/>
          </w:tcPr>
          <w:p>
            <w:pPr>
              <w:jc w:val="center"/>
              <w:rPr>
                <w:rFonts w:hint="default" w:cs="宋体"/>
                <w:b/>
                <w:bCs/>
                <w:color w:val="000000"/>
                <w:sz w:val="22"/>
                <w:szCs w:val="22"/>
              </w:rPr>
            </w:pPr>
            <w:r>
              <w:rPr>
                <w:rFonts w:cs="宋体"/>
                <w:b/>
                <w:bCs/>
                <w:color w:val="000000"/>
                <w:sz w:val="22"/>
                <w:szCs w:val="22"/>
              </w:rPr>
              <w:t>指标值</w:t>
            </w:r>
          </w:p>
        </w:tc>
        <w:tc>
          <w:tcPr>
            <w:tcW w:w="0" w:type="auto"/>
            <w:tcBorders>
              <w:top w:val="nil"/>
              <w:left w:val="nil"/>
              <w:bottom w:val="single" w:color="auto" w:sz="4" w:space="0"/>
              <w:right w:val="single" w:color="auto" w:sz="4" w:space="0"/>
            </w:tcBorders>
            <w:shd w:val="clear" w:color="auto" w:fill="auto"/>
            <w:noWrap/>
            <w:vAlign w:val="center"/>
          </w:tcPr>
          <w:p>
            <w:pPr>
              <w:jc w:val="center"/>
              <w:rPr>
                <w:rFonts w:hint="default" w:cs="宋体"/>
                <w:b/>
                <w:bCs/>
                <w:color w:val="000000"/>
                <w:sz w:val="22"/>
                <w:szCs w:val="22"/>
              </w:rPr>
            </w:pPr>
            <w:r>
              <w:rPr>
                <w:rFonts w:cs="宋体"/>
                <w:b/>
                <w:bCs/>
                <w:color w:val="000000"/>
                <w:sz w:val="22"/>
                <w:szCs w:val="22"/>
              </w:rPr>
              <w:t>全年完成值</w:t>
            </w:r>
          </w:p>
        </w:tc>
        <w:tc>
          <w:tcPr>
            <w:tcW w:w="0" w:type="auto"/>
            <w:tcBorders>
              <w:top w:val="nil"/>
              <w:left w:val="nil"/>
              <w:bottom w:val="single" w:color="auto" w:sz="4" w:space="0"/>
              <w:right w:val="single" w:color="auto" w:sz="4" w:space="0"/>
            </w:tcBorders>
            <w:shd w:val="clear" w:color="auto" w:fill="auto"/>
            <w:noWrap/>
            <w:vAlign w:val="center"/>
          </w:tcPr>
          <w:p>
            <w:pPr>
              <w:jc w:val="center"/>
              <w:rPr>
                <w:rFonts w:hint="default" w:cs="宋体"/>
                <w:b/>
                <w:bCs/>
                <w:color w:val="000000"/>
                <w:sz w:val="22"/>
                <w:szCs w:val="22"/>
              </w:rPr>
            </w:pPr>
            <w:r>
              <w:rPr>
                <w:rFonts w:cs="宋体"/>
                <w:b/>
                <w:bCs/>
                <w:color w:val="000000"/>
                <w:sz w:val="22"/>
                <w:szCs w:val="22"/>
              </w:rPr>
              <w:t>偏离度（%）</w:t>
            </w:r>
          </w:p>
        </w:tc>
        <w:tc>
          <w:tcPr>
            <w:tcW w:w="0" w:type="auto"/>
            <w:tcBorders>
              <w:top w:val="nil"/>
              <w:left w:val="nil"/>
              <w:bottom w:val="single" w:color="auto" w:sz="4" w:space="0"/>
              <w:right w:val="single" w:color="auto" w:sz="4" w:space="0"/>
            </w:tcBorders>
            <w:shd w:val="clear" w:color="auto" w:fill="auto"/>
            <w:noWrap/>
            <w:vAlign w:val="center"/>
          </w:tcPr>
          <w:p>
            <w:pPr>
              <w:jc w:val="center"/>
              <w:rPr>
                <w:rFonts w:hint="default" w:cs="宋体"/>
                <w:b/>
                <w:bCs/>
                <w:color w:val="000000"/>
                <w:sz w:val="22"/>
                <w:szCs w:val="22"/>
              </w:rPr>
            </w:pPr>
            <w:r>
              <w:rPr>
                <w:rFonts w:cs="宋体"/>
                <w:b/>
                <w:bCs/>
                <w:color w:val="000000"/>
                <w:sz w:val="22"/>
                <w:szCs w:val="22"/>
              </w:rPr>
              <w:t>得分系数（%）</w:t>
            </w:r>
          </w:p>
        </w:tc>
        <w:tc>
          <w:tcPr>
            <w:tcW w:w="0" w:type="auto"/>
            <w:tcBorders>
              <w:top w:val="nil"/>
              <w:left w:val="nil"/>
              <w:bottom w:val="single" w:color="auto" w:sz="4" w:space="0"/>
              <w:right w:val="single" w:color="auto" w:sz="4" w:space="0"/>
            </w:tcBorders>
            <w:shd w:val="clear" w:color="auto" w:fill="auto"/>
            <w:noWrap/>
            <w:vAlign w:val="center"/>
          </w:tcPr>
          <w:p>
            <w:pPr>
              <w:jc w:val="center"/>
              <w:rPr>
                <w:rFonts w:hint="default" w:cs="宋体"/>
                <w:b/>
                <w:bCs/>
                <w:color w:val="000000"/>
                <w:sz w:val="22"/>
                <w:szCs w:val="22"/>
              </w:rPr>
            </w:pPr>
            <w:r>
              <w:rPr>
                <w:rFonts w:cs="宋体"/>
                <w:b/>
                <w:bCs/>
                <w:color w:val="000000"/>
                <w:sz w:val="22"/>
                <w:szCs w:val="22"/>
              </w:rPr>
              <w:t>指标权重</w:t>
            </w:r>
          </w:p>
        </w:tc>
        <w:tc>
          <w:tcPr>
            <w:tcW w:w="0" w:type="auto"/>
            <w:tcBorders>
              <w:top w:val="nil"/>
              <w:left w:val="nil"/>
              <w:bottom w:val="single" w:color="auto" w:sz="4" w:space="0"/>
              <w:right w:val="single" w:color="auto" w:sz="4" w:space="0"/>
            </w:tcBorders>
            <w:shd w:val="clear" w:color="auto" w:fill="auto"/>
            <w:noWrap/>
            <w:vAlign w:val="center"/>
          </w:tcPr>
          <w:p>
            <w:pPr>
              <w:jc w:val="center"/>
              <w:rPr>
                <w:rFonts w:hint="default" w:cs="宋体"/>
                <w:b/>
                <w:bCs/>
                <w:color w:val="000000"/>
                <w:sz w:val="22"/>
                <w:szCs w:val="22"/>
              </w:rPr>
            </w:pPr>
            <w:r>
              <w:rPr>
                <w:rFonts w:cs="宋体"/>
                <w:b/>
                <w:bCs/>
                <w:color w:val="000000"/>
                <w:sz w:val="22"/>
                <w:szCs w:val="22"/>
              </w:rPr>
              <w:t>指标得分</w:t>
            </w:r>
          </w:p>
        </w:tc>
        <w:tc>
          <w:tcPr>
            <w:tcW w:w="0" w:type="auto"/>
            <w:tcBorders>
              <w:top w:val="nil"/>
              <w:left w:val="nil"/>
              <w:bottom w:val="single" w:color="auto" w:sz="4" w:space="0"/>
              <w:right w:val="single" w:color="auto" w:sz="4" w:space="0"/>
            </w:tcBorders>
            <w:shd w:val="clear" w:color="auto" w:fill="auto"/>
            <w:noWrap/>
            <w:vAlign w:val="center"/>
          </w:tcPr>
          <w:p>
            <w:pPr>
              <w:jc w:val="center"/>
              <w:rPr>
                <w:rFonts w:hint="default" w:cs="宋体"/>
                <w:b/>
                <w:bCs/>
                <w:color w:val="000000"/>
                <w:sz w:val="22"/>
                <w:szCs w:val="22"/>
              </w:rPr>
            </w:pPr>
            <w:r>
              <w:rPr>
                <w:rFonts w:cs="宋体"/>
                <w:b/>
                <w:bCs/>
                <w:color w:val="000000"/>
                <w:sz w:val="22"/>
                <w:szCs w:val="22"/>
              </w:rPr>
              <w:t>是否核心指标</w:t>
            </w:r>
          </w:p>
        </w:tc>
        <w:tc>
          <w:tcPr>
            <w:tcW w:w="0" w:type="auto"/>
            <w:tcBorders>
              <w:top w:val="nil"/>
              <w:left w:val="nil"/>
              <w:bottom w:val="single" w:color="auto" w:sz="4" w:space="0"/>
              <w:right w:val="single" w:color="auto" w:sz="4" w:space="0"/>
            </w:tcBorders>
            <w:shd w:val="clear" w:color="auto" w:fill="auto"/>
            <w:noWrap/>
            <w:vAlign w:val="center"/>
          </w:tcPr>
          <w:p>
            <w:pPr>
              <w:jc w:val="center"/>
              <w:rPr>
                <w:rFonts w:hint="default" w:cs="宋体"/>
                <w:b/>
                <w:bCs/>
                <w:color w:val="000000"/>
                <w:sz w:val="22"/>
                <w:szCs w:val="22"/>
              </w:rPr>
            </w:pPr>
            <w:r>
              <w:rPr>
                <w:rFonts w:cs="宋体"/>
                <w:b/>
                <w:bCs/>
                <w:color w:val="000000"/>
                <w:sz w:val="22"/>
                <w:szCs w:val="22"/>
              </w:rPr>
              <w:t>说明</w:t>
            </w:r>
          </w:p>
        </w:tc>
      </w:tr>
      <w:tr>
        <w:tblPrEx>
          <w:tblCellMar>
            <w:top w:w="0" w:type="dxa"/>
            <w:left w:w="108" w:type="dxa"/>
            <w:bottom w:w="0" w:type="dxa"/>
            <w:right w:w="108" w:type="dxa"/>
          </w:tblCellMar>
        </w:tblPrEx>
        <w:trPr>
          <w:trHeight w:val="499"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场镇污水管网改造</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米</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200</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200</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0</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100</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3</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3</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否</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　</w:t>
            </w:r>
          </w:p>
        </w:tc>
      </w:tr>
      <w:tr>
        <w:tblPrEx>
          <w:tblCellMar>
            <w:top w:w="0" w:type="dxa"/>
            <w:left w:w="108" w:type="dxa"/>
            <w:bottom w:w="0" w:type="dxa"/>
            <w:right w:w="108" w:type="dxa"/>
          </w:tblCellMar>
        </w:tblPrEx>
        <w:trPr>
          <w:trHeight w:val="499"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处生活垃圾处理量</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吨</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500</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500</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0</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100</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3</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3</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否</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　</w:t>
            </w:r>
          </w:p>
        </w:tc>
      </w:tr>
      <w:tr>
        <w:tblPrEx>
          <w:tblCellMar>
            <w:top w:w="0" w:type="dxa"/>
            <w:left w:w="108" w:type="dxa"/>
            <w:bottom w:w="0" w:type="dxa"/>
            <w:right w:w="108" w:type="dxa"/>
          </w:tblCellMar>
        </w:tblPrEx>
        <w:trPr>
          <w:trHeight w:val="499"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党建培训人次</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人/次</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100</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100</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0</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100</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3</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3</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否</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　</w:t>
            </w:r>
          </w:p>
        </w:tc>
      </w:tr>
      <w:tr>
        <w:tblPrEx>
          <w:tblCellMar>
            <w:top w:w="0" w:type="dxa"/>
            <w:left w:w="108" w:type="dxa"/>
            <w:bottom w:w="0" w:type="dxa"/>
            <w:right w:w="108" w:type="dxa"/>
          </w:tblCellMar>
        </w:tblPrEx>
        <w:trPr>
          <w:trHeight w:val="499"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到市、进京非访、集访次数</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人次</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5</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5</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0</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100</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5</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5</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否</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　</w:t>
            </w:r>
          </w:p>
        </w:tc>
      </w:tr>
      <w:tr>
        <w:tblPrEx>
          <w:tblCellMar>
            <w:top w:w="0" w:type="dxa"/>
            <w:left w:w="108" w:type="dxa"/>
            <w:bottom w:w="0" w:type="dxa"/>
            <w:right w:w="108" w:type="dxa"/>
          </w:tblCellMar>
        </w:tblPrEx>
        <w:trPr>
          <w:trHeight w:val="499"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农村卫生厕所改而覆盖率</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100</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100</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0</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100</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3</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3</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否</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　</w:t>
            </w:r>
          </w:p>
        </w:tc>
      </w:tr>
      <w:tr>
        <w:tblPrEx>
          <w:tblCellMar>
            <w:top w:w="0" w:type="dxa"/>
            <w:left w:w="108" w:type="dxa"/>
            <w:bottom w:w="0" w:type="dxa"/>
            <w:right w:w="108" w:type="dxa"/>
          </w:tblCellMar>
        </w:tblPrEx>
        <w:trPr>
          <w:trHeight w:val="499"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农村疫情防控处置率</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90</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90</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0</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100</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5</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5</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否</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　</w:t>
            </w:r>
          </w:p>
        </w:tc>
      </w:tr>
      <w:tr>
        <w:tblPrEx>
          <w:tblCellMar>
            <w:top w:w="0" w:type="dxa"/>
            <w:left w:w="108" w:type="dxa"/>
            <w:bottom w:w="0" w:type="dxa"/>
            <w:right w:w="108" w:type="dxa"/>
          </w:tblCellMar>
        </w:tblPrEx>
        <w:trPr>
          <w:trHeight w:val="499"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森林防火发生次数</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次</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0</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0</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0</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100</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5</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5</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否</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　</w:t>
            </w:r>
          </w:p>
        </w:tc>
      </w:tr>
      <w:tr>
        <w:tblPrEx>
          <w:tblCellMar>
            <w:top w:w="0" w:type="dxa"/>
            <w:left w:w="108" w:type="dxa"/>
            <w:bottom w:w="0" w:type="dxa"/>
            <w:right w:w="108" w:type="dxa"/>
          </w:tblCellMar>
        </w:tblPrEx>
        <w:trPr>
          <w:trHeight w:val="499"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社区网格员覆盖率</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100</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100</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0</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100</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3</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3</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否</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　</w:t>
            </w:r>
          </w:p>
        </w:tc>
      </w:tr>
      <w:tr>
        <w:tblPrEx>
          <w:tblCellMar>
            <w:top w:w="0" w:type="dxa"/>
            <w:left w:w="108" w:type="dxa"/>
            <w:bottom w:w="0" w:type="dxa"/>
            <w:right w:w="108" w:type="dxa"/>
          </w:tblCellMar>
        </w:tblPrEx>
        <w:trPr>
          <w:trHeight w:val="499"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辖区农民人均纯收入增长量</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9</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9</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0</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100</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5</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5</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否</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　</w:t>
            </w:r>
          </w:p>
        </w:tc>
      </w:tr>
      <w:tr>
        <w:tblPrEx>
          <w:tblCellMar>
            <w:top w:w="0" w:type="dxa"/>
            <w:left w:w="108" w:type="dxa"/>
            <w:bottom w:w="0" w:type="dxa"/>
            <w:right w:w="108" w:type="dxa"/>
          </w:tblCellMar>
        </w:tblPrEx>
        <w:trPr>
          <w:trHeight w:val="499"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应公开的政务公开率</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100</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100</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0</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100</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5</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5</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否</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　</w:t>
            </w:r>
          </w:p>
        </w:tc>
      </w:tr>
      <w:tr>
        <w:tblPrEx>
          <w:tblCellMar>
            <w:top w:w="0" w:type="dxa"/>
            <w:left w:w="108" w:type="dxa"/>
            <w:bottom w:w="0" w:type="dxa"/>
            <w:right w:w="108" w:type="dxa"/>
          </w:tblCellMar>
        </w:tblPrEx>
        <w:trPr>
          <w:trHeight w:val="499"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优抚、民政、计生等困难群众补助人数</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人</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50</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50</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0</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100</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5</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5</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否</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　</w:t>
            </w:r>
          </w:p>
        </w:tc>
      </w:tr>
      <w:tr>
        <w:tblPrEx>
          <w:tblCellMar>
            <w:top w:w="0" w:type="dxa"/>
            <w:left w:w="108" w:type="dxa"/>
            <w:bottom w:w="0" w:type="dxa"/>
            <w:right w:w="108" w:type="dxa"/>
          </w:tblCellMar>
        </w:tblPrEx>
        <w:trPr>
          <w:trHeight w:val="499"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重大安全事故发生次数</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次</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0</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0</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0</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100</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5</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5</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否</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　</w:t>
            </w:r>
          </w:p>
        </w:tc>
      </w:tr>
      <w:tr>
        <w:tblPrEx>
          <w:tblCellMar>
            <w:top w:w="0" w:type="dxa"/>
            <w:left w:w="108" w:type="dxa"/>
            <w:bottom w:w="0" w:type="dxa"/>
            <w:right w:w="108" w:type="dxa"/>
          </w:tblCellMar>
        </w:tblPrEx>
        <w:trPr>
          <w:trHeight w:val="499"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辖区河道水质</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类</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3</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3</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0</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100</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5</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5</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否</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　</w:t>
            </w:r>
          </w:p>
        </w:tc>
      </w:tr>
      <w:tr>
        <w:tblPrEx>
          <w:tblCellMar>
            <w:top w:w="0" w:type="dxa"/>
            <w:left w:w="108" w:type="dxa"/>
            <w:bottom w:w="0" w:type="dxa"/>
            <w:right w:w="108" w:type="dxa"/>
          </w:tblCellMar>
        </w:tblPrEx>
        <w:trPr>
          <w:trHeight w:val="499"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三季度预算执行进度</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75</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75</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0</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100</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10</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10</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否</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　</w:t>
            </w:r>
          </w:p>
        </w:tc>
      </w:tr>
      <w:tr>
        <w:tblPrEx>
          <w:tblCellMar>
            <w:top w:w="0" w:type="dxa"/>
            <w:left w:w="108" w:type="dxa"/>
            <w:bottom w:w="0" w:type="dxa"/>
            <w:right w:w="108" w:type="dxa"/>
          </w:tblCellMar>
        </w:tblPrEx>
        <w:trPr>
          <w:trHeight w:val="499"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预决算按时公开率</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100</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100</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0</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100</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10</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10</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否</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　</w:t>
            </w:r>
          </w:p>
        </w:tc>
      </w:tr>
      <w:tr>
        <w:tblPrEx>
          <w:tblCellMar>
            <w:top w:w="0" w:type="dxa"/>
            <w:left w:w="108" w:type="dxa"/>
            <w:bottom w:w="0" w:type="dxa"/>
            <w:right w:w="108" w:type="dxa"/>
          </w:tblCellMar>
        </w:tblPrEx>
        <w:trPr>
          <w:trHeight w:val="499"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全年预算支出执行率</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90</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90</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0</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100</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10</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10</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否</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　</w:t>
            </w:r>
          </w:p>
        </w:tc>
      </w:tr>
      <w:tr>
        <w:tblPrEx>
          <w:tblCellMar>
            <w:top w:w="0" w:type="dxa"/>
            <w:left w:w="108" w:type="dxa"/>
            <w:bottom w:w="0" w:type="dxa"/>
            <w:right w:w="108" w:type="dxa"/>
          </w:tblCellMar>
        </w:tblPrEx>
        <w:trPr>
          <w:trHeight w:val="499"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一般公共预算收入完成率</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100</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100</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0</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100</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5</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5</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否</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　</w:t>
            </w:r>
          </w:p>
        </w:tc>
      </w:tr>
      <w:tr>
        <w:tblPrEx>
          <w:tblCellMar>
            <w:top w:w="0" w:type="dxa"/>
            <w:left w:w="108" w:type="dxa"/>
            <w:bottom w:w="0" w:type="dxa"/>
            <w:right w:w="108" w:type="dxa"/>
          </w:tblCellMar>
        </w:tblPrEx>
        <w:trPr>
          <w:trHeight w:val="499"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辖区干部满意率</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90</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90</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0</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100</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5</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5</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否</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　</w:t>
            </w:r>
          </w:p>
        </w:tc>
      </w:tr>
      <w:tr>
        <w:tblPrEx>
          <w:tblCellMar>
            <w:top w:w="0" w:type="dxa"/>
            <w:left w:w="108" w:type="dxa"/>
            <w:bottom w:w="0" w:type="dxa"/>
            <w:right w:w="108" w:type="dxa"/>
          </w:tblCellMar>
        </w:tblPrEx>
        <w:trPr>
          <w:trHeight w:val="499"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辖区群众满意度</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90</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90</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0</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100</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5</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5</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否</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　</w:t>
            </w:r>
          </w:p>
        </w:tc>
      </w:tr>
    </w:tbl>
    <w:p>
      <w:pPr>
        <w:pStyle w:val="13"/>
        <w:autoSpaceDE w:val="0"/>
        <w:spacing w:line="600" w:lineRule="exact"/>
        <w:ind w:firstLine="0" w:firstLineChars="0"/>
        <w:rPr>
          <w:rFonts w:ascii="方正仿宋_GBK" w:hAnsi="方正仿宋_GBK" w:eastAsia="方正仿宋_GBK" w:cs="方正仿宋_GBK"/>
          <w:sz w:val="32"/>
          <w:szCs w:val="32"/>
          <w:shd w:val="clear" w:color="auto" w:fill="FFFFFF"/>
        </w:rPr>
      </w:pPr>
    </w:p>
    <w:p>
      <w:pPr>
        <w:pStyle w:val="14"/>
        <w:autoSpaceDE w:val="0"/>
        <w:spacing w:before="0" w:beforeAutospacing="0" w:line="600" w:lineRule="exact"/>
        <w:ind w:firstLine="640" w:firstLineChars="200"/>
        <w:rPr>
          <w:rFonts w:ascii="方正仿宋_GBK" w:hAnsi="方正仿宋_GBK" w:eastAsia="方正仿宋_GBK" w:cs="方正仿宋_GBK"/>
          <w:sz w:val="32"/>
          <w:szCs w:val="32"/>
          <w:highlight w:val="yellow"/>
          <w:shd w:val="clear" w:color="auto" w:fill="FFFFFF"/>
        </w:rPr>
      </w:pPr>
    </w:p>
    <w:p>
      <w:pPr>
        <w:pStyle w:val="14"/>
        <w:spacing w:before="0" w:beforeAutospacing="0"/>
        <w:rPr>
          <w:rFonts w:ascii="方正仿宋_GBK" w:hAnsi="方正仿宋_GBK" w:eastAsia="方正仿宋_GBK" w:cs="方正仿宋_GBK"/>
          <w:sz w:val="28"/>
          <w:szCs w:val="28"/>
          <w:shd w:val="clear" w:color="auto" w:fill="FFFFFF"/>
        </w:rPr>
      </w:pPr>
      <w:r>
        <w:rPr>
          <w:rFonts w:hint="eastAsia" w:ascii="方正仿宋_GBK" w:hAnsi="方正仿宋_GBK" w:eastAsia="方正仿宋_GBK" w:cs="方正仿宋_GBK"/>
          <w:sz w:val="28"/>
          <w:szCs w:val="28"/>
          <w:shd w:val="clear" w:color="auto" w:fill="FFFFFF"/>
        </w:rPr>
        <w:t>项目支出绩效自评表（二级项目）</w:t>
      </w:r>
    </w:p>
    <w:tbl>
      <w:tblPr>
        <w:tblStyle w:val="8"/>
        <w:tblW w:w="0" w:type="auto"/>
        <w:tblInd w:w="96" w:type="dxa"/>
        <w:tblLayout w:type="autofit"/>
        <w:tblCellMar>
          <w:top w:w="0" w:type="dxa"/>
          <w:left w:w="108" w:type="dxa"/>
          <w:bottom w:w="0" w:type="dxa"/>
          <w:right w:w="108" w:type="dxa"/>
        </w:tblCellMar>
      </w:tblPr>
      <w:tblGrid>
        <w:gridCol w:w="1285"/>
        <w:gridCol w:w="752"/>
        <w:gridCol w:w="752"/>
        <w:gridCol w:w="839"/>
        <w:gridCol w:w="663"/>
        <w:gridCol w:w="708"/>
        <w:gridCol w:w="794"/>
        <w:gridCol w:w="659"/>
        <w:gridCol w:w="572"/>
        <w:gridCol w:w="750"/>
        <w:gridCol w:w="661"/>
      </w:tblGrid>
      <w:tr>
        <w:tblPrEx>
          <w:tblCellMar>
            <w:top w:w="0" w:type="dxa"/>
            <w:left w:w="108" w:type="dxa"/>
            <w:bottom w:w="0" w:type="dxa"/>
            <w:right w:w="108" w:type="dxa"/>
          </w:tblCellMar>
        </w:tblPrEx>
        <w:trPr>
          <w:trHeight w:val="799" w:hRule="atLeast"/>
        </w:trPr>
        <w:tc>
          <w:tcPr>
            <w:tcW w:w="0" w:type="auto"/>
            <w:gridSpan w:val="11"/>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default" w:ascii="微软雅黑" w:hAnsi="微软雅黑" w:eastAsia="微软雅黑" w:cs="宋体"/>
                <w:b/>
                <w:bCs/>
                <w:color w:val="000000"/>
                <w:sz w:val="40"/>
                <w:szCs w:val="40"/>
              </w:rPr>
            </w:pPr>
            <w:r>
              <w:rPr>
                <w:rFonts w:ascii="微软雅黑" w:hAnsi="微软雅黑" w:eastAsia="微软雅黑" w:cs="宋体"/>
                <w:b/>
                <w:bCs/>
                <w:color w:val="000000"/>
                <w:sz w:val="40"/>
                <w:szCs w:val="40"/>
              </w:rPr>
              <w:t>2023年度二级项目绩效自评表</w:t>
            </w:r>
          </w:p>
        </w:tc>
      </w:tr>
      <w:tr>
        <w:tblPrEx>
          <w:tblCellMar>
            <w:top w:w="0" w:type="dxa"/>
            <w:left w:w="108" w:type="dxa"/>
            <w:bottom w:w="0" w:type="dxa"/>
            <w:right w:w="108" w:type="dxa"/>
          </w:tblCellMar>
        </w:tblPrEx>
        <w:trPr>
          <w:trHeight w:val="499" w:hRule="atLeast"/>
        </w:trPr>
        <w:tc>
          <w:tcPr>
            <w:tcW w:w="0" w:type="auto"/>
            <w:gridSpan w:val="11"/>
            <w:tcBorders>
              <w:top w:val="single" w:color="auto" w:sz="4" w:space="0"/>
              <w:left w:val="single" w:color="auto" w:sz="4" w:space="0"/>
              <w:bottom w:val="single" w:color="auto" w:sz="4" w:space="0"/>
              <w:right w:val="single" w:color="auto" w:sz="4" w:space="0"/>
            </w:tcBorders>
            <w:shd w:val="clear" w:color="auto" w:fill="auto"/>
            <w:noWrap/>
            <w:vAlign w:val="center"/>
          </w:tcPr>
          <w:p>
            <w:pPr>
              <w:ind w:firstLine="221" w:firstLineChars="100"/>
              <w:jc w:val="right"/>
              <w:rPr>
                <w:rFonts w:hint="default" w:cs="宋体"/>
                <w:b/>
                <w:bCs/>
                <w:color w:val="DA3232"/>
                <w:sz w:val="22"/>
                <w:szCs w:val="22"/>
              </w:rPr>
            </w:pPr>
            <w:r>
              <w:rPr>
                <w:rFonts w:cs="宋体"/>
                <w:b/>
                <w:bCs/>
                <w:color w:val="DA3232"/>
                <w:sz w:val="22"/>
                <w:szCs w:val="22"/>
              </w:rPr>
              <w:t>状态：绩效审核已审</w:t>
            </w:r>
          </w:p>
        </w:tc>
      </w:tr>
      <w:tr>
        <w:tblPrEx>
          <w:tblCellMar>
            <w:top w:w="0" w:type="dxa"/>
            <w:left w:w="108" w:type="dxa"/>
            <w:bottom w:w="0" w:type="dxa"/>
            <w:right w:w="108" w:type="dxa"/>
          </w:tblCellMar>
        </w:tblPrEx>
        <w:trPr>
          <w:trHeight w:val="499"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pPr>
              <w:jc w:val="right"/>
              <w:rPr>
                <w:rFonts w:hint="default" w:cs="宋体"/>
                <w:b/>
                <w:bCs/>
                <w:color w:val="000000"/>
                <w:sz w:val="22"/>
                <w:szCs w:val="22"/>
              </w:rPr>
            </w:pPr>
            <w:r>
              <w:rPr>
                <w:rFonts w:cs="宋体"/>
                <w:b/>
                <w:bCs/>
                <w:color w:val="000000"/>
                <w:sz w:val="22"/>
                <w:szCs w:val="22"/>
              </w:rPr>
              <w:t>项目名称：</w:t>
            </w:r>
          </w:p>
        </w:tc>
        <w:tc>
          <w:tcPr>
            <w:tcW w:w="0" w:type="auto"/>
            <w:gridSpan w:val="2"/>
            <w:tcBorders>
              <w:top w:val="single" w:color="auto" w:sz="4" w:space="0"/>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离任村干部生活补贴</w:t>
            </w:r>
          </w:p>
        </w:tc>
        <w:tc>
          <w:tcPr>
            <w:tcW w:w="0" w:type="auto"/>
            <w:tcBorders>
              <w:top w:val="nil"/>
              <w:left w:val="nil"/>
              <w:bottom w:val="single" w:color="auto" w:sz="4" w:space="0"/>
              <w:right w:val="single" w:color="auto" w:sz="4" w:space="0"/>
            </w:tcBorders>
            <w:shd w:val="clear" w:color="auto" w:fill="auto"/>
            <w:noWrap/>
            <w:vAlign w:val="center"/>
          </w:tcPr>
          <w:p>
            <w:pPr>
              <w:jc w:val="right"/>
              <w:rPr>
                <w:rFonts w:hint="default" w:cs="宋体"/>
                <w:b/>
                <w:bCs/>
                <w:color w:val="000000"/>
                <w:sz w:val="22"/>
                <w:szCs w:val="22"/>
              </w:rPr>
            </w:pPr>
            <w:r>
              <w:rPr>
                <w:rFonts w:cs="宋体"/>
                <w:b/>
                <w:bCs/>
                <w:color w:val="000000"/>
                <w:sz w:val="22"/>
                <w:szCs w:val="22"/>
              </w:rPr>
              <w:t>项目编码：</w:t>
            </w:r>
          </w:p>
        </w:tc>
        <w:tc>
          <w:tcPr>
            <w:tcW w:w="0" w:type="auto"/>
            <w:gridSpan w:val="2"/>
            <w:tcBorders>
              <w:top w:val="single" w:color="auto" w:sz="4" w:space="0"/>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50023123T000003558305</w:t>
            </w:r>
          </w:p>
        </w:tc>
        <w:tc>
          <w:tcPr>
            <w:tcW w:w="0" w:type="auto"/>
            <w:tcBorders>
              <w:top w:val="nil"/>
              <w:left w:val="nil"/>
              <w:bottom w:val="single" w:color="auto" w:sz="4" w:space="0"/>
              <w:right w:val="single" w:color="auto" w:sz="4" w:space="0"/>
            </w:tcBorders>
            <w:shd w:val="clear" w:color="auto" w:fill="auto"/>
            <w:noWrap/>
            <w:vAlign w:val="center"/>
          </w:tcPr>
          <w:p>
            <w:pPr>
              <w:jc w:val="right"/>
              <w:rPr>
                <w:rFonts w:hint="default" w:cs="宋体"/>
                <w:b/>
                <w:bCs/>
                <w:color w:val="000000"/>
                <w:sz w:val="22"/>
                <w:szCs w:val="22"/>
              </w:rPr>
            </w:pPr>
            <w:r>
              <w:rPr>
                <w:rFonts w:cs="宋体"/>
                <w:b/>
                <w:bCs/>
                <w:color w:val="000000"/>
                <w:sz w:val="22"/>
                <w:szCs w:val="22"/>
              </w:rPr>
              <w:t>自评总分：</w:t>
            </w:r>
          </w:p>
        </w:tc>
        <w:tc>
          <w:tcPr>
            <w:tcW w:w="0" w:type="auto"/>
            <w:gridSpan w:val="2"/>
            <w:tcBorders>
              <w:top w:val="single" w:color="auto" w:sz="4" w:space="0"/>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100.00</w:t>
            </w:r>
          </w:p>
        </w:tc>
        <w:tc>
          <w:tcPr>
            <w:tcW w:w="0" w:type="auto"/>
            <w:tcBorders>
              <w:top w:val="nil"/>
              <w:left w:val="nil"/>
              <w:bottom w:val="single" w:color="auto" w:sz="4" w:space="0"/>
              <w:right w:val="single" w:color="auto" w:sz="4" w:space="0"/>
            </w:tcBorders>
            <w:shd w:val="clear" w:color="auto" w:fill="auto"/>
            <w:noWrap/>
            <w:vAlign w:val="center"/>
          </w:tcPr>
          <w:p>
            <w:pPr>
              <w:jc w:val="right"/>
              <w:rPr>
                <w:rFonts w:hint="default" w:cs="宋体"/>
                <w:b/>
                <w:bCs/>
                <w:color w:val="000000"/>
                <w:sz w:val="22"/>
                <w:szCs w:val="22"/>
              </w:rPr>
            </w:pPr>
            <w:r>
              <w:rPr>
                <w:rFonts w:cs="宋体"/>
                <w:b/>
                <w:bCs/>
                <w:color w:val="000000"/>
                <w:sz w:val="22"/>
                <w:szCs w:val="22"/>
              </w:rPr>
              <w:t>　</w:t>
            </w:r>
          </w:p>
        </w:tc>
        <w:tc>
          <w:tcPr>
            <w:tcW w:w="0" w:type="auto"/>
            <w:tcBorders>
              <w:top w:val="nil"/>
              <w:left w:val="nil"/>
              <w:bottom w:val="single" w:color="auto" w:sz="4" w:space="0"/>
              <w:right w:val="single" w:color="auto" w:sz="4" w:space="0"/>
            </w:tcBorders>
            <w:shd w:val="clear" w:color="auto" w:fill="auto"/>
            <w:vAlign w:val="center"/>
          </w:tcPr>
          <w:p>
            <w:pPr>
              <w:rPr>
                <w:rFonts w:hint="default" w:cs="宋体"/>
                <w:color w:val="000000"/>
                <w:sz w:val="22"/>
                <w:szCs w:val="22"/>
              </w:rPr>
            </w:pPr>
            <w:r>
              <w:rPr>
                <w:rFonts w:cs="宋体"/>
                <w:color w:val="000000"/>
                <w:sz w:val="22"/>
                <w:szCs w:val="22"/>
              </w:rPr>
              <w:t>　</w:t>
            </w:r>
          </w:p>
        </w:tc>
      </w:tr>
      <w:tr>
        <w:tblPrEx>
          <w:tblCellMar>
            <w:top w:w="0" w:type="dxa"/>
            <w:left w:w="108" w:type="dxa"/>
            <w:bottom w:w="0" w:type="dxa"/>
            <w:right w:w="108" w:type="dxa"/>
          </w:tblCellMar>
        </w:tblPrEx>
        <w:trPr>
          <w:trHeight w:val="499"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pPr>
              <w:jc w:val="right"/>
              <w:rPr>
                <w:rFonts w:hint="default" w:cs="宋体"/>
                <w:b/>
                <w:bCs/>
                <w:color w:val="000000"/>
                <w:sz w:val="22"/>
                <w:szCs w:val="22"/>
              </w:rPr>
            </w:pPr>
            <w:r>
              <w:rPr>
                <w:rFonts w:cs="宋体"/>
                <w:b/>
                <w:bCs/>
                <w:color w:val="000000"/>
                <w:sz w:val="22"/>
                <w:szCs w:val="22"/>
              </w:rPr>
              <w:t>项目主管部门：</w:t>
            </w:r>
          </w:p>
        </w:tc>
        <w:tc>
          <w:tcPr>
            <w:tcW w:w="0" w:type="auto"/>
            <w:gridSpan w:val="2"/>
            <w:tcBorders>
              <w:top w:val="single" w:color="auto" w:sz="4" w:space="0"/>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716-垫江县五洞镇人民政府</w:t>
            </w:r>
          </w:p>
        </w:tc>
        <w:tc>
          <w:tcPr>
            <w:tcW w:w="0" w:type="auto"/>
            <w:tcBorders>
              <w:top w:val="nil"/>
              <w:left w:val="nil"/>
              <w:bottom w:val="single" w:color="auto" w:sz="4" w:space="0"/>
              <w:right w:val="single" w:color="auto" w:sz="4" w:space="0"/>
            </w:tcBorders>
            <w:shd w:val="clear" w:color="auto" w:fill="auto"/>
            <w:noWrap/>
            <w:vAlign w:val="center"/>
          </w:tcPr>
          <w:p>
            <w:pPr>
              <w:jc w:val="right"/>
              <w:rPr>
                <w:rFonts w:hint="default" w:cs="宋体"/>
                <w:b/>
                <w:bCs/>
                <w:color w:val="000000"/>
                <w:sz w:val="22"/>
                <w:szCs w:val="22"/>
              </w:rPr>
            </w:pPr>
            <w:r>
              <w:rPr>
                <w:rFonts w:cs="宋体"/>
                <w:b/>
                <w:bCs/>
                <w:color w:val="000000"/>
                <w:sz w:val="22"/>
                <w:szCs w:val="22"/>
              </w:rPr>
              <w:t>财政归口处室：</w:t>
            </w:r>
          </w:p>
        </w:tc>
        <w:tc>
          <w:tcPr>
            <w:tcW w:w="0" w:type="auto"/>
            <w:gridSpan w:val="2"/>
            <w:tcBorders>
              <w:top w:val="single" w:color="auto" w:sz="4" w:space="0"/>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014-会计管理核算中心</w:t>
            </w:r>
          </w:p>
        </w:tc>
        <w:tc>
          <w:tcPr>
            <w:tcW w:w="0" w:type="auto"/>
            <w:tcBorders>
              <w:top w:val="nil"/>
              <w:left w:val="nil"/>
              <w:bottom w:val="single" w:color="auto" w:sz="4" w:space="0"/>
              <w:right w:val="single" w:color="auto" w:sz="4" w:space="0"/>
            </w:tcBorders>
            <w:shd w:val="clear" w:color="auto" w:fill="auto"/>
            <w:noWrap/>
            <w:vAlign w:val="center"/>
          </w:tcPr>
          <w:p>
            <w:pPr>
              <w:jc w:val="right"/>
              <w:rPr>
                <w:rFonts w:hint="default" w:cs="宋体"/>
                <w:b/>
                <w:bCs/>
                <w:color w:val="000000"/>
                <w:sz w:val="22"/>
                <w:szCs w:val="22"/>
              </w:rPr>
            </w:pPr>
            <w:r>
              <w:rPr>
                <w:rFonts w:cs="宋体"/>
                <w:b/>
                <w:bCs/>
                <w:color w:val="000000"/>
                <w:sz w:val="22"/>
                <w:szCs w:val="22"/>
              </w:rPr>
              <w:t>部门联系人：</w:t>
            </w:r>
          </w:p>
        </w:tc>
        <w:tc>
          <w:tcPr>
            <w:tcW w:w="0" w:type="auto"/>
            <w:gridSpan w:val="2"/>
            <w:tcBorders>
              <w:top w:val="single" w:color="auto" w:sz="4" w:space="0"/>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杨晓梅</w:t>
            </w:r>
          </w:p>
        </w:tc>
        <w:tc>
          <w:tcPr>
            <w:tcW w:w="0" w:type="auto"/>
            <w:tcBorders>
              <w:top w:val="nil"/>
              <w:left w:val="nil"/>
              <w:bottom w:val="single" w:color="auto" w:sz="4" w:space="0"/>
              <w:right w:val="single" w:color="auto" w:sz="4" w:space="0"/>
            </w:tcBorders>
            <w:shd w:val="clear" w:color="auto" w:fill="auto"/>
            <w:noWrap/>
            <w:vAlign w:val="center"/>
          </w:tcPr>
          <w:p>
            <w:pPr>
              <w:jc w:val="right"/>
              <w:rPr>
                <w:rFonts w:hint="default" w:cs="宋体"/>
                <w:b/>
                <w:bCs/>
                <w:color w:val="000000"/>
                <w:sz w:val="22"/>
                <w:szCs w:val="22"/>
              </w:rPr>
            </w:pPr>
            <w:r>
              <w:rPr>
                <w:rFonts w:cs="宋体"/>
                <w:b/>
                <w:bCs/>
                <w:color w:val="000000"/>
                <w:sz w:val="22"/>
                <w:szCs w:val="22"/>
              </w:rPr>
              <w:t>联系电话：</w:t>
            </w:r>
          </w:p>
        </w:tc>
        <w:tc>
          <w:tcPr>
            <w:tcW w:w="0" w:type="auto"/>
            <w:tcBorders>
              <w:top w:val="nil"/>
              <w:left w:val="nil"/>
              <w:bottom w:val="single" w:color="auto" w:sz="4" w:space="0"/>
              <w:right w:val="single" w:color="auto" w:sz="4" w:space="0"/>
            </w:tcBorders>
            <w:shd w:val="clear" w:color="auto" w:fill="auto"/>
            <w:vAlign w:val="center"/>
          </w:tcPr>
          <w:p>
            <w:pPr>
              <w:rPr>
                <w:rFonts w:hint="default" w:cs="宋体"/>
                <w:color w:val="000000"/>
                <w:sz w:val="22"/>
                <w:szCs w:val="22"/>
              </w:rPr>
            </w:pPr>
            <w:r>
              <w:rPr>
                <w:rFonts w:cs="宋体"/>
                <w:color w:val="000000"/>
                <w:sz w:val="22"/>
                <w:szCs w:val="22"/>
              </w:rPr>
              <w:t>74562700</w:t>
            </w:r>
          </w:p>
        </w:tc>
      </w:tr>
      <w:tr>
        <w:tblPrEx>
          <w:tblCellMar>
            <w:top w:w="0" w:type="dxa"/>
            <w:left w:w="108" w:type="dxa"/>
            <w:bottom w:w="0" w:type="dxa"/>
            <w:right w:w="108" w:type="dxa"/>
          </w:tblCellMar>
        </w:tblPrEx>
        <w:trPr>
          <w:trHeight w:val="600" w:hRule="atLeast"/>
        </w:trPr>
        <w:tc>
          <w:tcPr>
            <w:tcW w:w="0" w:type="auto"/>
            <w:gridSpan w:val="11"/>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default" w:ascii="微软雅黑" w:hAnsi="微软雅黑" w:eastAsia="微软雅黑" w:cs="宋体"/>
                <w:b/>
                <w:bCs/>
                <w:color w:val="7F7F7F"/>
                <w:sz w:val="28"/>
                <w:szCs w:val="28"/>
              </w:rPr>
            </w:pPr>
            <w:r>
              <w:rPr>
                <w:rFonts w:ascii="微软雅黑" w:hAnsi="微软雅黑" w:eastAsia="微软雅黑" w:cs="宋体"/>
                <w:b/>
                <w:bCs/>
                <w:color w:val="7F7F7F"/>
                <w:sz w:val="28"/>
                <w:szCs w:val="28"/>
              </w:rPr>
              <w:t>资金情况</w:t>
            </w:r>
          </w:p>
        </w:tc>
      </w:tr>
      <w:tr>
        <w:tblPrEx>
          <w:tblCellMar>
            <w:top w:w="0" w:type="dxa"/>
            <w:left w:w="108" w:type="dxa"/>
            <w:bottom w:w="0" w:type="dxa"/>
            <w:right w:w="108" w:type="dxa"/>
          </w:tblCellMar>
        </w:tblPrEx>
        <w:trPr>
          <w:trHeight w:val="499" w:hRule="atLeast"/>
        </w:trPr>
        <w:tc>
          <w:tcPr>
            <w:tcW w:w="0" w:type="auto"/>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default" w:cs="宋体"/>
                <w:color w:val="000000"/>
                <w:sz w:val="22"/>
                <w:szCs w:val="22"/>
              </w:rPr>
            </w:pPr>
            <w:r>
              <w:rPr>
                <w:rFonts w:cs="宋体"/>
                <w:color w:val="000000"/>
                <w:sz w:val="22"/>
                <w:szCs w:val="22"/>
              </w:rPr>
              <w:t>　</w:t>
            </w:r>
          </w:p>
        </w:tc>
        <w:tc>
          <w:tcPr>
            <w:tcW w:w="0" w:type="auto"/>
            <w:gridSpan w:val="2"/>
            <w:tcBorders>
              <w:top w:val="single" w:color="auto" w:sz="4" w:space="0"/>
              <w:left w:val="nil"/>
              <w:bottom w:val="single" w:color="auto" w:sz="4" w:space="0"/>
              <w:right w:val="single" w:color="auto" w:sz="4" w:space="0"/>
            </w:tcBorders>
            <w:shd w:val="clear" w:color="auto" w:fill="auto"/>
            <w:noWrap/>
            <w:vAlign w:val="center"/>
          </w:tcPr>
          <w:p>
            <w:pPr>
              <w:jc w:val="center"/>
              <w:rPr>
                <w:rFonts w:hint="default" w:cs="宋体"/>
                <w:b/>
                <w:bCs/>
                <w:color w:val="000000"/>
                <w:sz w:val="22"/>
                <w:szCs w:val="22"/>
              </w:rPr>
            </w:pPr>
            <w:r>
              <w:rPr>
                <w:rFonts w:cs="宋体"/>
                <w:b/>
                <w:bCs/>
                <w:color w:val="000000"/>
                <w:sz w:val="22"/>
                <w:szCs w:val="22"/>
              </w:rPr>
              <w:t>年初预算数</w:t>
            </w:r>
          </w:p>
        </w:tc>
        <w:tc>
          <w:tcPr>
            <w:tcW w:w="0" w:type="auto"/>
            <w:gridSpan w:val="2"/>
            <w:tcBorders>
              <w:top w:val="single" w:color="auto" w:sz="4" w:space="0"/>
              <w:left w:val="nil"/>
              <w:bottom w:val="single" w:color="auto" w:sz="4" w:space="0"/>
              <w:right w:val="single" w:color="auto" w:sz="4" w:space="0"/>
            </w:tcBorders>
            <w:shd w:val="clear" w:color="auto" w:fill="auto"/>
            <w:noWrap/>
            <w:vAlign w:val="center"/>
          </w:tcPr>
          <w:p>
            <w:pPr>
              <w:jc w:val="center"/>
              <w:rPr>
                <w:rFonts w:hint="default" w:cs="宋体"/>
                <w:b/>
                <w:bCs/>
                <w:color w:val="000000"/>
                <w:sz w:val="22"/>
                <w:szCs w:val="22"/>
              </w:rPr>
            </w:pPr>
            <w:r>
              <w:rPr>
                <w:rFonts w:cs="宋体"/>
                <w:b/>
                <w:bCs/>
                <w:color w:val="000000"/>
                <w:sz w:val="22"/>
                <w:szCs w:val="22"/>
              </w:rPr>
              <w:t>全年（调整）预算数</w:t>
            </w:r>
          </w:p>
        </w:tc>
        <w:tc>
          <w:tcPr>
            <w:tcW w:w="0" w:type="auto"/>
            <w:gridSpan w:val="2"/>
            <w:tcBorders>
              <w:top w:val="single" w:color="auto" w:sz="4" w:space="0"/>
              <w:left w:val="nil"/>
              <w:bottom w:val="single" w:color="auto" w:sz="4" w:space="0"/>
              <w:right w:val="single" w:color="auto" w:sz="4" w:space="0"/>
            </w:tcBorders>
            <w:shd w:val="clear" w:color="auto" w:fill="auto"/>
            <w:noWrap/>
            <w:vAlign w:val="center"/>
          </w:tcPr>
          <w:p>
            <w:pPr>
              <w:jc w:val="center"/>
              <w:rPr>
                <w:rFonts w:hint="default" w:cs="宋体"/>
                <w:b/>
                <w:bCs/>
                <w:color w:val="000000"/>
                <w:sz w:val="22"/>
                <w:szCs w:val="22"/>
              </w:rPr>
            </w:pPr>
            <w:r>
              <w:rPr>
                <w:rFonts w:cs="宋体"/>
                <w:b/>
                <w:bCs/>
                <w:color w:val="000000"/>
                <w:sz w:val="22"/>
                <w:szCs w:val="22"/>
              </w:rPr>
              <w:t>全年执行数</w:t>
            </w:r>
          </w:p>
        </w:tc>
        <w:tc>
          <w:tcPr>
            <w:tcW w:w="0" w:type="auto"/>
            <w:tcBorders>
              <w:top w:val="nil"/>
              <w:left w:val="nil"/>
              <w:bottom w:val="single" w:color="auto" w:sz="4" w:space="0"/>
              <w:right w:val="single" w:color="auto" w:sz="4" w:space="0"/>
            </w:tcBorders>
            <w:shd w:val="clear" w:color="auto" w:fill="auto"/>
            <w:noWrap/>
            <w:vAlign w:val="center"/>
          </w:tcPr>
          <w:p>
            <w:pPr>
              <w:jc w:val="center"/>
              <w:rPr>
                <w:rFonts w:hint="default" w:cs="宋体"/>
                <w:b/>
                <w:bCs/>
                <w:color w:val="000000"/>
                <w:sz w:val="22"/>
                <w:szCs w:val="22"/>
              </w:rPr>
            </w:pPr>
            <w:r>
              <w:rPr>
                <w:rFonts w:cs="宋体"/>
                <w:b/>
                <w:bCs/>
                <w:color w:val="000000"/>
                <w:sz w:val="22"/>
                <w:szCs w:val="22"/>
              </w:rPr>
              <w:t>执行率</w:t>
            </w:r>
          </w:p>
        </w:tc>
        <w:tc>
          <w:tcPr>
            <w:tcW w:w="0" w:type="auto"/>
            <w:tcBorders>
              <w:top w:val="nil"/>
              <w:left w:val="nil"/>
              <w:bottom w:val="single" w:color="auto" w:sz="4" w:space="0"/>
              <w:right w:val="single" w:color="auto" w:sz="4" w:space="0"/>
            </w:tcBorders>
            <w:shd w:val="clear" w:color="auto" w:fill="auto"/>
            <w:noWrap/>
            <w:vAlign w:val="center"/>
          </w:tcPr>
          <w:p>
            <w:pPr>
              <w:rPr>
                <w:rFonts w:hint="default" w:cs="宋体"/>
                <w:b/>
                <w:bCs/>
                <w:color w:val="000000"/>
                <w:sz w:val="22"/>
                <w:szCs w:val="22"/>
              </w:rPr>
            </w:pPr>
            <w:r>
              <w:rPr>
                <w:rFonts w:cs="宋体"/>
                <w:b/>
                <w:bCs/>
                <w:color w:val="000000"/>
                <w:sz w:val="22"/>
                <w:szCs w:val="22"/>
              </w:rPr>
              <w:t>执行率权重</w:t>
            </w:r>
          </w:p>
        </w:tc>
        <w:tc>
          <w:tcPr>
            <w:tcW w:w="0" w:type="auto"/>
            <w:tcBorders>
              <w:top w:val="nil"/>
              <w:left w:val="nil"/>
              <w:bottom w:val="single" w:color="auto" w:sz="4" w:space="0"/>
              <w:right w:val="single" w:color="auto" w:sz="4" w:space="0"/>
            </w:tcBorders>
            <w:shd w:val="clear" w:color="auto" w:fill="auto"/>
            <w:noWrap/>
            <w:vAlign w:val="center"/>
          </w:tcPr>
          <w:p>
            <w:pPr>
              <w:jc w:val="center"/>
              <w:rPr>
                <w:rFonts w:hint="default" w:cs="宋体"/>
                <w:b/>
                <w:bCs/>
                <w:color w:val="000000"/>
                <w:sz w:val="22"/>
                <w:szCs w:val="22"/>
              </w:rPr>
            </w:pPr>
            <w:r>
              <w:rPr>
                <w:rFonts w:cs="宋体"/>
                <w:b/>
                <w:bCs/>
                <w:color w:val="000000"/>
                <w:sz w:val="22"/>
                <w:szCs w:val="22"/>
              </w:rPr>
              <w:t>执行率得分</w:t>
            </w:r>
          </w:p>
        </w:tc>
      </w:tr>
      <w:tr>
        <w:tblPrEx>
          <w:tblCellMar>
            <w:top w:w="0" w:type="dxa"/>
            <w:left w:w="108" w:type="dxa"/>
            <w:bottom w:w="0" w:type="dxa"/>
            <w:right w:w="108" w:type="dxa"/>
          </w:tblCellMar>
        </w:tblPrEx>
        <w:trPr>
          <w:trHeight w:val="499" w:hRule="atLeast"/>
        </w:trPr>
        <w:tc>
          <w:tcPr>
            <w:tcW w:w="0" w:type="auto"/>
            <w:tcBorders>
              <w:top w:val="nil"/>
              <w:left w:val="single" w:color="auto" w:sz="4" w:space="0"/>
              <w:bottom w:val="single" w:color="auto" w:sz="4" w:space="0"/>
              <w:right w:val="nil"/>
            </w:tcBorders>
            <w:shd w:val="clear" w:color="auto" w:fill="auto"/>
            <w:vAlign w:val="center"/>
          </w:tcPr>
          <w:p>
            <w:pPr>
              <w:rPr>
                <w:rFonts w:hint="default" w:cs="宋体"/>
                <w:color w:val="000000"/>
                <w:sz w:val="22"/>
                <w:szCs w:val="22"/>
              </w:rPr>
            </w:pPr>
            <w:r>
              <w:rPr>
                <w:rFonts w:cs="宋体"/>
                <w:color w:val="000000"/>
                <w:sz w:val="22"/>
                <w:szCs w:val="22"/>
              </w:rPr>
              <w:t>年度总金额</w:t>
            </w:r>
          </w:p>
        </w:tc>
        <w:tc>
          <w:tcPr>
            <w:tcW w:w="0" w:type="auto"/>
            <w:tcBorders>
              <w:top w:val="nil"/>
              <w:left w:val="nil"/>
              <w:bottom w:val="single" w:color="auto" w:sz="4" w:space="0"/>
              <w:right w:val="single" w:color="auto" w:sz="4" w:space="0"/>
            </w:tcBorders>
            <w:shd w:val="clear" w:color="auto" w:fill="auto"/>
            <w:noWrap/>
            <w:vAlign w:val="center"/>
          </w:tcPr>
          <w:p>
            <w:pPr>
              <w:rPr>
                <w:rFonts w:hint="default" w:cs="宋体"/>
                <w:color w:val="000000"/>
                <w:sz w:val="22"/>
                <w:szCs w:val="22"/>
              </w:rPr>
            </w:pPr>
            <w:r>
              <w:rPr>
                <w:rFonts w:cs="宋体"/>
                <w:color w:val="000000"/>
                <w:sz w:val="22"/>
                <w:szCs w:val="22"/>
              </w:rPr>
              <w:t>　</w:t>
            </w:r>
          </w:p>
        </w:tc>
        <w:tc>
          <w:tcPr>
            <w:tcW w:w="0" w:type="auto"/>
            <w:tcBorders>
              <w:top w:val="nil"/>
              <w:left w:val="nil"/>
              <w:bottom w:val="single" w:color="auto" w:sz="4" w:space="0"/>
              <w:right w:val="nil"/>
            </w:tcBorders>
            <w:shd w:val="clear" w:color="auto" w:fill="auto"/>
            <w:noWrap/>
            <w:vAlign w:val="center"/>
          </w:tcPr>
          <w:p>
            <w:pPr>
              <w:rPr>
                <w:rFonts w:hint="default" w:cs="宋体"/>
                <w:color w:val="000000"/>
                <w:sz w:val="22"/>
                <w:szCs w:val="22"/>
              </w:rPr>
            </w:pPr>
            <w:r>
              <w:rPr>
                <w:rFonts w:cs="宋体"/>
                <w:color w:val="000000"/>
                <w:sz w:val="22"/>
                <w:szCs w:val="22"/>
              </w:rPr>
              <w:t>　</w:t>
            </w:r>
          </w:p>
        </w:tc>
        <w:tc>
          <w:tcPr>
            <w:tcW w:w="0" w:type="auto"/>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22"/>
                <w:szCs w:val="22"/>
              </w:rPr>
            </w:pPr>
            <w:r>
              <w:rPr>
                <w:rFonts w:cs="宋体"/>
                <w:color w:val="000000"/>
                <w:sz w:val="22"/>
                <w:szCs w:val="22"/>
              </w:rPr>
              <w:t xml:space="preserve">123,156.00 </w:t>
            </w:r>
          </w:p>
        </w:tc>
        <w:tc>
          <w:tcPr>
            <w:tcW w:w="0" w:type="auto"/>
            <w:tcBorders>
              <w:top w:val="nil"/>
              <w:left w:val="nil"/>
              <w:bottom w:val="single" w:color="auto" w:sz="4" w:space="0"/>
              <w:right w:val="nil"/>
            </w:tcBorders>
            <w:shd w:val="clear" w:color="auto" w:fill="auto"/>
            <w:noWrap/>
            <w:vAlign w:val="center"/>
          </w:tcPr>
          <w:p>
            <w:pPr>
              <w:rPr>
                <w:rFonts w:hint="default" w:cs="宋体"/>
                <w:color w:val="000000"/>
                <w:sz w:val="22"/>
                <w:szCs w:val="22"/>
              </w:rPr>
            </w:pPr>
            <w:r>
              <w:rPr>
                <w:rFonts w:cs="宋体"/>
                <w:color w:val="000000"/>
                <w:sz w:val="22"/>
                <w:szCs w:val="22"/>
              </w:rPr>
              <w:t>　</w:t>
            </w:r>
          </w:p>
        </w:tc>
        <w:tc>
          <w:tcPr>
            <w:tcW w:w="0" w:type="auto"/>
            <w:tcBorders>
              <w:top w:val="nil"/>
              <w:left w:val="nil"/>
              <w:bottom w:val="single" w:color="auto" w:sz="4" w:space="0"/>
              <w:right w:val="single" w:color="auto" w:sz="4" w:space="0"/>
            </w:tcBorders>
            <w:shd w:val="clear" w:color="auto" w:fill="auto"/>
            <w:vAlign w:val="center"/>
          </w:tcPr>
          <w:p>
            <w:pPr>
              <w:jc w:val="right"/>
              <w:rPr>
                <w:rFonts w:hint="default" w:cs="宋体"/>
                <w:color w:val="000000"/>
                <w:sz w:val="22"/>
                <w:szCs w:val="22"/>
              </w:rPr>
            </w:pPr>
            <w:r>
              <w:rPr>
                <w:rFonts w:cs="宋体"/>
                <w:color w:val="000000"/>
                <w:sz w:val="22"/>
                <w:szCs w:val="22"/>
              </w:rPr>
              <w:t xml:space="preserve">246,671.00 </w:t>
            </w:r>
          </w:p>
        </w:tc>
        <w:tc>
          <w:tcPr>
            <w:tcW w:w="0" w:type="auto"/>
            <w:tcBorders>
              <w:top w:val="nil"/>
              <w:left w:val="nil"/>
              <w:bottom w:val="single" w:color="auto" w:sz="4" w:space="0"/>
              <w:right w:val="nil"/>
            </w:tcBorders>
            <w:shd w:val="clear" w:color="auto" w:fill="auto"/>
            <w:noWrap/>
            <w:vAlign w:val="center"/>
          </w:tcPr>
          <w:p>
            <w:pPr>
              <w:rPr>
                <w:rFonts w:hint="default" w:cs="宋体"/>
                <w:color w:val="000000"/>
                <w:sz w:val="22"/>
                <w:szCs w:val="22"/>
              </w:rPr>
            </w:pPr>
            <w:r>
              <w:rPr>
                <w:rFonts w:cs="宋体"/>
                <w:color w:val="000000"/>
                <w:sz w:val="22"/>
                <w:szCs w:val="22"/>
              </w:rPr>
              <w:t>　</w:t>
            </w:r>
          </w:p>
        </w:tc>
        <w:tc>
          <w:tcPr>
            <w:tcW w:w="0" w:type="auto"/>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22"/>
                <w:szCs w:val="22"/>
              </w:rPr>
            </w:pPr>
            <w:r>
              <w:rPr>
                <w:rFonts w:cs="宋体"/>
                <w:color w:val="000000"/>
                <w:sz w:val="22"/>
                <w:szCs w:val="22"/>
              </w:rPr>
              <w:t xml:space="preserve">246,671.00 </w:t>
            </w:r>
          </w:p>
        </w:tc>
        <w:tc>
          <w:tcPr>
            <w:tcW w:w="0" w:type="auto"/>
            <w:tcBorders>
              <w:top w:val="nil"/>
              <w:left w:val="nil"/>
              <w:bottom w:val="single" w:color="auto" w:sz="4" w:space="0"/>
              <w:right w:val="single" w:color="auto" w:sz="4" w:space="0"/>
            </w:tcBorders>
            <w:shd w:val="clear" w:color="auto" w:fill="auto"/>
            <w:noWrap/>
            <w:vAlign w:val="center"/>
          </w:tcPr>
          <w:p>
            <w:pPr>
              <w:rPr>
                <w:rFonts w:hint="default" w:cs="宋体"/>
                <w:color w:val="000000"/>
                <w:sz w:val="22"/>
                <w:szCs w:val="22"/>
              </w:rPr>
            </w:pPr>
            <w:r>
              <w:rPr>
                <w:rFonts w:cs="宋体"/>
                <w:color w:val="000000"/>
                <w:sz w:val="22"/>
                <w:szCs w:val="22"/>
              </w:rPr>
              <w:t>　</w:t>
            </w:r>
          </w:p>
        </w:tc>
        <w:tc>
          <w:tcPr>
            <w:tcW w:w="0" w:type="auto"/>
            <w:tcBorders>
              <w:top w:val="nil"/>
              <w:left w:val="nil"/>
              <w:bottom w:val="single" w:color="auto" w:sz="4" w:space="0"/>
              <w:right w:val="single" w:color="auto" w:sz="4" w:space="0"/>
            </w:tcBorders>
            <w:shd w:val="clear" w:color="auto" w:fill="auto"/>
            <w:noWrap/>
            <w:vAlign w:val="center"/>
          </w:tcPr>
          <w:p>
            <w:pPr>
              <w:rPr>
                <w:rFonts w:hint="default" w:cs="宋体"/>
                <w:color w:val="000000"/>
                <w:sz w:val="22"/>
                <w:szCs w:val="22"/>
              </w:rPr>
            </w:pPr>
            <w:r>
              <w:rPr>
                <w:rFonts w:cs="宋体"/>
                <w:color w:val="000000"/>
                <w:sz w:val="22"/>
                <w:szCs w:val="22"/>
              </w:rPr>
              <w:t>　</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sz w:val="22"/>
                <w:szCs w:val="22"/>
              </w:rPr>
            </w:pPr>
            <w:r>
              <w:rPr>
                <w:rFonts w:cs="宋体"/>
                <w:sz w:val="22"/>
                <w:szCs w:val="22"/>
              </w:rPr>
              <w:t>　</w:t>
            </w:r>
          </w:p>
        </w:tc>
      </w:tr>
      <w:tr>
        <w:tblPrEx>
          <w:tblCellMar>
            <w:top w:w="0" w:type="dxa"/>
            <w:left w:w="108" w:type="dxa"/>
            <w:bottom w:w="0" w:type="dxa"/>
            <w:right w:w="108" w:type="dxa"/>
          </w:tblCellMar>
        </w:tblPrEx>
        <w:trPr>
          <w:trHeight w:val="499" w:hRule="atLeast"/>
        </w:trPr>
        <w:tc>
          <w:tcPr>
            <w:tcW w:w="0" w:type="auto"/>
            <w:tcBorders>
              <w:top w:val="nil"/>
              <w:left w:val="single" w:color="auto" w:sz="4" w:space="0"/>
              <w:bottom w:val="single" w:color="auto" w:sz="4" w:space="0"/>
              <w:right w:val="nil"/>
            </w:tcBorders>
            <w:shd w:val="clear" w:color="auto" w:fill="auto"/>
            <w:vAlign w:val="center"/>
          </w:tcPr>
          <w:p>
            <w:pPr>
              <w:rPr>
                <w:rFonts w:hint="default" w:cs="宋体"/>
                <w:color w:val="000000"/>
                <w:sz w:val="22"/>
                <w:szCs w:val="22"/>
              </w:rPr>
            </w:pPr>
            <w:r>
              <w:rPr>
                <w:rFonts w:cs="宋体"/>
                <w:color w:val="000000"/>
                <w:sz w:val="22"/>
                <w:szCs w:val="22"/>
              </w:rPr>
              <w:t>其中：财政拨款</w:t>
            </w:r>
          </w:p>
        </w:tc>
        <w:tc>
          <w:tcPr>
            <w:tcW w:w="0" w:type="auto"/>
            <w:tcBorders>
              <w:top w:val="nil"/>
              <w:left w:val="nil"/>
              <w:bottom w:val="single" w:color="auto" w:sz="4" w:space="0"/>
              <w:right w:val="single" w:color="auto" w:sz="4" w:space="0"/>
            </w:tcBorders>
            <w:shd w:val="clear" w:color="auto" w:fill="auto"/>
            <w:noWrap/>
            <w:vAlign w:val="center"/>
          </w:tcPr>
          <w:p>
            <w:pPr>
              <w:rPr>
                <w:rFonts w:hint="default" w:cs="宋体"/>
                <w:color w:val="000000"/>
                <w:sz w:val="22"/>
                <w:szCs w:val="22"/>
              </w:rPr>
            </w:pPr>
            <w:r>
              <w:rPr>
                <w:rFonts w:cs="宋体"/>
                <w:color w:val="000000"/>
                <w:sz w:val="22"/>
                <w:szCs w:val="22"/>
              </w:rPr>
              <w:t>　</w:t>
            </w:r>
          </w:p>
        </w:tc>
        <w:tc>
          <w:tcPr>
            <w:tcW w:w="0" w:type="auto"/>
            <w:tcBorders>
              <w:top w:val="nil"/>
              <w:left w:val="nil"/>
              <w:bottom w:val="single" w:color="auto" w:sz="4" w:space="0"/>
              <w:right w:val="nil"/>
            </w:tcBorders>
            <w:shd w:val="clear" w:color="auto" w:fill="auto"/>
            <w:noWrap/>
            <w:vAlign w:val="center"/>
          </w:tcPr>
          <w:p>
            <w:pPr>
              <w:rPr>
                <w:rFonts w:hint="default" w:cs="宋体"/>
                <w:color w:val="000000"/>
                <w:sz w:val="22"/>
                <w:szCs w:val="22"/>
              </w:rPr>
            </w:pPr>
            <w:r>
              <w:rPr>
                <w:rFonts w:cs="宋体"/>
                <w:color w:val="000000"/>
                <w:sz w:val="22"/>
                <w:szCs w:val="22"/>
              </w:rPr>
              <w:t>　</w:t>
            </w:r>
          </w:p>
        </w:tc>
        <w:tc>
          <w:tcPr>
            <w:tcW w:w="0" w:type="auto"/>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22"/>
                <w:szCs w:val="22"/>
              </w:rPr>
            </w:pPr>
            <w:r>
              <w:rPr>
                <w:rFonts w:cs="宋体"/>
                <w:color w:val="000000"/>
                <w:sz w:val="22"/>
                <w:szCs w:val="22"/>
              </w:rPr>
              <w:t xml:space="preserve">123,156.00 </w:t>
            </w:r>
          </w:p>
        </w:tc>
        <w:tc>
          <w:tcPr>
            <w:tcW w:w="0" w:type="auto"/>
            <w:tcBorders>
              <w:top w:val="nil"/>
              <w:left w:val="nil"/>
              <w:bottom w:val="single" w:color="auto" w:sz="4" w:space="0"/>
              <w:right w:val="nil"/>
            </w:tcBorders>
            <w:shd w:val="clear" w:color="auto" w:fill="auto"/>
            <w:noWrap/>
            <w:vAlign w:val="center"/>
          </w:tcPr>
          <w:p>
            <w:pPr>
              <w:rPr>
                <w:rFonts w:hint="default" w:cs="宋体"/>
                <w:color w:val="000000"/>
                <w:sz w:val="22"/>
                <w:szCs w:val="22"/>
              </w:rPr>
            </w:pPr>
            <w:r>
              <w:rPr>
                <w:rFonts w:cs="宋体"/>
                <w:color w:val="000000"/>
                <w:sz w:val="22"/>
                <w:szCs w:val="22"/>
              </w:rPr>
              <w:t>　</w:t>
            </w:r>
          </w:p>
        </w:tc>
        <w:tc>
          <w:tcPr>
            <w:tcW w:w="0" w:type="auto"/>
            <w:tcBorders>
              <w:top w:val="nil"/>
              <w:left w:val="nil"/>
              <w:bottom w:val="single" w:color="auto" w:sz="4" w:space="0"/>
              <w:right w:val="single" w:color="auto" w:sz="4" w:space="0"/>
            </w:tcBorders>
            <w:shd w:val="clear" w:color="auto" w:fill="auto"/>
            <w:vAlign w:val="center"/>
          </w:tcPr>
          <w:p>
            <w:pPr>
              <w:jc w:val="right"/>
              <w:rPr>
                <w:rFonts w:hint="default" w:cs="宋体"/>
                <w:color w:val="000000"/>
                <w:sz w:val="22"/>
                <w:szCs w:val="22"/>
              </w:rPr>
            </w:pPr>
            <w:r>
              <w:rPr>
                <w:rFonts w:cs="宋体"/>
                <w:color w:val="000000"/>
                <w:sz w:val="22"/>
                <w:szCs w:val="22"/>
              </w:rPr>
              <w:t xml:space="preserve">246,671.00 </w:t>
            </w:r>
          </w:p>
        </w:tc>
        <w:tc>
          <w:tcPr>
            <w:tcW w:w="0" w:type="auto"/>
            <w:tcBorders>
              <w:top w:val="nil"/>
              <w:left w:val="nil"/>
              <w:bottom w:val="single" w:color="auto" w:sz="4" w:space="0"/>
              <w:right w:val="nil"/>
            </w:tcBorders>
            <w:shd w:val="clear" w:color="auto" w:fill="auto"/>
            <w:noWrap/>
            <w:vAlign w:val="center"/>
          </w:tcPr>
          <w:p>
            <w:pPr>
              <w:rPr>
                <w:rFonts w:hint="default" w:cs="宋体"/>
                <w:color w:val="000000"/>
                <w:sz w:val="22"/>
                <w:szCs w:val="22"/>
              </w:rPr>
            </w:pPr>
            <w:r>
              <w:rPr>
                <w:rFonts w:cs="宋体"/>
                <w:color w:val="000000"/>
                <w:sz w:val="22"/>
                <w:szCs w:val="22"/>
              </w:rPr>
              <w:t>　</w:t>
            </w:r>
          </w:p>
        </w:tc>
        <w:tc>
          <w:tcPr>
            <w:tcW w:w="0" w:type="auto"/>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22"/>
                <w:szCs w:val="22"/>
              </w:rPr>
            </w:pPr>
            <w:r>
              <w:rPr>
                <w:rFonts w:cs="宋体"/>
                <w:color w:val="000000"/>
                <w:sz w:val="22"/>
                <w:szCs w:val="22"/>
              </w:rPr>
              <w:t xml:space="preserve">246,671.00 </w:t>
            </w:r>
          </w:p>
        </w:tc>
        <w:tc>
          <w:tcPr>
            <w:tcW w:w="0" w:type="auto"/>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22"/>
                <w:szCs w:val="22"/>
              </w:rPr>
            </w:pPr>
            <w:r>
              <w:rPr>
                <w:rFonts w:cs="宋体"/>
                <w:color w:val="000000"/>
                <w:sz w:val="22"/>
                <w:szCs w:val="22"/>
              </w:rPr>
              <w:t>100</w:t>
            </w:r>
          </w:p>
        </w:tc>
        <w:tc>
          <w:tcPr>
            <w:tcW w:w="0" w:type="auto"/>
            <w:tcBorders>
              <w:top w:val="nil"/>
              <w:left w:val="nil"/>
              <w:bottom w:val="single" w:color="auto" w:sz="4" w:space="0"/>
              <w:right w:val="single" w:color="auto" w:sz="4" w:space="0"/>
            </w:tcBorders>
            <w:shd w:val="clear" w:color="auto" w:fill="auto"/>
            <w:noWrap/>
            <w:vAlign w:val="center"/>
          </w:tcPr>
          <w:p>
            <w:pPr>
              <w:rPr>
                <w:rFonts w:hint="default" w:cs="宋体"/>
                <w:color w:val="000000"/>
                <w:sz w:val="22"/>
                <w:szCs w:val="22"/>
              </w:rPr>
            </w:pPr>
            <w:r>
              <w:rPr>
                <w:rFonts w:cs="宋体"/>
                <w:color w:val="000000"/>
                <w:sz w:val="22"/>
                <w:szCs w:val="22"/>
              </w:rPr>
              <w:t>10.00</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sz w:val="22"/>
                <w:szCs w:val="22"/>
              </w:rPr>
            </w:pPr>
            <w:r>
              <w:rPr>
                <w:rFonts w:cs="宋体"/>
                <w:sz w:val="22"/>
                <w:szCs w:val="22"/>
              </w:rPr>
              <w:t xml:space="preserve">10.00 </w:t>
            </w:r>
          </w:p>
        </w:tc>
      </w:tr>
      <w:tr>
        <w:tblPrEx>
          <w:tblCellMar>
            <w:top w:w="0" w:type="dxa"/>
            <w:left w:w="108" w:type="dxa"/>
            <w:bottom w:w="0" w:type="dxa"/>
            <w:right w:w="108" w:type="dxa"/>
          </w:tblCellMar>
        </w:tblPrEx>
        <w:trPr>
          <w:trHeight w:val="499" w:hRule="atLeast"/>
        </w:trPr>
        <w:tc>
          <w:tcPr>
            <w:tcW w:w="0" w:type="auto"/>
            <w:tcBorders>
              <w:top w:val="nil"/>
              <w:left w:val="single" w:color="auto" w:sz="4" w:space="0"/>
              <w:bottom w:val="single" w:color="auto" w:sz="4" w:space="0"/>
              <w:right w:val="nil"/>
            </w:tcBorders>
            <w:shd w:val="clear" w:color="auto" w:fill="auto"/>
            <w:vAlign w:val="center"/>
          </w:tcPr>
          <w:p>
            <w:pPr>
              <w:rPr>
                <w:rFonts w:hint="default" w:cs="宋体"/>
                <w:color w:val="000000"/>
                <w:sz w:val="22"/>
                <w:szCs w:val="22"/>
              </w:rPr>
            </w:pPr>
            <w:r>
              <w:rPr>
                <w:rFonts w:cs="宋体"/>
                <w:color w:val="000000"/>
                <w:sz w:val="22"/>
                <w:szCs w:val="22"/>
              </w:rPr>
              <w:t>一般公共预算</w:t>
            </w:r>
          </w:p>
        </w:tc>
        <w:tc>
          <w:tcPr>
            <w:tcW w:w="0" w:type="auto"/>
            <w:tcBorders>
              <w:top w:val="nil"/>
              <w:left w:val="nil"/>
              <w:bottom w:val="single" w:color="auto" w:sz="4" w:space="0"/>
              <w:right w:val="single" w:color="auto" w:sz="4" w:space="0"/>
            </w:tcBorders>
            <w:shd w:val="clear" w:color="auto" w:fill="auto"/>
            <w:noWrap/>
            <w:vAlign w:val="center"/>
          </w:tcPr>
          <w:p>
            <w:pPr>
              <w:rPr>
                <w:rFonts w:hint="default" w:cs="宋体"/>
                <w:color w:val="000000"/>
                <w:sz w:val="22"/>
                <w:szCs w:val="22"/>
              </w:rPr>
            </w:pPr>
            <w:r>
              <w:rPr>
                <w:rFonts w:cs="宋体"/>
                <w:color w:val="000000"/>
                <w:sz w:val="22"/>
                <w:szCs w:val="22"/>
              </w:rPr>
              <w:t>　</w:t>
            </w:r>
          </w:p>
        </w:tc>
        <w:tc>
          <w:tcPr>
            <w:tcW w:w="0" w:type="auto"/>
            <w:tcBorders>
              <w:top w:val="nil"/>
              <w:left w:val="nil"/>
              <w:bottom w:val="single" w:color="auto" w:sz="4" w:space="0"/>
              <w:right w:val="nil"/>
            </w:tcBorders>
            <w:shd w:val="clear" w:color="auto" w:fill="auto"/>
            <w:noWrap/>
            <w:vAlign w:val="center"/>
          </w:tcPr>
          <w:p>
            <w:pPr>
              <w:rPr>
                <w:rFonts w:hint="default" w:cs="宋体"/>
                <w:color w:val="000000"/>
                <w:sz w:val="22"/>
                <w:szCs w:val="22"/>
              </w:rPr>
            </w:pPr>
            <w:r>
              <w:rPr>
                <w:rFonts w:cs="宋体"/>
                <w:color w:val="000000"/>
                <w:sz w:val="22"/>
                <w:szCs w:val="22"/>
              </w:rPr>
              <w:t>　</w:t>
            </w:r>
          </w:p>
        </w:tc>
        <w:tc>
          <w:tcPr>
            <w:tcW w:w="0" w:type="auto"/>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22"/>
                <w:szCs w:val="22"/>
              </w:rPr>
            </w:pPr>
            <w:r>
              <w:rPr>
                <w:rFonts w:cs="宋体"/>
                <w:color w:val="000000"/>
                <w:sz w:val="22"/>
                <w:szCs w:val="22"/>
              </w:rPr>
              <w:t xml:space="preserve">123,156.00 </w:t>
            </w:r>
          </w:p>
        </w:tc>
        <w:tc>
          <w:tcPr>
            <w:tcW w:w="0" w:type="auto"/>
            <w:tcBorders>
              <w:top w:val="nil"/>
              <w:left w:val="nil"/>
              <w:bottom w:val="single" w:color="auto" w:sz="4" w:space="0"/>
              <w:right w:val="nil"/>
            </w:tcBorders>
            <w:shd w:val="clear" w:color="auto" w:fill="auto"/>
            <w:noWrap/>
            <w:vAlign w:val="center"/>
          </w:tcPr>
          <w:p>
            <w:pPr>
              <w:rPr>
                <w:rFonts w:hint="default" w:cs="宋体"/>
                <w:color w:val="000000"/>
                <w:sz w:val="22"/>
                <w:szCs w:val="22"/>
              </w:rPr>
            </w:pPr>
            <w:r>
              <w:rPr>
                <w:rFonts w:cs="宋体"/>
                <w:color w:val="000000"/>
                <w:sz w:val="22"/>
                <w:szCs w:val="22"/>
              </w:rPr>
              <w:t>　</w:t>
            </w:r>
          </w:p>
        </w:tc>
        <w:tc>
          <w:tcPr>
            <w:tcW w:w="0" w:type="auto"/>
            <w:tcBorders>
              <w:top w:val="nil"/>
              <w:left w:val="nil"/>
              <w:bottom w:val="single" w:color="auto" w:sz="4" w:space="0"/>
              <w:right w:val="single" w:color="auto" w:sz="4" w:space="0"/>
            </w:tcBorders>
            <w:shd w:val="clear" w:color="auto" w:fill="auto"/>
            <w:vAlign w:val="center"/>
          </w:tcPr>
          <w:p>
            <w:pPr>
              <w:jc w:val="right"/>
              <w:rPr>
                <w:rFonts w:hint="default" w:cs="宋体"/>
                <w:color w:val="000000"/>
                <w:sz w:val="22"/>
                <w:szCs w:val="22"/>
              </w:rPr>
            </w:pPr>
            <w:r>
              <w:rPr>
                <w:rFonts w:cs="宋体"/>
                <w:color w:val="000000"/>
                <w:sz w:val="22"/>
                <w:szCs w:val="22"/>
              </w:rPr>
              <w:t xml:space="preserve">246,671.00 </w:t>
            </w:r>
          </w:p>
        </w:tc>
        <w:tc>
          <w:tcPr>
            <w:tcW w:w="0" w:type="auto"/>
            <w:tcBorders>
              <w:top w:val="nil"/>
              <w:left w:val="nil"/>
              <w:bottom w:val="single" w:color="auto" w:sz="4" w:space="0"/>
              <w:right w:val="nil"/>
            </w:tcBorders>
            <w:shd w:val="clear" w:color="auto" w:fill="auto"/>
            <w:noWrap/>
            <w:vAlign w:val="center"/>
          </w:tcPr>
          <w:p>
            <w:pPr>
              <w:rPr>
                <w:rFonts w:hint="default" w:cs="宋体"/>
                <w:color w:val="000000"/>
                <w:sz w:val="22"/>
                <w:szCs w:val="22"/>
              </w:rPr>
            </w:pPr>
            <w:r>
              <w:rPr>
                <w:rFonts w:cs="宋体"/>
                <w:color w:val="000000"/>
                <w:sz w:val="22"/>
                <w:szCs w:val="22"/>
              </w:rPr>
              <w:t>　</w:t>
            </w:r>
          </w:p>
        </w:tc>
        <w:tc>
          <w:tcPr>
            <w:tcW w:w="0" w:type="auto"/>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22"/>
                <w:szCs w:val="22"/>
              </w:rPr>
            </w:pPr>
            <w:r>
              <w:rPr>
                <w:rFonts w:cs="宋体"/>
                <w:color w:val="000000"/>
                <w:sz w:val="22"/>
                <w:szCs w:val="22"/>
              </w:rPr>
              <w:t xml:space="preserve">246,671.00 </w:t>
            </w:r>
          </w:p>
        </w:tc>
        <w:tc>
          <w:tcPr>
            <w:tcW w:w="0" w:type="auto"/>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22"/>
                <w:szCs w:val="22"/>
              </w:rPr>
            </w:pPr>
            <w:r>
              <w:rPr>
                <w:rFonts w:cs="宋体"/>
                <w:color w:val="000000"/>
                <w:sz w:val="22"/>
                <w:szCs w:val="22"/>
              </w:rPr>
              <w:t>100</w:t>
            </w:r>
          </w:p>
        </w:tc>
        <w:tc>
          <w:tcPr>
            <w:tcW w:w="0" w:type="auto"/>
            <w:tcBorders>
              <w:top w:val="nil"/>
              <w:left w:val="nil"/>
              <w:bottom w:val="single" w:color="auto" w:sz="4" w:space="0"/>
              <w:right w:val="single" w:color="auto" w:sz="4" w:space="0"/>
            </w:tcBorders>
            <w:shd w:val="clear" w:color="auto" w:fill="auto"/>
            <w:noWrap/>
            <w:vAlign w:val="center"/>
          </w:tcPr>
          <w:p>
            <w:pPr>
              <w:rPr>
                <w:rFonts w:hint="default" w:cs="宋体"/>
                <w:color w:val="000000"/>
                <w:sz w:val="22"/>
                <w:szCs w:val="22"/>
              </w:rPr>
            </w:pPr>
            <w:r>
              <w:rPr>
                <w:rFonts w:cs="宋体"/>
                <w:color w:val="000000"/>
                <w:sz w:val="22"/>
                <w:szCs w:val="22"/>
              </w:rPr>
              <w:t>　</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sz w:val="22"/>
                <w:szCs w:val="22"/>
              </w:rPr>
            </w:pPr>
            <w:r>
              <w:rPr>
                <w:rFonts w:cs="宋体"/>
                <w:sz w:val="22"/>
                <w:szCs w:val="22"/>
              </w:rPr>
              <w:t>　</w:t>
            </w:r>
          </w:p>
        </w:tc>
      </w:tr>
      <w:tr>
        <w:tblPrEx>
          <w:tblCellMar>
            <w:top w:w="0" w:type="dxa"/>
            <w:left w:w="108" w:type="dxa"/>
            <w:bottom w:w="0" w:type="dxa"/>
            <w:right w:w="108" w:type="dxa"/>
          </w:tblCellMar>
        </w:tblPrEx>
        <w:trPr>
          <w:trHeight w:val="600" w:hRule="atLeast"/>
        </w:trPr>
        <w:tc>
          <w:tcPr>
            <w:tcW w:w="0" w:type="auto"/>
            <w:gridSpan w:val="11"/>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default" w:ascii="微软雅黑" w:hAnsi="微软雅黑" w:eastAsia="微软雅黑" w:cs="宋体"/>
                <w:b/>
                <w:bCs/>
                <w:color w:val="7F7F7F"/>
                <w:sz w:val="28"/>
                <w:szCs w:val="28"/>
              </w:rPr>
            </w:pPr>
            <w:r>
              <w:rPr>
                <w:rFonts w:ascii="微软雅黑" w:hAnsi="微软雅黑" w:eastAsia="微软雅黑" w:cs="宋体"/>
                <w:b/>
                <w:bCs/>
                <w:color w:val="7F7F7F"/>
                <w:sz w:val="28"/>
                <w:szCs w:val="28"/>
              </w:rPr>
              <w:t>绩效目标</w:t>
            </w:r>
          </w:p>
        </w:tc>
      </w:tr>
      <w:tr>
        <w:tblPrEx>
          <w:tblCellMar>
            <w:top w:w="0" w:type="dxa"/>
            <w:left w:w="108" w:type="dxa"/>
            <w:bottom w:w="0" w:type="dxa"/>
            <w:right w:w="108" w:type="dxa"/>
          </w:tblCellMar>
        </w:tblPrEx>
        <w:trPr>
          <w:trHeight w:val="499" w:hRule="atLeast"/>
        </w:trPr>
        <w:tc>
          <w:tcPr>
            <w:tcW w:w="0" w:type="auto"/>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default" w:cs="宋体"/>
                <w:b/>
                <w:bCs/>
                <w:color w:val="000000"/>
                <w:sz w:val="22"/>
                <w:szCs w:val="22"/>
              </w:rPr>
            </w:pPr>
            <w:r>
              <w:rPr>
                <w:rFonts w:cs="宋体"/>
                <w:b/>
                <w:bCs/>
                <w:color w:val="000000"/>
                <w:sz w:val="22"/>
                <w:szCs w:val="22"/>
              </w:rPr>
              <w:t>年初绩效目标</w:t>
            </w:r>
          </w:p>
        </w:tc>
        <w:tc>
          <w:tcPr>
            <w:tcW w:w="0" w:type="auto"/>
            <w:gridSpan w:val="4"/>
            <w:tcBorders>
              <w:top w:val="single" w:color="auto" w:sz="4" w:space="0"/>
              <w:left w:val="nil"/>
              <w:bottom w:val="single" w:color="auto" w:sz="4" w:space="0"/>
              <w:right w:val="single" w:color="auto" w:sz="4" w:space="0"/>
            </w:tcBorders>
            <w:shd w:val="clear" w:color="auto" w:fill="auto"/>
            <w:noWrap/>
            <w:vAlign w:val="center"/>
          </w:tcPr>
          <w:p>
            <w:pPr>
              <w:jc w:val="center"/>
              <w:rPr>
                <w:rFonts w:hint="default" w:cs="宋体"/>
                <w:b/>
                <w:bCs/>
                <w:color w:val="000000"/>
                <w:sz w:val="22"/>
                <w:szCs w:val="22"/>
              </w:rPr>
            </w:pPr>
            <w:r>
              <w:rPr>
                <w:rFonts w:cs="宋体"/>
                <w:b/>
                <w:bCs/>
                <w:color w:val="000000"/>
                <w:sz w:val="22"/>
                <w:szCs w:val="22"/>
              </w:rPr>
              <w:t>全年（调整）绩效目标</w:t>
            </w:r>
          </w:p>
        </w:tc>
        <w:tc>
          <w:tcPr>
            <w:tcW w:w="0" w:type="auto"/>
            <w:gridSpan w:val="3"/>
            <w:tcBorders>
              <w:top w:val="single" w:color="auto" w:sz="4" w:space="0"/>
              <w:left w:val="nil"/>
              <w:bottom w:val="single" w:color="auto" w:sz="4" w:space="0"/>
              <w:right w:val="single" w:color="auto" w:sz="4" w:space="0"/>
            </w:tcBorders>
            <w:shd w:val="clear" w:color="auto" w:fill="auto"/>
            <w:noWrap/>
            <w:vAlign w:val="center"/>
          </w:tcPr>
          <w:p>
            <w:pPr>
              <w:jc w:val="center"/>
              <w:rPr>
                <w:rFonts w:hint="default" w:cs="宋体"/>
                <w:b/>
                <w:bCs/>
                <w:color w:val="000000"/>
                <w:sz w:val="22"/>
                <w:szCs w:val="22"/>
              </w:rPr>
            </w:pPr>
            <w:r>
              <w:rPr>
                <w:rFonts w:cs="宋体"/>
                <w:b/>
                <w:bCs/>
                <w:color w:val="000000"/>
                <w:sz w:val="22"/>
                <w:szCs w:val="22"/>
              </w:rPr>
              <w:t>全年目标实际完成情况</w:t>
            </w:r>
          </w:p>
        </w:tc>
      </w:tr>
      <w:tr>
        <w:tblPrEx>
          <w:tblCellMar>
            <w:top w:w="0" w:type="dxa"/>
            <w:left w:w="108" w:type="dxa"/>
            <w:bottom w:w="0" w:type="dxa"/>
            <w:right w:w="108" w:type="dxa"/>
          </w:tblCellMar>
        </w:tblPrEx>
        <w:trPr>
          <w:trHeight w:val="1602" w:hRule="atLeast"/>
        </w:trPr>
        <w:tc>
          <w:tcPr>
            <w:tcW w:w="0" w:type="auto"/>
            <w:gridSpan w:val="4"/>
            <w:tcBorders>
              <w:top w:val="single" w:color="auto" w:sz="4" w:space="0"/>
              <w:left w:val="single" w:color="auto" w:sz="4" w:space="0"/>
              <w:bottom w:val="single" w:color="auto" w:sz="4" w:space="0"/>
              <w:right w:val="single" w:color="auto" w:sz="4" w:space="0"/>
            </w:tcBorders>
            <w:shd w:val="clear" w:color="auto" w:fill="auto"/>
          </w:tcPr>
          <w:p>
            <w:pPr>
              <w:rPr>
                <w:rFonts w:hint="default" w:cs="宋体"/>
                <w:color w:val="000000"/>
                <w:sz w:val="22"/>
                <w:szCs w:val="22"/>
              </w:rPr>
            </w:pPr>
            <w:r>
              <w:rPr>
                <w:rFonts w:cs="宋体"/>
                <w:color w:val="000000"/>
                <w:sz w:val="22"/>
                <w:szCs w:val="22"/>
              </w:rPr>
              <w:t>离任村干部生活补贴经费，保障离任村干部生活质量。</w:t>
            </w:r>
          </w:p>
        </w:tc>
        <w:tc>
          <w:tcPr>
            <w:tcW w:w="0" w:type="auto"/>
            <w:gridSpan w:val="4"/>
            <w:tcBorders>
              <w:top w:val="single" w:color="auto" w:sz="4" w:space="0"/>
              <w:left w:val="nil"/>
              <w:bottom w:val="single" w:color="auto" w:sz="4" w:space="0"/>
              <w:right w:val="single" w:color="auto" w:sz="4" w:space="0"/>
            </w:tcBorders>
            <w:shd w:val="clear" w:color="auto" w:fill="auto"/>
          </w:tcPr>
          <w:p>
            <w:pPr>
              <w:rPr>
                <w:rFonts w:hint="default" w:cs="宋体"/>
                <w:color w:val="000000"/>
                <w:sz w:val="22"/>
                <w:szCs w:val="22"/>
              </w:rPr>
            </w:pPr>
            <w:r>
              <w:rPr>
                <w:rFonts w:cs="宋体"/>
                <w:color w:val="000000"/>
                <w:sz w:val="22"/>
                <w:szCs w:val="22"/>
              </w:rPr>
              <w:t>　</w:t>
            </w:r>
          </w:p>
        </w:tc>
        <w:tc>
          <w:tcPr>
            <w:tcW w:w="0" w:type="auto"/>
            <w:gridSpan w:val="3"/>
            <w:tcBorders>
              <w:top w:val="single" w:color="auto" w:sz="4" w:space="0"/>
              <w:left w:val="nil"/>
              <w:bottom w:val="single" w:color="auto" w:sz="4" w:space="0"/>
              <w:right w:val="single" w:color="auto" w:sz="4" w:space="0"/>
            </w:tcBorders>
            <w:shd w:val="clear" w:color="auto" w:fill="auto"/>
          </w:tcPr>
          <w:p>
            <w:pPr>
              <w:rPr>
                <w:rFonts w:hint="default" w:cs="宋体"/>
                <w:color w:val="000000"/>
                <w:sz w:val="22"/>
                <w:szCs w:val="22"/>
              </w:rPr>
            </w:pPr>
            <w:r>
              <w:rPr>
                <w:rFonts w:cs="宋体"/>
                <w:color w:val="000000"/>
                <w:sz w:val="22"/>
                <w:szCs w:val="22"/>
              </w:rPr>
              <w:t>已完成。</w:t>
            </w:r>
          </w:p>
        </w:tc>
      </w:tr>
      <w:tr>
        <w:tblPrEx>
          <w:tblCellMar>
            <w:top w:w="0" w:type="dxa"/>
            <w:left w:w="108" w:type="dxa"/>
            <w:bottom w:w="0" w:type="dxa"/>
            <w:right w:w="108" w:type="dxa"/>
          </w:tblCellMar>
        </w:tblPrEx>
        <w:trPr>
          <w:trHeight w:val="600" w:hRule="atLeast"/>
        </w:trPr>
        <w:tc>
          <w:tcPr>
            <w:tcW w:w="0" w:type="auto"/>
            <w:gridSpan w:val="11"/>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default" w:ascii="微软雅黑" w:hAnsi="微软雅黑" w:eastAsia="微软雅黑" w:cs="宋体"/>
                <w:b/>
                <w:bCs/>
                <w:color w:val="7F7F7F"/>
                <w:sz w:val="28"/>
                <w:szCs w:val="28"/>
              </w:rPr>
            </w:pPr>
            <w:r>
              <w:rPr>
                <w:rFonts w:ascii="微软雅黑" w:hAnsi="微软雅黑" w:eastAsia="微软雅黑" w:cs="宋体"/>
                <w:b/>
                <w:bCs/>
                <w:color w:val="7F7F7F"/>
                <w:sz w:val="28"/>
                <w:szCs w:val="28"/>
              </w:rPr>
              <w:t>绩效指标</w:t>
            </w:r>
          </w:p>
        </w:tc>
      </w:tr>
      <w:tr>
        <w:tblPrEx>
          <w:tblCellMar>
            <w:top w:w="0" w:type="dxa"/>
            <w:left w:w="108" w:type="dxa"/>
            <w:bottom w:w="0" w:type="dxa"/>
            <w:right w:w="108" w:type="dxa"/>
          </w:tblCellMar>
        </w:tblPrEx>
        <w:trPr>
          <w:trHeight w:val="499"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pPr>
              <w:jc w:val="center"/>
              <w:rPr>
                <w:rFonts w:hint="default" w:cs="宋体"/>
                <w:b/>
                <w:bCs/>
                <w:color w:val="000000"/>
                <w:sz w:val="22"/>
                <w:szCs w:val="22"/>
              </w:rPr>
            </w:pPr>
            <w:r>
              <w:rPr>
                <w:rFonts w:cs="宋体"/>
                <w:b/>
                <w:bCs/>
                <w:color w:val="000000"/>
                <w:sz w:val="22"/>
                <w:szCs w:val="22"/>
              </w:rPr>
              <w:t>指标名称</w:t>
            </w:r>
          </w:p>
        </w:tc>
        <w:tc>
          <w:tcPr>
            <w:tcW w:w="0" w:type="auto"/>
            <w:tcBorders>
              <w:top w:val="nil"/>
              <w:left w:val="nil"/>
              <w:bottom w:val="single" w:color="auto" w:sz="4" w:space="0"/>
              <w:right w:val="single" w:color="auto" w:sz="4" w:space="0"/>
            </w:tcBorders>
            <w:shd w:val="clear" w:color="auto" w:fill="auto"/>
            <w:noWrap/>
            <w:vAlign w:val="center"/>
          </w:tcPr>
          <w:p>
            <w:pPr>
              <w:jc w:val="center"/>
              <w:rPr>
                <w:rFonts w:hint="default" w:cs="宋体"/>
                <w:b/>
                <w:bCs/>
                <w:color w:val="000000"/>
                <w:sz w:val="22"/>
                <w:szCs w:val="22"/>
              </w:rPr>
            </w:pPr>
            <w:r>
              <w:rPr>
                <w:rFonts w:cs="宋体"/>
                <w:b/>
                <w:bCs/>
                <w:color w:val="000000"/>
                <w:sz w:val="22"/>
                <w:szCs w:val="22"/>
              </w:rPr>
              <w:t>计量单位</w:t>
            </w:r>
          </w:p>
        </w:tc>
        <w:tc>
          <w:tcPr>
            <w:tcW w:w="0" w:type="auto"/>
            <w:tcBorders>
              <w:top w:val="nil"/>
              <w:left w:val="nil"/>
              <w:bottom w:val="single" w:color="auto" w:sz="4" w:space="0"/>
              <w:right w:val="single" w:color="auto" w:sz="4" w:space="0"/>
            </w:tcBorders>
            <w:shd w:val="clear" w:color="auto" w:fill="auto"/>
            <w:noWrap/>
            <w:vAlign w:val="center"/>
          </w:tcPr>
          <w:p>
            <w:pPr>
              <w:jc w:val="center"/>
              <w:rPr>
                <w:rFonts w:hint="default" w:cs="宋体"/>
                <w:b/>
                <w:bCs/>
                <w:color w:val="000000"/>
                <w:sz w:val="22"/>
                <w:szCs w:val="22"/>
              </w:rPr>
            </w:pPr>
            <w:r>
              <w:rPr>
                <w:rFonts w:cs="宋体"/>
                <w:b/>
                <w:bCs/>
                <w:color w:val="000000"/>
                <w:sz w:val="22"/>
                <w:szCs w:val="22"/>
              </w:rPr>
              <w:t>指标性质</w:t>
            </w:r>
          </w:p>
        </w:tc>
        <w:tc>
          <w:tcPr>
            <w:tcW w:w="0" w:type="auto"/>
            <w:tcBorders>
              <w:top w:val="nil"/>
              <w:left w:val="nil"/>
              <w:bottom w:val="single" w:color="auto" w:sz="4" w:space="0"/>
              <w:right w:val="single" w:color="auto" w:sz="4" w:space="0"/>
            </w:tcBorders>
            <w:shd w:val="clear" w:color="auto" w:fill="auto"/>
            <w:noWrap/>
            <w:vAlign w:val="center"/>
          </w:tcPr>
          <w:p>
            <w:pPr>
              <w:jc w:val="center"/>
              <w:rPr>
                <w:rFonts w:hint="default" w:cs="宋体"/>
                <w:b/>
                <w:bCs/>
                <w:color w:val="000000"/>
                <w:sz w:val="22"/>
                <w:szCs w:val="22"/>
              </w:rPr>
            </w:pPr>
            <w:r>
              <w:rPr>
                <w:rFonts w:cs="宋体"/>
                <w:b/>
                <w:bCs/>
                <w:color w:val="000000"/>
                <w:sz w:val="22"/>
                <w:szCs w:val="22"/>
              </w:rPr>
              <w:t>指标值</w:t>
            </w:r>
          </w:p>
        </w:tc>
        <w:tc>
          <w:tcPr>
            <w:tcW w:w="0" w:type="auto"/>
            <w:tcBorders>
              <w:top w:val="nil"/>
              <w:left w:val="nil"/>
              <w:bottom w:val="single" w:color="auto" w:sz="4" w:space="0"/>
              <w:right w:val="single" w:color="auto" w:sz="4" w:space="0"/>
            </w:tcBorders>
            <w:shd w:val="clear" w:color="auto" w:fill="auto"/>
            <w:noWrap/>
            <w:vAlign w:val="center"/>
          </w:tcPr>
          <w:p>
            <w:pPr>
              <w:jc w:val="center"/>
              <w:rPr>
                <w:rFonts w:hint="default" w:cs="宋体"/>
                <w:b/>
                <w:bCs/>
                <w:color w:val="000000"/>
                <w:sz w:val="22"/>
                <w:szCs w:val="22"/>
              </w:rPr>
            </w:pPr>
            <w:r>
              <w:rPr>
                <w:rFonts w:cs="宋体"/>
                <w:b/>
                <w:bCs/>
                <w:color w:val="000000"/>
                <w:sz w:val="22"/>
                <w:szCs w:val="22"/>
              </w:rPr>
              <w:t>全年完成值</w:t>
            </w:r>
          </w:p>
        </w:tc>
        <w:tc>
          <w:tcPr>
            <w:tcW w:w="0" w:type="auto"/>
            <w:tcBorders>
              <w:top w:val="nil"/>
              <w:left w:val="nil"/>
              <w:bottom w:val="single" w:color="auto" w:sz="4" w:space="0"/>
              <w:right w:val="single" w:color="auto" w:sz="4" w:space="0"/>
            </w:tcBorders>
            <w:shd w:val="clear" w:color="auto" w:fill="auto"/>
            <w:noWrap/>
            <w:vAlign w:val="center"/>
          </w:tcPr>
          <w:p>
            <w:pPr>
              <w:jc w:val="center"/>
              <w:rPr>
                <w:rFonts w:hint="default" w:cs="宋体"/>
                <w:b/>
                <w:bCs/>
                <w:color w:val="000000"/>
                <w:sz w:val="22"/>
                <w:szCs w:val="22"/>
              </w:rPr>
            </w:pPr>
            <w:r>
              <w:rPr>
                <w:rFonts w:cs="宋体"/>
                <w:b/>
                <w:bCs/>
                <w:color w:val="000000"/>
                <w:sz w:val="22"/>
                <w:szCs w:val="22"/>
              </w:rPr>
              <w:t>偏离度（%）</w:t>
            </w:r>
          </w:p>
        </w:tc>
        <w:tc>
          <w:tcPr>
            <w:tcW w:w="0" w:type="auto"/>
            <w:tcBorders>
              <w:top w:val="nil"/>
              <w:left w:val="nil"/>
              <w:bottom w:val="single" w:color="auto" w:sz="4" w:space="0"/>
              <w:right w:val="single" w:color="auto" w:sz="4" w:space="0"/>
            </w:tcBorders>
            <w:shd w:val="clear" w:color="auto" w:fill="auto"/>
            <w:noWrap/>
            <w:vAlign w:val="center"/>
          </w:tcPr>
          <w:p>
            <w:pPr>
              <w:jc w:val="center"/>
              <w:rPr>
                <w:rFonts w:hint="default" w:cs="宋体"/>
                <w:b/>
                <w:bCs/>
                <w:color w:val="000000"/>
                <w:sz w:val="22"/>
                <w:szCs w:val="22"/>
              </w:rPr>
            </w:pPr>
            <w:r>
              <w:rPr>
                <w:rFonts w:cs="宋体"/>
                <w:b/>
                <w:bCs/>
                <w:color w:val="000000"/>
                <w:sz w:val="22"/>
                <w:szCs w:val="22"/>
              </w:rPr>
              <w:t>得分系数（%）</w:t>
            </w:r>
          </w:p>
        </w:tc>
        <w:tc>
          <w:tcPr>
            <w:tcW w:w="0" w:type="auto"/>
            <w:tcBorders>
              <w:top w:val="nil"/>
              <w:left w:val="nil"/>
              <w:bottom w:val="single" w:color="auto" w:sz="4" w:space="0"/>
              <w:right w:val="single" w:color="auto" w:sz="4" w:space="0"/>
            </w:tcBorders>
            <w:shd w:val="clear" w:color="auto" w:fill="auto"/>
            <w:noWrap/>
            <w:vAlign w:val="center"/>
          </w:tcPr>
          <w:p>
            <w:pPr>
              <w:jc w:val="center"/>
              <w:rPr>
                <w:rFonts w:hint="default" w:cs="宋体"/>
                <w:b/>
                <w:bCs/>
                <w:color w:val="000000"/>
                <w:sz w:val="22"/>
                <w:szCs w:val="22"/>
              </w:rPr>
            </w:pPr>
            <w:r>
              <w:rPr>
                <w:rFonts w:cs="宋体"/>
                <w:b/>
                <w:bCs/>
                <w:color w:val="000000"/>
                <w:sz w:val="22"/>
                <w:szCs w:val="22"/>
              </w:rPr>
              <w:t>指标权重</w:t>
            </w:r>
          </w:p>
        </w:tc>
        <w:tc>
          <w:tcPr>
            <w:tcW w:w="0" w:type="auto"/>
            <w:tcBorders>
              <w:top w:val="nil"/>
              <w:left w:val="nil"/>
              <w:bottom w:val="single" w:color="auto" w:sz="4" w:space="0"/>
              <w:right w:val="single" w:color="auto" w:sz="4" w:space="0"/>
            </w:tcBorders>
            <w:shd w:val="clear" w:color="auto" w:fill="auto"/>
            <w:noWrap/>
            <w:vAlign w:val="center"/>
          </w:tcPr>
          <w:p>
            <w:pPr>
              <w:jc w:val="center"/>
              <w:rPr>
                <w:rFonts w:hint="default" w:cs="宋体"/>
                <w:b/>
                <w:bCs/>
                <w:color w:val="000000"/>
                <w:sz w:val="22"/>
                <w:szCs w:val="22"/>
              </w:rPr>
            </w:pPr>
            <w:r>
              <w:rPr>
                <w:rFonts w:cs="宋体"/>
                <w:b/>
                <w:bCs/>
                <w:color w:val="000000"/>
                <w:sz w:val="22"/>
                <w:szCs w:val="22"/>
              </w:rPr>
              <w:t>指标得分</w:t>
            </w:r>
          </w:p>
        </w:tc>
        <w:tc>
          <w:tcPr>
            <w:tcW w:w="0" w:type="auto"/>
            <w:tcBorders>
              <w:top w:val="nil"/>
              <w:left w:val="nil"/>
              <w:bottom w:val="single" w:color="auto" w:sz="4" w:space="0"/>
              <w:right w:val="single" w:color="auto" w:sz="4" w:space="0"/>
            </w:tcBorders>
            <w:shd w:val="clear" w:color="auto" w:fill="auto"/>
            <w:noWrap/>
            <w:vAlign w:val="center"/>
          </w:tcPr>
          <w:p>
            <w:pPr>
              <w:jc w:val="center"/>
              <w:rPr>
                <w:rFonts w:hint="default" w:cs="宋体"/>
                <w:b/>
                <w:bCs/>
                <w:color w:val="000000"/>
                <w:sz w:val="22"/>
                <w:szCs w:val="22"/>
              </w:rPr>
            </w:pPr>
            <w:r>
              <w:rPr>
                <w:rFonts w:cs="宋体"/>
                <w:b/>
                <w:bCs/>
                <w:color w:val="000000"/>
                <w:sz w:val="22"/>
                <w:szCs w:val="22"/>
              </w:rPr>
              <w:t>是否核心指标</w:t>
            </w:r>
          </w:p>
        </w:tc>
        <w:tc>
          <w:tcPr>
            <w:tcW w:w="0" w:type="auto"/>
            <w:tcBorders>
              <w:top w:val="nil"/>
              <w:left w:val="nil"/>
              <w:bottom w:val="single" w:color="auto" w:sz="4" w:space="0"/>
              <w:right w:val="single" w:color="auto" w:sz="4" w:space="0"/>
            </w:tcBorders>
            <w:shd w:val="clear" w:color="auto" w:fill="auto"/>
            <w:noWrap/>
            <w:vAlign w:val="center"/>
          </w:tcPr>
          <w:p>
            <w:pPr>
              <w:jc w:val="center"/>
              <w:rPr>
                <w:rFonts w:hint="default" w:cs="宋体"/>
                <w:b/>
                <w:bCs/>
                <w:color w:val="000000"/>
                <w:sz w:val="22"/>
                <w:szCs w:val="22"/>
              </w:rPr>
            </w:pPr>
            <w:r>
              <w:rPr>
                <w:rFonts w:cs="宋体"/>
                <w:b/>
                <w:bCs/>
                <w:color w:val="000000"/>
                <w:sz w:val="22"/>
                <w:szCs w:val="22"/>
              </w:rPr>
              <w:t>说明</w:t>
            </w:r>
          </w:p>
        </w:tc>
      </w:tr>
      <w:tr>
        <w:tblPrEx>
          <w:tblCellMar>
            <w:top w:w="0" w:type="dxa"/>
            <w:left w:w="108" w:type="dxa"/>
            <w:bottom w:w="0" w:type="dxa"/>
            <w:right w:w="108" w:type="dxa"/>
          </w:tblCellMar>
        </w:tblPrEx>
        <w:trPr>
          <w:trHeight w:val="499"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离任村干部人数</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人</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87</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87</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0</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100</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15</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15</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否</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　</w:t>
            </w:r>
          </w:p>
        </w:tc>
      </w:tr>
      <w:tr>
        <w:tblPrEx>
          <w:tblCellMar>
            <w:top w:w="0" w:type="dxa"/>
            <w:left w:w="108" w:type="dxa"/>
            <w:bottom w:w="0" w:type="dxa"/>
            <w:right w:w="108" w:type="dxa"/>
          </w:tblCellMar>
        </w:tblPrEx>
        <w:trPr>
          <w:trHeight w:val="499"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资金支付覆盖率</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100</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100</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0</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100</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15</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15</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否</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　</w:t>
            </w:r>
          </w:p>
        </w:tc>
      </w:tr>
      <w:tr>
        <w:tblPrEx>
          <w:tblCellMar>
            <w:top w:w="0" w:type="dxa"/>
            <w:left w:w="108" w:type="dxa"/>
            <w:bottom w:w="0" w:type="dxa"/>
            <w:right w:w="108" w:type="dxa"/>
          </w:tblCellMar>
        </w:tblPrEx>
        <w:trPr>
          <w:trHeight w:val="499"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资金支付及时率</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100</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100</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0</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100</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15</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15</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否</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　</w:t>
            </w:r>
          </w:p>
        </w:tc>
      </w:tr>
      <w:tr>
        <w:tblPrEx>
          <w:tblCellMar>
            <w:top w:w="0" w:type="dxa"/>
            <w:left w:w="108" w:type="dxa"/>
            <w:bottom w:w="0" w:type="dxa"/>
            <w:right w:w="108" w:type="dxa"/>
          </w:tblCellMar>
        </w:tblPrEx>
        <w:trPr>
          <w:trHeight w:val="499"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离任村干部满意度</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100</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100</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0</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100</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20</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20</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否</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　</w:t>
            </w:r>
          </w:p>
        </w:tc>
      </w:tr>
      <w:tr>
        <w:tblPrEx>
          <w:tblCellMar>
            <w:top w:w="0" w:type="dxa"/>
            <w:left w:w="108" w:type="dxa"/>
            <w:bottom w:w="0" w:type="dxa"/>
            <w:right w:w="108" w:type="dxa"/>
          </w:tblCellMar>
        </w:tblPrEx>
        <w:trPr>
          <w:trHeight w:val="499"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服务对象满意度</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95</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95</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0</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100</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10</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10</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否</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　</w:t>
            </w:r>
          </w:p>
        </w:tc>
      </w:tr>
      <w:tr>
        <w:tblPrEx>
          <w:tblCellMar>
            <w:top w:w="0" w:type="dxa"/>
            <w:left w:w="108" w:type="dxa"/>
            <w:bottom w:w="0" w:type="dxa"/>
            <w:right w:w="108" w:type="dxa"/>
          </w:tblCellMar>
        </w:tblPrEx>
        <w:trPr>
          <w:trHeight w:val="499"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离任村干部生活补贴金额</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元</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123156</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123156</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0</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100</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15</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15</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否</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　</w:t>
            </w:r>
          </w:p>
        </w:tc>
      </w:tr>
    </w:tbl>
    <w:p>
      <w:pPr>
        <w:pStyle w:val="14"/>
        <w:spacing w:before="0" w:beforeAutospacing="0"/>
        <w:rPr>
          <w:rFonts w:ascii="方正仿宋_GBK" w:hAnsi="方正仿宋_GBK" w:eastAsia="方正仿宋_GBK" w:cs="方正仿宋_GBK"/>
          <w:sz w:val="28"/>
          <w:szCs w:val="28"/>
          <w:shd w:val="clear" w:color="auto" w:fill="FFFFFF"/>
        </w:rPr>
      </w:pPr>
    </w:p>
    <w:tbl>
      <w:tblPr>
        <w:tblStyle w:val="8"/>
        <w:tblW w:w="0" w:type="auto"/>
        <w:tblInd w:w="96" w:type="dxa"/>
        <w:tblLayout w:type="autofit"/>
        <w:tblCellMar>
          <w:top w:w="0" w:type="dxa"/>
          <w:left w:w="108" w:type="dxa"/>
          <w:bottom w:w="0" w:type="dxa"/>
          <w:right w:w="108" w:type="dxa"/>
        </w:tblCellMar>
      </w:tblPr>
      <w:tblGrid>
        <w:gridCol w:w="1211"/>
        <w:gridCol w:w="759"/>
        <w:gridCol w:w="759"/>
        <w:gridCol w:w="847"/>
        <w:gridCol w:w="669"/>
        <w:gridCol w:w="715"/>
        <w:gridCol w:w="802"/>
        <w:gridCol w:w="665"/>
        <w:gridCol w:w="577"/>
        <w:gridCol w:w="757"/>
        <w:gridCol w:w="674"/>
      </w:tblGrid>
      <w:tr>
        <w:tblPrEx>
          <w:tblCellMar>
            <w:top w:w="0" w:type="dxa"/>
            <w:left w:w="108" w:type="dxa"/>
            <w:bottom w:w="0" w:type="dxa"/>
            <w:right w:w="108" w:type="dxa"/>
          </w:tblCellMar>
        </w:tblPrEx>
        <w:trPr>
          <w:trHeight w:val="799" w:hRule="atLeast"/>
        </w:trPr>
        <w:tc>
          <w:tcPr>
            <w:tcW w:w="0" w:type="auto"/>
            <w:gridSpan w:val="11"/>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default" w:ascii="微软雅黑" w:hAnsi="微软雅黑" w:eastAsia="微软雅黑" w:cs="宋体"/>
                <w:b/>
                <w:bCs/>
                <w:color w:val="000000"/>
                <w:sz w:val="40"/>
                <w:szCs w:val="40"/>
              </w:rPr>
            </w:pPr>
            <w:r>
              <w:rPr>
                <w:rFonts w:ascii="微软雅黑" w:hAnsi="微软雅黑" w:eastAsia="微软雅黑" w:cs="宋体"/>
                <w:b/>
                <w:bCs/>
                <w:color w:val="000000"/>
                <w:sz w:val="40"/>
                <w:szCs w:val="40"/>
              </w:rPr>
              <w:t>2023年度二级项目绩效自评表</w:t>
            </w:r>
          </w:p>
        </w:tc>
      </w:tr>
      <w:tr>
        <w:tblPrEx>
          <w:tblCellMar>
            <w:top w:w="0" w:type="dxa"/>
            <w:left w:w="108" w:type="dxa"/>
            <w:bottom w:w="0" w:type="dxa"/>
            <w:right w:w="108" w:type="dxa"/>
          </w:tblCellMar>
        </w:tblPrEx>
        <w:trPr>
          <w:trHeight w:val="499" w:hRule="atLeast"/>
        </w:trPr>
        <w:tc>
          <w:tcPr>
            <w:tcW w:w="0" w:type="auto"/>
            <w:gridSpan w:val="11"/>
            <w:tcBorders>
              <w:top w:val="single" w:color="auto" w:sz="4" w:space="0"/>
              <w:left w:val="single" w:color="auto" w:sz="4" w:space="0"/>
              <w:bottom w:val="single" w:color="auto" w:sz="4" w:space="0"/>
              <w:right w:val="single" w:color="auto" w:sz="4" w:space="0"/>
            </w:tcBorders>
            <w:shd w:val="clear" w:color="auto" w:fill="auto"/>
            <w:noWrap/>
            <w:vAlign w:val="center"/>
          </w:tcPr>
          <w:p>
            <w:pPr>
              <w:ind w:firstLine="221" w:firstLineChars="100"/>
              <w:jc w:val="right"/>
              <w:rPr>
                <w:rFonts w:hint="default" w:cs="宋体"/>
                <w:b/>
                <w:bCs/>
                <w:color w:val="DA3232"/>
                <w:sz w:val="22"/>
                <w:szCs w:val="22"/>
              </w:rPr>
            </w:pPr>
            <w:r>
              <w:rPr>
                <w:rFonts w:cs="宋体"/>
                <w:b/>
                <w:bCs/>
                <w:color w:val="DA3232"/>
                <w:sz w:val="22"/>
                <w:szCs w:val="22"/>
              </w:rPr>
              <w:t>状态：绩效审核已审</w:t>
            </w:r>
          </w:p>
        </w:tc>
      </w:tr>
      <w:tr>
        <w:tblPrEx>
          <w:tblCellMar>
            <w:top w:w="0" w:type="dxa"/>
            <w:left w:w="108" w:type="dxa"/>
            <w:bottom w:w="0" w:type="dxa"/>
            <w:right w:w="108" w:type="dxa"/>
          </w:tblCellMar>
        </w:tblPrEx>
        <w:trPr>
          <w:trHeight w:val="499"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pPr>
              <w:jc w:val="right"/>
              <w:rPr>
                <w:rFonts w:hint="default" w:cs="宋体"/>
                <w:b/>
                <w:bCs/>
                <w:color w:val="000000"/>
                <w:sz w:val="22"/>
                <w:szCs w:val="22"/>
              </w:rPr>
            </w:pPr>
            <w:r>
              <w:rPr>
                <w:rFonts w:cs="宋体"/>
                <w:b/>
                <w:bCs/>
                <w:color w:val="000000"/>
                <w:sz w:val="22"/>
                <w:szCs w:val="22"/>
              </w:rPr>
              <w:t>项目名称：</w:t>
            </w:r>
          </w:p>
        </w:tc>
        <w:tc>
          <w:tcPr>
            <w:tcW w:w="0" w:type="auto"/>
            <w:gridSpan w:val="2"/>
            <w:tcBorders>
              <w:top w:val="single" w:color="auto" w:sz="4" w:space="0"/>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老党员生活补贴</w:t>
            </w:r>
          </w:p>
        </w:tc>
        <w:tc>
          <w:tcPr>
            <w:tcW w:w="0" w:type="auto"/>
            <w:tcBorders>
              <w:top w:val="nil"/>
              <w:left w:val="nil"/>
              <w:bottom w:val="single" w:color="auto" w:sz="4" w:space="0"/>
              <w:right w:val="single" w:color="auto" w:sz="4" w:space="0"/>
            </w:tcBorders>
            <w:shd w:val="clear" w:color="auto" w:fill="auto"/>
            <w:noWrap/>
            <w:vAlign w:val="center"/>
          </w:tcPr>
          <w:p>
            <w:pPr>
              <w:jc w:val="right"/>
              <w:rPr>
                <w:rFonts w:hint="default" w:cs="宋体"/>
                <w:b/>
                <w:bCs/>
                <w:color w:val="000000"/>
                <w:sz w:val="22"/>
                <w:szCs w:val="22"/>
              </w:rPr>
            </w:pPr>
            <w:r>
              <w:rPr>
                <w:rFonts w:cs="宋体"/>
                <w:b/>
                <w:bCs/>
                <w:color w:val="000000"/>
                <w:sz w:val="22"/>
                <w:szCs w:val="22"/>
              </w:rPr>
              <w:t>项目编码：</w:t>
            </w:r>
          </w:p>
        </w:tc>
        <w:tc>
          <w:tcPr>
            <w:tcW w:w="0" w:type="auto"/>
            <w:gridSpan w:val="2"/>
            <w:tcBorders>
              <w:top w:val="single" w:color="auto" w:sz="4" w:space="0"/>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50023123T000003484556</w:t>
            </w:r>
          </w:p>
        </w:tc>
        <w:tc>
          <w:tcPr>
            <w:tcW w:w="0" w:type="auto"/>
            <w:tcBorders>
              <w:top w:val="nil"/>
              <w:left w:val="nil"/>
              <w:bottom w:val="single" w:color="auto" w:sz="4" w:space="0"/>
              <w:right w:val="single" w:color="auto" w:sz="4" w:space="0"/>
            </w:tcBorders>
            <w:shd w:val="clear" w:color="auto" w:fill="auto"/>
            <w:noWrap/>
            <w:vAlign w:val="center"/>
          </w:tcPr>
          <w:p>
            <w:pPr>
              <w:jc w:val="right"/>
              <w:rPr>
                <w:rFonts w:hint="default" w:cs="宋体"/>
                <w:b/>
                <w:bCs/>
                <w:color w:val="000000"/>
                <w:sz w:val="22"/>
                <w:szCs w:val="22"/>
              </w:rPr>
            </w:pPr>
            <w:r>
              <w:rPr>
                <w:rFonts w:cs="宋体"/>
                <w:b/>
                <w:bCs/>
                <w:color w:val="000000"/>
                <w:sz w:val="22"/>
                <w:szCs w:val="22"/>
              </w:rPr>
              <w:t>自评总分：</w:t>
            </w:r>
          </w:p>
        </w:tc>
        <w:tc>
          <w:tcPr>
            <w:tcW w:w="0" w:type="auto"/>
            <w:gridSpan w:val="2"/>
            <w:tcBorders>
              <w:top w:val="single" w:color="auto" w:sz="4" w:space="0"/>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100.00</w:t>
            </w:r>
          </w:p>
        </w:tc>
        <w:tc>
          <w:tcPr>
            <w:tcW w:w="0" w:type="auto"/>
            <w:tcBorders>
              <w:top w:val="nil"/>
              <w:left w:val="nil"/>
              <w:bottom w:val="single" w:color="auto" w:sz="4" w:space="0"/>
              <w:right w:val="single" w:color="auto" w:sz="4" w:space="0"/>
            </w:tcBorders>
            <w:shd w:val="clear" w:color="auto" w:fill="auto"/>
            <w:noWrap/>
            <w:vAlign w:val="center"/>
          </w:tcPr>
          <w:p>
            <w:pPr>
              <w:jc w:val="right"/>
              <w:rPr>
                <w:rFonts w:hint="default" w:cs="宋体"/>
                <w:b/>
                <w:bCs/>
                <w:color w:val="000000"/>
                <w:sz w:val="22"/>
                <w:szCs w:val="22"/>
              </w:rPr>
            </w:pPr>
            <w:r>
              <w:rPr>
                <w:rFonts w:cs="宋体"/>
                <w:b/>
                <w:bCs/>
                <w:color w:val="000000"/>
                <w:sz w:val="22"/>
                <w:szCs w:val="22"/>
              </w:rPr>
              <w:t>　</w:t>
            </w:r>
          </w:p>
        </w:tc>
        <w:tc>
          <w:tcPr>
            <w:tcW w:w="0" w:type="auto"/>
            <w:tcBorders>
              <w:top w:val="nil"/>
              <w:left w:val="nil"/>
              <w:bottom w:val="single" w:color="auto" w:sz="4" w:space="0"/>
              <w:right w:val="single" w:color="auto" w:sz="4" w:space="0"/>
            </w:tcBorders>
            <w:shd w:val="clear" w:color="auto" w:fill="auto"/>
            <w:vAlign w:val="center"/>
          </w:tcPr>
          <w:p>
            <w:pPr>
              <w:rPr>
                <w:rFonts w:hint="default" w:cs="宋体"/>
                <w:color w:val="000000"/>
                <w:sz w:val="22"/>
                <w:szCs w:val="22"/>
              </w:rPr>
            </w:pPr>
            <w:r>
              <w:rPr>
                <w:rFonts w:cs="宋体"/>
                <w:color w:val="000000"/>
                <w:sz w:val="22"/>
                <w:szCs w:val="22"/>
              </w:rPr>
              <w:t>　</w:t>
            </w:r>
          </w:p>
        </w:tc>
      </w:tr>
      <w:tr>
        <w:tblPrEx>
          <w:tblCellMar>
            <w:top w:w="0" w:type="dxa"/>
            <w:left w:w="108" w:type="dxa"/>
            <w:bottom w:w="0" w:type="dxa"/>
            <w:right w:w="108" w:type="dxa"/>
          </w:tblCellMar>
        </w:tblPrEx>
        <w:trPr>
          <w:trHeight w:val="499"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pPr>
              <w:jc w:val="right"/>
              <w:rPr>
                <w:rFonts w:hint="default" w:cs="宋体"/>
                <w:b/>
                <w:bCs/>
                <w:color w:val="000000"/>
                <w:sz w:val="22"/>
                <w:szCs w:val="22"/>
              </w:rPr>
            </w:pPr>
            <w:r>
              <w:rPr>
                <w:rFonts w:cs="宋体"/>
                <w:b/>
                <w:bCs/>
                <w:color w:val="000000"/>
                <w:sz w:val="22"/>
                <w:szCs w:val="22"/>
              </w:rPr>
              <w:t>项目主管部门：</w:t>
            </w:r>
          </w:p>
        </w:tc>
        <w:tc>
          <w:tcPr>
            <w:tcW w:w="0" w:type="auto"/>
            <w:gridSpan w:val="2"/>
            <w:tcBorders>
              <w:top w:val="single" w:color="auto" w:sz="4" w:space="0"/>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716-垫江县五洞镇人民政府</w:t>
            </w:r>
          </w:p>
        </w:tc>
        <w:tc>
          <w:tcPr>
            <w:tcW w:w="0" w:type="auto"/>
            <w:tcBorders>
              <w:top w:val="nil"/>
              <w:left w:val="nil"/>
              <w:bottom w:val="single" w:color="auto" w:sz="4" w:space="0"/>
              <w:right w:val="single" w:color="auto" w:sz="4" w:space="0"/>
            </w:tcBorders>
            <w:shd w:val="clear" w:color="auto" w:fill="auto"/>
            <w:noWrap/>
            <w:vAlign w:val="center"/>
          </w:tcPr>
          <w:p>
            <w:pPr>
              <w:jc w:val="right"/>
              <w:rPr>
                <w:rFonts w:hint="default" w:cs="宋体"/>
                <w:b/>
                <w:bCs/>
                <w:color w:val="000000"/>
                <w:sz w:val="22"/>
                <w:szCs w:val="22"/>
              </w:rPr>
            </w:pPr>
            <w:r>
              <w:rPr>
                <w:rFonts w:cs="宋体"/>
                <w:b/>
                <w:bCs/>
                <w:color w:val="000000"/>
                <w:sz w:val="22"/>
                <w:szCs w:val="22"/>
              </w:rPr>
              <w:t>财政归口处室：</w:t>
            </w:r>
          </w:p>
        </w:tc>
        <w:tc>
          <w:tcPr>
            <w:tcW w:w="0" w:type="auto"/>
            <w:gridSpan w:val="2"/>
            <w:tcBorders>
              <w:top w:val="single" w:color="auto" w:sz="4" w:space="0"/>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014-会计管理核算中心</w:t>
            </w:r>
          </w:p>
        </w:tc>
        <w:tc>
          <w:tcPr>
            <w:tcW w:w="0" w:type="auto"/>
            <w:tcBorders>
              <w:top w:val="nil"/>
              <w:left w:val="nil"/>
              <w:bottom w:val="single" w:color="auto" w:sz="4" w:space="0"/>
              <w:right w:val="single" w:color="auto" w:sz="4" w:space="0"/>
            </w:tcBorders>
            <w:shd w:val="clear" w:color="auto" w:fill="auto"/>
            <w:noWrap/>
            <w:vAlign w:val="center"/>
          </w:tcPr>
          <w:p>
            <w:pPr>
              <w:jc w:val="right"/>
              <w:rPr>
                <w:rFonts w:hint="default" w:cs="宋体"/>
                <w:b/>
                <w:bCs/>
                <w:color w:val="000000"/>
                <w:sz w:val="22"/>
                <w:szCs w:val="22"/>
              </w:rPr>
            </w:pPr>
            <w:r>
              <w:rPr>
                <w:rFonts w:cs="宋体"/>
                <w:b/>
                <w:bCs/>
                <w:color w:val="000000"/>
                <w:sz w:val="22"/>
                <w:szCs w:val="22"/>
              </w:rPr>
              <w:t>部门联系人：</w:t>
            </w:r>
          </w:p>
        </w:tc>
        <w:tc>
          <w:tcPr>
            <w:tcW w:w="0" w:type="auto"/>
            <w:gridSpan w:val="2"/>
            <w:tcBorders>
              <w:top w:val="single" w:color="auto" w:sz="4" w:space="0"/>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杨晓梅</w:t>
            </w:r>
          </w:p>
        </w:tc>
        <w:tc>
          <w:tcPr>
            <w:tcW w:w="0" w:type="auto"/>
            <w:tcBorders>
              <w:top w:val="nil"/>
              <w:left w:val="nil"/>
              <w:bottom w:val="single" w:color="auto" w:sz="4" w:space="0"/>
              <w:right w:val="single" w:color="auto" w:sz="4" w:space="0"/>
            </w:tcBorders>
            <w:shd w:val="clear" w:color="auto" w:fill="auto"/>
            <w:noWrap/>
            <w:vAlign w:val="center"/>
          </w:tcPr>
          <w:p>
            <w:pPr>
              <w:jc w:val="right"/>
              <w:rPr>
                <w:rFonts w:hint="default" w:cs="宋体"/>
                <w:b/>
                <w:bCs/>
                <w:color w:val="000000"/>
                <w:sz w:val="22"/>
                <w:szCs w:val="22"/>
              </w:rPr>
            </w:pPr>
            <w:r>
              <w:rPr>
                <w:rFonts w:cs="宋体"/>
                <w:b/>
                <w:bCs/>
                <w:color w:val="000000"/>
                <w:sz w:val="22"/>
                <w:szCs w:val="22"/>
              </w:rPr>
              <w:t>联系电话：</w:t>
            </w:r>
          </w:p>
        </w:tc>
        <w:tc>
          <w:tcPr>
            <w:tcW w:w="0" w:type="auto"/>
            <w:tcBorders>
              <w:top w:val="nil"/>
              <w:left w:val="nil"/>
              <w:bottom w:val="single" w:color="auto" w:sz="4" w:space="0"/>
              <w:right w:val="single" w:color="auto" w:sz="4" w:space="0"/>
            </w:tcBorders>
            <w:shd w:val="clear" w:color="auto" w:fill="auto"/>
            <w:vAlign w:val="center"/>
          </w:tcPr>
          <w:p>
            <w:pPr>
              <w:rPr>
                <w:rFonts w:hint="default" w:cs="宋体"/>
                <w:color w:val="000000"/>
                <w:sz w:val="22"/>
                <w:szCs w:val="22"/>
              </w:rPr>
            </w:pPr>
            <w:r>
              <w:rPr>
                <w:rFonts w:cs="宋体"/>
                <w:color w:val="000000"/>
                <w:sz w:val="22"/>
                <w:szCs w:val="22"/>
              </w:rPr>
              <w:t>74562700</w:t>
            </w:r>
          </w:p>
        </w:tc>
      </w:tr>
      <w:tr>
        <w:tblPrEx>
          <w:tblCellMar>
            <w:top w:w="0" w:type="dxa"/>
            <w:left w:w="108" w:type="dxa"/>
            <w:bottom w:w="0" w:type="dxa"/>
            <w:right w:w="108" w:type="dxa"/>
          </w:tblCellMar>
        </w:tblPrEx>
        <w:trPr>
          <w:trHeight w:val="600" w:hRule="atLeast"/>
        </w:trPr>
        <w:tc>
          <w:tcPr>
            <w:tcW w:w="0" w:type="auto"/>
            <w:gridSpan w:val="11"/>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default" w:ascii="微软雅黑" w:hAnsi="微软雅黑" w:eastAsia="微软雅黑" w:cs="宋体"/>
                <w:b/>
                <w:bCs/>
                <w:color w:val="7F7F7F"/>
                <w:sz w:val="28"/>
                <w:szCs w:val="28"/>
              </w:rPr>
            </w:pPr>
            <w:r>
              <w:rPr>
                <w:rFonts w:ascii="微软雅黑" w:hAnsi="微软雅黑" w:eastAsia="微软雅黑" w:cs="宋体"/>
                <w:b/>
                <w:bCs/>
                <w:color w:val="7F7F7F"/>
                <w:sz w:val="28"/>
                <w:szCs w:val="28"/>
              </w:rPr>
              <w:t>资金情况</w:t>
            </w:r>
          </w:p>
        </w:tc>
      </w:tr>
      <w:tr>
        <w:tblPrEx>
          <w:tblCellMar>
            <w:top w:w="0" w:type="dxa"/>
            <w:left w:w="108" w:type="dxa"/>
            <w:bottom w:w="0" w:type="dxa"/>
            <w:right w:w="108" w:type="dxa"/>
          </w:tblCellMar>
        </w:tblPrEx>
        <w:trPr>
          <w:trHeight w:val="499" w:hRule="atLeast"/>
        </w:trPr>
        <w:tc>
          <w:tcPr>
            <w:tcW w:w="0" w:type="auto"/>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default" w:cs="宋体"/>
                <w:color w:val="000000"/>
                <w:sz w:val="22"/>
                <w:szCs w:val="22"/>
              </w:rPr>
            </w:pPr>
            <w:r>
              <w:rPr>
                <w:rFonts w:cs="宋体"/>
                <w:color w:val="000000"/>
                <w:sz w:val="22"/>
                <w:szCs w:val="22"/>
              </w:rPr>
              <w:t>　</w:t>
            </w:r>
          </w:p>
        </w:tc>
        <w:tc>
          <w:tcPr>
            <w:tcW w:w="0" w:type="auto"/>
            <w:gridSpan w:val="2"/>
            <w:tcBorders>
              <w:top w:val="single" w:color="auto" w:sz="4" w:space="0"/>
              <w:left w:val="nil"/>
              <w:bottom w:val="single" w:color="auto" w:sz="4" w:space="0"/>
              <w:right w:val="single" w:color="auto" w:sz="4" w:space="0"/>
            </w:tcBorders>
            <w:shd w:val="clear" w:color="auto" w:fill="auto"/>
            <w:noWrap/>
            <w:vAlign w:val="center"/>
          </w:tcPr>
          <w:p>
            <w:pPr>
              <w:jc w:val="center"/>
              <w:rPr>
                <w:rFonts w:hint="default" w:cs="宋体"/>
                <w:b/>
                <w:bCs/>
                <w:color w:val="000000"/>
                <w:sz w:val="22"/>
                <w:szCs w:val="22"/>
              </w:rPr>
            </w:pPr>
            <w:r>
              <w:rPr>
                <w:rFonts w:cs="宋体"/>
                <w:b/>
                <w:bCs/>
                <w:color w:val="000000"/>
                <w:sz w:val="22"/>
                <w:szCs w:val="22"/>
              </w:rPr>
              <w:t>年初预算数</w:t>
            </w:r>
          </w:p>
        </w:tc>
        <w:tc>
          <w:tcPr>
            <w:tcW w:w="0" w:type="auto"/>
            <w:gridSpan w:val="2"/>
            <w:tcBorders>
              <w:top w:val="single" w:color="auto" w:sz="4" w:space="0"/>
              <w:left w:val="nil"/>
              <w:bottom w:val="single" w:color="auto" w:sz="4" w:space="0"/>
              <w:right w:val="single" w:color="auto" w:sz="4" w:space="0"/>
            </w:tcBorders>
            <w:shd w:val="clear" w:color="auto" w:fill="auto"/>
            <w:noWrap/>
            <w:vAlign w:val="center"/>
          </w:tcPr>
          <w:p>
            <w:pPr>
              <w:jc w:val="center"/>
              <w:rPr>
                <w:rFonts w:hint="default" w:cs="宋体"/>
                <w:b/>
                <w:bCs/>
                <w:color w:val="000000"/>
                <w:sz w:val="22"/>
                <w:szCs w:val="22"/>
              </w:rPr>
            </w:pPr>
            <w:r>
              <w:rPr>
                <w:rFonts w:cs="宋体"/>
                <w:b/>
                <w:bCs/>
                <w:color w:val="000000"/>
                <w:sz w:val="22"/>
                <w:szCs w:val="22"/>
              </w:rPr>
              <w:t>全年（调整）预算数</w:t>
            </w:r>
          </w:p>
        </w:tc>
        <w:tc>
          <w:tcPr>
            <w:tcW w:w="0" w:type="auto"/>
            <w:gridSpan w:val="2"/>
            <w:tcBorders>
              <w:top w:val="single" w:color="auto" w:sz="4" w:space="0"/>
              <w:left w:val="nil"/>
              <w:bottom w:val="single" w:color="auto" w:sz="4" w:space="0"/>
              <w:right w:val="single" w:color="auto" w:sz="4" w:space="0"/>
            </w:tcBorders>
            <w:shd w:val="clear" w:color="auto" w:fill="auto"/>
            <w:noWrap/>
            <w:vAlign w:val="center"/>
          </w:tcPr>
          <w:p>
            <w:pPr>
              <w:jc w:val="center"/>
              <w:rPr>
                <w:rFonts w:hint="default" w:cs="宋体"/>
                <w:b/>
                <w:bCs/>
                <w:color w:val="000000"/>
                <w:sz w:val="22"/>
                <w:szCs w:val="22"/>
              </w:rPr>
            </w:pPr>
            <w:r>
              <w:rPr>
                <w:rFonts w:cs="宋体"/>
                <w:b/>
                <w:bCs/>
                <w:color w:val="000000"/>
                <w:sz w:val="22"/>
                <w:szCs w:val="22"/>
              </w:rPr>
              <w:t>全年执行数</w:t>
            </w:r>
          </w:p>
        </w:tc>
        <w:tc>
          <w:tcPr>
            <w:tcW w:w="0" w:type="auto"/>
            <w:tcBorders>
              <w:top w:val="nil"/>
              <w:left w:val="nil"/>
              <w:bottom w:val="single" w:color="auto" w:sz="4" w:space="0"/>
              <w:right w:val="single" w:color="auto" w:sz="4" w:space="0"/>
            </w:tcBorders>
            <w:shd w:val="clear" w:color="auto" w:fill="auto"/>
            <w:noWrap/>
            <w:vAlign w:val="center"/>
          </w:tcPr>
          <w:p>
            <w:pPr>
              <w:jc w:val="center"/>
              <w:rPr>
                <w:rFonts w:hint="default" w:cs="宋体"/>
                <w:b/>
                <w:bCs/>
                <w:color w:val="000000"/>
                <w:sz w:val="22"/>
                <w:szCs w:val="22"/>
              </w:rPr>
            </w:pPr>
            <w:r>
              <w:rPr>
                <w:rFonts w:cs="宋体"/>
                <w:b/>
                <w:bCs/>
                <w:color w:val="000000"/>
                <w:sz w:val="22"/>
                <w:szCs w:val="22"/>
              </w:rPr>
              <w:t>执行率</w:t>
            </w:r>
          </w:p>
        </w:tc>
        <w:tc>
          <w:tcPr>
            <w:tcW w:w="0" w:type="auto"/>
            <w:tcBorders>
              <w:top w:val="nil"/>
              <w:left w:val="nil"/>
              <w:bottom w:val="single" w:color="auto" w:sz="4" w:space="0"/>
              <w:right w:val="single" w:color="auto" w:sz="4" w:space="0"/>
            </w:tcBorders>
            <w:shd w:val="clear" w:color="auto" w:fill="auto"/>
            <w:noWrap/>
            <w:vAlign w:val="center"/>
          </w:tcPr>
          <w:p>
            <w:pPr>
              <w:rPr>
                <w:rFonts w:hint="default" w:cs="宋体"/>
                <w:b/>
                <w:bCs/>
                <w:color w:val="000000"/>
                <w:sz w:val="22"/>
                <w:szCs w:val="22"/>
              </w:rPr>
            </w:pPr>
            <w:r>
              <w:rPr>
                <w:rFonts w:cs="宋体"/>
                <w:b/>
                <w:bCs/>
                <w:color w:val="000000"/>
                <w:sz w:val="22"/>
                <w:szCs w:val="22"/>
              </w:rPr>
              <w:t>执行率权重</w:t>
            </w:r>
          </w:p>
        </w:tc>
        <w:tc>
          <w:tcPr>
            <w:tcW w:w="0" w:type="auto"/>
            <w:tcBorders>
              <w:top w:val="nil"/>
              <w:left w:val="nil"/>
              <w:bottom w:val="single" w:color="auto" w:sz="4" w:space="0"/>
              <w:right w:val="single" w:color="auto" w:sz="4" w:space="0"/>
            </w:tcBorders>
            <w:shd w:val="clear" w:color="auto" w:fill="auto"/>
            <w:noWrap/>
            <w:vAlign w:val="center"/>
          </w:tcPr>
          <w:p>
            <w:pPr>
              <w:jc w:val="center"/>
              <w:rPr>
                <w:rFonts w:hint="default" w:cs="宋体"/>
                <w:b/>
                <w:bCs/>
                <w:color w:val="000000"/>
                <w:sz w:val="22"/>
                <w:szCs w:val="22"/>
              </w:rPr>
            </w:pPr>
            <w:r>
              <w:rPr>
                <w:rFonts w:cs="宋体"/>
                <w:b/>
                <w:bCs/>
                <w:color w:val="000000"/>
                <w:sz w:val="22"/>
                <w:szCs w:val="22"/>
              </w:rPr>
              <w:t>执行率得分</w:t>
            </w:r>
          </w:p>
        </w:tc>
      </w:tr>
      <w:tr>
        <w:tblPrEx>
          <w:tblCellMar>
            <w:top w:w="0" w:type="dxa"/>
            <w:left w:w="108" w:type="dxa"/>
            <w:bottom w:w="0" w:type="dxa"/>
            <w:right w:w="108" w:type="dxa"/>
          </w:tblCellMar>
        </w:tblPrEx>
        <w:trPr>
          <w:trHeight w:val="499" w:hRule="atLeast"/>
        </w:trPr>
        <w:tc>
          <w:tcPr>
            <w:tcW w:w="0" w:type="auto"/>
            <w:tcBorders>
              <w:top w:val="nil"/>
              <w:left w:val="single" w:color="auto" w:sz="4" w:space="0"/>
              <w:bottom w:val="single" w:color="auto" w:sz="4" w:space="0"/>
              <w:right w:val="nil"/>
            </w:tcBorders>
            <w:shd w:val="clear" w:color="auto" w:fill="auto"/>
            <w:vAlign w:val="center"/>
          </w:tcPr>
          <w:p>
            <w:pPr>
              <w:rPr>
                <w:rFonts w:hint="default" w:cs="宋体"/>
                <w:color w:val="000000"/>
                <w:sz w:val="22"/>
                <w:szCs w:val="22"/>
              </w:rPr>
            </w:pPr>
            <w:r>
              <w:rPr>
                <w:rFonts w:cs="宋体"/>
                <w:color w:val="000000"/>
                <w:sz w:val="22"/>
                <w:szCs w:val="22"/>
              </w:rPr>
              <w:t>年度总金额</w:t>
            </w:r>
          </w:p>
        </w:tc>
        <w:tc>
          <w:tcPr>
            <w:tcW w:w="0" w:type="auto"/>
            <w:tcBorders>
              <w:top w:val="nil"/>
              <w:left w:val="nil"/>
              <w:bottom w:val="single" w:color="auto" w:sz="4" w:space="0"/>
              <w:right w:val="single" w:color="auto" w:sz="4" w:space="0"/>
            </w:tcBorders>
            <w:shd w:val="clear" w:color="auto" w:fill="auto"/>
            <w:noWrap/>
            <w:vAlign w:val="center"/>
          </w:tcPr>
          <w:p>
            <w:pPr>
              <w:rPr>
                <w:rFonts w:hint="default" w:cs="宋体"/>
                <w:color w:val="000000"/>
                <w:sz w:val="22"/>
                <w:szCs w:val="22"/>
              </w:rPr>
            </w:pPr>
            <w:r>
              <w:rPr>
                <w:rFonts w:cs="宋体"/>
                <w:color w:val="000000"/>
                <w:sz w:val="22"/>
                <w:szCs w:val="22"/>
              </w:rPr>
              <w:t>　</w:t>
            </w:r>
          </w:p>
        </w:tc>
        <w:tc>
          <w:tcPr>
            <w:tcW w:w="0" w:type="auto"/>
            <w:tcBorders>
              <w:top w:val="nil"/>
              <w:left w:val="nil"/>
              <w:bottom w:val="single" w:color="auto" w:sz="4" w:space="0"/>
              <w:right w:val="nil"/>
            </w:tcBorders>
            <w:shd w:val="clear" w:color="auto" w:fill="auto"/>
            <w:noWrap/>
            <w:vAlign w:val="center"/>
          </w:tcPr>
          <w:p>
            <w:pPr>
              <w:rPr>
                <w:rFonts w:hint="default" w:cs="宋体"/>
                <w:color w:val="000000"/>
                <w:sz w:val="22"/>
                <w:szCs w:val="22"/>
              </w:rPr>
            </w:pPr>
            <w:r>
              <w:rPr>
                <w:rFonts w:cs="宋体"/>
                <w:color w:val="000000"/>
                <w:sz w:val="22"/>
                <w:szCs w:val="22"/>
              </w:rPr>
              <w:t>　</w:t>
            </w:r>
          </w:p>
        </w:tc>
        <w:tc>
          <w:tcPr>
            <w:tcW w:w="0" w:type="auto"/>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22"/>
                <w:szCs w:val="22"/>
              </w:rPr>
            </w:pPr>
            <w:r>
              <w:rPr>
                <w:rFonts w:cs="宋体"/>
                <w:color w:val="000000"/>
                <w:sz w:val="22"/>
                <w:szCs w:val="22"/>
              </w:rPr>
              <w:t xml:space="preserve">248,060.00 </w:t>
            </w:r>
          </w:p>
        </w:tc>
        <w:tc>
          <w:tcPr>
            <w:tcW w:w="0" w:type="auto"/>
            <w:tcBorders>
              <w:top w:val="nil"/>
              <w:left w:val="nil"/>
              <w:bottom w:val="single" w:color="auto" w:sz="4" w:space="0"/>
              <w:right w:val="nil"/>
            </w:tcBorders>
            <w:shd w:val="clear" w:color="auto" w:fill="auto"/>
            <w:noWrap/>
            <w:vAlign w:val="center"/>
          </w:tcPr>
          <w:p>
            <w:pPr>
              <w:rPr>
                <w:rFonts w:hint="default" w:cs="宋体"/>
                <w:color w:val="000000"/>
                <w:sz w:val="22"/>
                <w:szCs w:val="22"/>
              </w:rPr>
            </w:pPr>
            <w:r>
              <w:rPr>
                <w:rFonts w:cs="宋体"/>
                <w:color w:val="000000"/>
                <w:sz w:val="22"/>
                <w:szCs w:val="22"/>
              </w:rPr>
              <w:t>　</w:t>
            </w:r>
          </w:p>
        </w:tc>
        <w:tc>
          <w:tcPr>
            <w:tcW w:w="0" w:type="auto"/>
            <w:tcBorders>
              <w:top w:val="nil"/>
              <w:left w:val="nil"/>
              <w:bottom w:val="single" w:color="auto" w:sz="4" w:space="0"/>
              <w:right w:val="single" w:color="auto" w:sz="4" w:space="0"/>
            </w:tcBorders>
            <w:shd w:val="clear" w:color="auto" w:fill="auto"/>
            <w:vAlign w:val="center"/>
          </w:tcPr>
          <w:p>
            <w:pPr>
              <w:jc w:val="right"/>
              <w:rPr>
                <w:rFonts w:hint="default" w:cs="宋体"/>
                <w:color w:val="000000"/>
                <w:sz w:val="22"/>
                <w:szCs w:val="22"/>
              </w:rPr>
            </w:pPr>
            <w:r>
              <w:rPr>
                <w:rFonts w:cs="宋体"/>
                <w:color w:val="000000"/>
                <w:sz w:val="22"/>
                <w:szCs w:val="22"/>
              </w:rPr>
              <w:t xml:space="preserve">488,600.00 </w:t>
            </w:r>
          </w:p>
        </w:tc>
        <w:tc>
          <w:tcPr>
            <w:tcW w:w="0" w:type="auto"/>
            <w:tcBorders>
              <w:top w:val="nil"/>
              <w:left w:val="nil"/>
              <w:bottom w:val="single" w:color="auto" w:sz="4" w:space="0"/>
              <w:right w:val="nil"/>
            </w:tcBorders>
            <w:shd w:val="clear" w:color="auto" w:fill="auto"/>
            <w:noWrap/>
            <w:vAlign w:val="center"/>
          </w:tcPr>
          <w:p>
            <w:pPr>
              <w:rPr>
                <w:rFonts w:hint="default" w:cs="宋体"/>
                <w:color w:val="000000"/>
                <w:sz w:val="22"/>
                <w:szCs w:val="22"/>
              </w:rPr>
            </w:pPr>
            <w:r>
              <w:rPr>
                <w:rFonts w:cs="宋体"/>
                <w:color w:val="000000"/>
                <w:sz w:val="22"/>
                <w:szCs w:val="22"/>
              </w:rPr>
              <w:t>　</w:t>
            </w:r>
          </w:p>
        </w:tc>
        <w:tc>
          <w:tcPr>
            <w:tcW w:w="0" w:type="auto"/>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22"/>
                <w:szCs w:val="22"/>
              </w:rPr>
            </w:pPr>
            <w:r>
              <w:rPr>
                <w:rFonts w:cs="宋体"/>
                <w:color w:val="000000"/>
                <w:sz w:val="22"/>
                <w:szCs w:val="22"/>
              </w:rPr>
              <w:t xml:space="preserve">488,600.00 </w:t>
            </w:r>
          </w:p>
        </w:tc>
        <w:tc>
          <w:tcPr>
            <w:tcW w:w="0" w:type="auto"/>
            <w:tcBorders>
              <w:top w:val="nil"/>
              <w:left w:val="nil"/>
              <w:bottom w:val="single" w:color="auto" w:sz="4" w:space="0"/>
              <w:right w:val="single" w:color="auto" w:sz="4" w:space="0"/>
            </w:tcBorders>
            <w:shd w:val="clear" w:color="auto" w:fill="auto"/>
            <w:noWrap/>
            <w:vAlign w:val="center"/>
          </w:tcPr>
          <w:p>
            <w:pPr>
              <w:rPr>
                <w:rFonts w:hint="default" w:cs="宋体"/>
                <w:color w:val="000000"/>
                <w:sz w:val="22"/>
                <w:szCs w:val="22"/>
              </w:rPr>
            </w:pPr>
            <w:r>
              <w:rPr>
                <w:rFonts w:cs="宋体"/>
                <w:color w:val="000000"/>
                <w:sz w:val="22"/>
                <w:szCs w:val="22"/>
              </w:rPr>
              <w:t>　</w:t>
            </w:r>
          </w:p>
        </w:tc>
        <w:tc>
          <w:tcPr>
            <w:tcW w:w="0" w:type="auto"/>
            <w:tcBorders>
              <w:top w:val="nil"/>
              <w:left w:val="nil"/>
              <w:bottom w:val="single" w:color="auto" w:sz="4" w:space="0"/>
              <w:right w:val="single" w:color="auto" w:sz="4" w:space="0"/>
            </w:tcBorders>
            <w:shd w:val="clear" w:color="auto" w:fill="auto"/>
            <w:noWrap/>
            <w:vAlign w:val="center"/>
          </w:tcPr>
          <w:p>
            <w:pPr>
              <w:rPr>
                <w:rFonts w:hint="default" w:cs="宋体"/>
                <w:color w:val="000000"/>
                <w:sz w:val="22"/>
                <w:szCs w:val="22"/>
              </w:rPr>
            </w:pPr>
            <w:r>
              <w:rPr>
                <w:rFonts w:cs="宋体"/>
                <w:color w:val="000000"/>
                <w:sz w:val="22"/>
                <w:szCs w:val="22"/>
              </w:rPr>
              <w:t>　</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sz w:val="22"/>
                <w:szCs w:val="22"/>
              </w:rPr>
            </w:pPr>
            <w:r>
              <w:rPr>
                <w:rFonts w:cs="宋体"/>
                <w:sz w:val="22"/>
                <w:szCs w:val="22"/>
              </w:rPr>
              <w:t>　</w:t>
            </w:r>
          </w:p>
        </w:tc>
      </w:tr>
      <w:tr>
        <w:tblPrEx>
          <w:tblCellMar>
            <w:top w:w="0" w:type="dxa"/>
            <w:left w:w="108" w:type="dxa"/>
            <w:bottom w:w="0" w:type="dxa"/>
            <w:right w:w="108" w:type="dxa"/>
          </w:tblCellMar>
        </w:tblPrEx>
        <w:trPr>
          <w:trHeight w:val="499" w:hRule="atLeast"/>
        </w:trPr>
        <w:tc>
          <w:tcPr>
            <w:tcW w:w="0" w:type="auto"/>
            <w:tcBorders>
              <w:top w:val="nil"/>
              <w:left w:val="single" w:color="auto" w:sz="4" w:space="0"/>
              <w:bottom w:val="single" w:color="auto" w:sz="4" w:space="0"/>
              <w:right w:val="nil"/>
            </w:tcBorders>
            <w:shd w:val="clear" w:color="auto" w:fill="auto"/>
            <w:vAlign w:val="center"/>
          </w:tcPr>
          <w:p>
            <w:pPr>
              <w:rPr>
                <w:rFonts w:hint="default" w:cs="宋体"/>
                <w:color w:val="000000"/>
                <w:sz w:val="22"/>
                <w:szCs w:val="22"/>
              </w:rPr>
            </w:pPr>
            <w:r>
              <w:rPr>
                <w:rFonts w:cs="宋体"/>
                <w:color w:val="000000"/>
                <w:sz w:val="22"/>
                <w:szCs w:val="22"/>
              </w:rPr>
              <w:t>其中：财政拨款</w:t>
            </w:r>
          </w:p>
        </w:tc>
        <w:tc>
          <w:tcPr>
            <w:tcW w:w="0" w:type="auto"/>
            <w:tcBorders>
              <w:top w:val="nil"/>
              <w:left w:val="nil"/>
              <w:bottom w:val="single" w:color="auto" w:sz="4" w:space="0"/>
              <w:right w:val="single" w:color="auto" w:sz="4" w:space="0"/>
            </w:tcBorders>
            <w:shd w:val="clear" w:color="auto" w:fill="auto"/>
            <w:noWrap/>
            <w:vAlign w:val="center"/>
          </w:tcPr>
          <w:p>
            <w:pPr>
              <w:rPr>
                <w:rFonts w:hint="default" w:cs="宋体"/>
                <w:color w:val="000000"/>
                <w:sz w:val="22"/>
                <w:szCs w:val="22"/>
              </w:rPr>
            </w:pPr>
            <w:r>
              <w:rPr>
                <w:rFonts w:cs="宋体"/>
                <w:color w:val="000000"/>
                <w:sz w:val="22"/>
                <w:szCs w:val="22"/>
              </w:rPr>
              <w:t>　</w:t>
            </w:r>
          </w:p>
        </w:tc>
        <w:tc>
          <w:tcPr>
            <w:tcW w:w="0" w:type="auto"/>
            <w:tcBorders>
              <w:top w:val="nil"/>
              <w:left w:val="nil"/>
              <w:bottom w:val="single" w:color="auto" w:sz="4" w:space="0"/>
              <w:right w:val="nil"/>
            </w:tcBorders>
            <w:shd w:val="clear" w:color="auto" w:fill="auto"/>
            <w:noWrap/>
            <w:vAlign w:val="center"/>
          </w:tcPr>
          <w:p>
            <w:pPr>
              <w:rPr>
                <w:rFonts w:hint="default" w:cs="宋体"/>
                <w:color w:val="000000"/>
                <w:sz w:val="22"/>
                <w:szCs w:val="22"/>
              </w:rPr>
            </w:pPr>
            <w:r>
              <w:rPr>
                <w:rFonts w:cs="宋体"/>
                <w:color w:val="000000"/>
                <w:sz w:val="22"/>
                <w:szCs w:val="22"/>
              </w:rPr>
              <w:t>　</w:t>
            </w:r>
          </w:p>
        </w:tc>
        <w:tc>
          <w:tcPr>
            <w:tcW w:w="0" w:type="auto"/>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22"/>
                <w:szCs w:val="22"/>
              </w:rPr>
            </w:pPr>
            <w:r>
              <w:rPr>
                <w:rFonts w:cs="宋体"/>
                <w:color w:val="000000"/>
                <w:sz w:val="22"/>
                <w:szCs w:val="22"/>
              </w:rPr>
              <w:t xml:space="preserve">248,060.00 </w:t>
            </w:r>
          </w:p>
        </w:tc>
        <w:tc>
          <w:tcPr>
            <w:tcW w:w="0" w:type="auto"/>
            <w:tcBorders>
              <w:top w:val="nil"/>
              <w:left w:val="nil"/>
              <w:bottom w:val="single" w:color="auto" w:sz="4" w:space="0"/>
              <w:right w:val="nil"/>
            </w:tcBorders>
            <w:shd w:val="clear" w:color="auto" w:fill="auto"/>
            <w:noWrap/>
            <w:vAlign w:val="center"/>
          </w:tcPr>
          <w:p>
            <w:pPr>
              <w:rPr>
                <w:rFonts w:hint="default" w:cs="宋体"/>
                <w:color w:val="000000"/>
                <w:sz w:val="22"/>
                <w:szCs w:val="22"/>
              </w:rPr>
            </w:pPr>
            <w:r>
              <w:rPr>
                <w:rFonts w:cs="宋体"/>
                <w:color w:val="000000"/>
                <w:sz w:val="22"/>
                <w:szCs w:val="22"/>
              </w:rPr>
              <w:t>　</w:t>
            </w:r>
          </w:p>
        </w:tc>
        <w:tc>
          <w:tcPr>
            <w:tcW w:w="0" w:type="auto"/>
            <w:tcBorders>
              <w:top w:val="nil"/>
              <w:left w:val="nil"/>
              <w:bottom w:val="single" w:color="auto" w:sz="4" w:space="0"/>
              <w:right w:val="single" w:color="auto" w:sz="4" w:space="0"/>
            </w:tcBorders>
            <w:shd w:val="clear" w:color="auto" w:fill="auto"/>
            <w:vAlign w:val="center"/>
          </w:tcPr>
          <w:p>
            <w:pPr>
              <w:jc w:val="right"/>
              <w:rPr>
                <w:rFonts w:hint="default" w:cs="宋体"/>
                <w:color w:val="000000"/>
                <w:sz w:val="22"/>
                <w:szCs w:val="22"/>
              </w:rPr>
            </w:pPr>
            <w:r>
              <w:rPr>
                <w:rFonts w:cs="宋体"/>
                <w:color w:val="000000"/>
                <w:sz w:val="22"/>
                <w:szCs w:val="22"/>
              </w:rPr>
              <w:t xml:space="preserve">488,600.00 </w:t>
            </w:r>
          </w:p>
        </w:tc>
        <w:tc>
          <w:tcPr>
            <w:tcW w:w="0" w:type="auto"/>
            <w:tcBorders>
              <w:top w:val="nil"/>
              <w:left w:val="nil"/>
              <w:bottom w:val="single" w:color="auto" w:sz="4" w:space="0"/>
              <w:right w:val="nil"/>
            </w:tcBorders>
            <w:shd w:val="clear" w:color="auto" w:fill="auto"/>
            <w:noWrap/>
            <w:vAlign w:val="center"/>
          </w:tcPr>
          <w:p>
            <w:pPr>
              <w:rPr>
                <w:rFonts w:hint="default" w:cs="宋体"/>
                <w:color w:val="000000"/>
                <w:sz w:val="22"/>
                <w:szCs w:val="22"/>
              </w:rPr>
            </w:pPr>
            <w:r>
              <w:rPr>
                <w:rFonts w:cs="宋体"/>
                <w:color w:val="000000"/>
                <w:sz w:val="22"/>
                <w:szCs w:val="22"/>
              </w:rPr>
              <w:t>　</w:t>
            </w:r>
          </w:p>
        </w:tc>
        <w:tc>
          <w:tcPr>
            <w:tcW w:w="0" w:type="auto"/>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22"/>
                <w:szCs w:val="22"/>
              </w:rPr>
            </w:pPr>
            <w:r>
              <w:rPr>
                <w:rFonts w:cs="宋体"/>
                <w:color w:val="000000"/>
                <w:sz w:val="22"/>
                <w:szCs w:val="22"/>
              </w:rPr>
              <w:t xml:space="preserve">488,600.00 </w:t>
            </w:r>
          </w:p>
        </w:tc>
        <w:tc>
          <w:tcPr>
            <w:tcW w:w="0" w:type="auto"/>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22"/>
                <w:szCs w:val="22"/>
              </w:rPr>
            </w:pPr>
            <w:r>
              <w:rPr>
                <w:rFonts w:cs="宋体"/>
                <w:color w:val="000000"/>
                <w:sz w:val="22"/>
                <w:szCs w:val="22"/>
              </w:rPr>
              <w:t>100</w:t>
            </w:r>
          </w:p>
        </w:tc>
        <w:tc>
          <w:tcPr>
            <w:tcW w:w="0" w:type="auto"/>
            <w:tcBorders>
              <w:top w:val="nil"/>
              <w:left w:val="nil"/>
              <w:bottom w:val="single" w:color="auto" w:sz="4" w:space="0"/>
              <w:right w:val="single" w:color="auto" w:sz="4" w:space="0"/>
            </w:tcBorders>
            <w:shd w:val="clear" w:color="auto" w:fill="auto"/>
            <w:noWrap/>
            <w:vAlign w:val="center"/>
          </w:tcPr>
          <w:p>
            <w:pPr>
              <w:rPr>
                <w:rFonts w:hint="default" w:cs="宋体"/>
                <w:color w:val="000000"/>
                <w:sz w:val="22"/>
                <w:szCs w:val="22"/>
              </w:rPr>
            </w:pPr>
            <w:r>
              <w:rPr>
                <w:rFonts w:cs="宋体"/>
                <w:color w:val="000000"/>
                <w:sz w:val="22"/>
                <w:szCs w:val="22"/>
              </w:rPr>
              <w:t>10.00</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sz w:val="22"/>
                <w:szCs w:val="22"/>
              </w:rPr>
            </w:pPr>
            <w:r>
              <w:rPr>
                <w:rFonts w:cs="宋体"/>
                <w:sz w:val="22"/>
                <w:szCs w:val="22"/>
              </w:rPr>
              <w:t xml:space="preserve">10.00 </w:t>
            </w:r>
          </w:p>
        </w:tc>
      </w:tr>
      <w:tr>
        <w:tblPrEx>
          <w:tblCellMar>
            <w:top w:w="0" w:type="dxa"/>
            <w:left w:w="108" w:type="dxa"/>
            <w:bottom w:w="0" w:type="dxa"/>
            <w:right w:w="108" w:type="dxa"/>
          </w:tblCellMar>
        </w:tblPrEx>
        <w:trPr>
          <w:trHeight w:val="499" w:hRule="atLeast"/>
        </w:trPr>
        <w:tc>
          <w:tcPr>
            <w:tcW w:w="0" w:type="auto"/>
            <w:tcBorders>
              <w:top w:val="nil"/>
              <w:left w:val="single" w:color="auto" w:sz="4" w:space="0"/>
              <w:bottom w:val="single" w:color="auto" w:sz="4" w:space="0"/>
              <w:right w:val="nil"/>
            </w:tcBorders>
            <w:shd w:val="clear" w:color="auto" w:fill="auto"/>
            <w:vAlign w:val="center"/>
          </w:tcPr>
          <w:p>
            <w:pPr>
              <w:rPr>
                <w:rFonts w:hint="default" w:cs="宋体"/>
                <w:color w:val="000000"/>
                <w:sz w:val="22"/>
                <w:szCs w:val="22"/>
              </w:rPr>
            </w:pPr>
            <w:r>
              <w:rPr>
                <w:rFonts w:cs="宋体"/>
                <w:color w:val="000000"/>
                <w:sz w:val="22"/>
                <w:szCs w:val="22"/>
              </w:rPr>
              <w:t>一般公共预算</w:t>
            </w:r>
          </w:p>
        </w:tc>
        <w:tc>
          <w:tcPr>
            <w:tcW w:w="0" w:type="auto"/>
            <w:tcBorders>
              <w:top w:val="nil"/>
              <w:left w:val="nil"/>
              <w:bottom w:val="single" w:color="auto" w:sz="4" w:space="0"/>
              <w:right w:val="single" w:color="auto" w:sz="4" w:space="0"/>
            </w:tcBorders>
            <w:shd w:val="clear" w:color="auto" w:fill="auto"/>
            <w:noWrap/>
            <w:vAlign w:val="center"/>
          </w:tcPr>
          <w:p>
            <w:pPr>
              <w:rPr>
                <w:rFonts w:hint="default" w:cs="宋体"/>
                <w:color w:val="000000"/>
                <w:sz w:val="22"/>
                <w:szCs w:val="22"/>
              </w:rPr>
            </w:pPr>
            <w:r>
              <w:rPr>
                <w:rFonts w:cs="宋体"/>
                <w:color w:val="000000"/>
                <w:sz w:val="22"/>
                <w:szCs w:val="22"/>
              </w:rPr>
              <w:t>　</w:t>
            </w:r>
          </w:p>
        </w:tc>
        <w:tc>
          <w:tcPr>
            <w:tcW w:w="0" w:type="auto"/>
            <w:tcBorders>
              <w:top w:val="nil"/>
              <w:left w:val="nil"/>
              <w:bottom w:val="single" w:color="auto" w:sz="4" w:space="0"/>
              <w:right w:val="nil"/>
            </w:tcBorders>
            <w:shd w:val="clear" w:color="auto" w:fill="auto"/>
            <w:noWrap/>
            <w:vAlign w:val="center"/>
          </w:tcPr>
          <w:p>
            <w:pPr>
              <w:rPr>
                <w:rFonts w:hint="default" w:cs="宋体"/>
                <w:color w:val="000000"/>
                <w:sz w:val="22"/>
                <w:szCs w:val="22"/>
              </w:rPr>
            </w:pPr>
            <w:r>
              <w:rPr>
                <w:rFonts w:cs="宋体"/>
                <w:color w:val="000000"/>
                <w:sz w:val="22"/>
                <w:szCs w:val="22"/>
              </w:rPr>
              <w:t>　</w:t>
            </w:r>
          </w:p>
        </w:tc>
        <w:tc>
          <w:tcPr>
            <w:tcW w:w="0" w:type="auto"/>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22"/>
                <w:szCs w:val="22"/>
              </w:rPr>
            </w:pPr>
            <w:r>
              <w:rPr>
                <w:rFonts w:cs="宋体"/>
                <w:color w:val="000000"/>
                <w:sz w:val="22"/>
                <w:szCs w:val="22"/>
              </w:rPr>
              <w:t xml:space="preserve">248,060.00 </w:t>
            </w:r>
          </w:p>
        </w:tc>
        <w:tc>
          <w:tcPr>
            <w:tcW w:w="0" w:type="auto"/>
            <w:tcBorders>
              <w:top w:val="nil"/>
              <w:left w:val="nil"/>
              <w:bottom w:val="single" w:color="auto" w:sz="4" w:space="0"/>
              <w:right w:val="nil"/>
            </w:tcBorders>
            <w:shd w:val="clear" w:color="auto" w:fill="auto"/>
            <w:noWrap/>
            <w:vAlign w:val="center"/>
          </w:tcPr>
          <w:p>
            <w:pPr>
              <w:rPr>
                <w:rFonts w:hint="default" w:cs="宋体"/>
                <w:color w:val="000000"/>
                <w:sz w:val="22"/>
                <w:szCs w:val="22"/>
              </w:rPr>
            </w:pPr>
            <w:r>
              <w:rPr>
                <w:rFonts w:cs="宋体"/>
                <w:color w:val="000000"/>
                <w:sz w:val="22"/>
                <w:szCs w:val="22"/>
              </w:rPr>
              <w:t>　</w:t>
            </w:r>
          </w:p>
        </w:tc>
        <w:tc>
          <w:tcPr>
            <w:tcW w:w="0" w:type="auto"/>
            <w:tcBorders>
              <w:top w:val="nil"/>
              <w:left w:val="nil"/>
              <w:bottom w:val="single" w:color="auto" w:sz="4" w:space="0"/>
              <w:right w:val="single" w:color="auto" w:sz="4" w:space="0"/>
            </w:tcBorders>
            <w:shd w:val="clear" w:color="auto" w:fill="auto"/>
            <w:vAlign w:val="center"/>
          </w:tcPr>
          <w:p>
            <w:pPr>
              <w:jc w:val="right"/>
              <w:rPr>
                <w:rFonts w:hint="default" w:cs="宋体"/>
                <w:color w:val="000000"/>
                <w:sz w:val="22"/>
                <w:szCs w:val="22"/>
              </w:rPr>
            </w:pPr>
            <w:r>
              <w:rPr>
                <w:rFonts w:cs="宋体"/>
                <w:color w:val="000000"/>
                <w:sz w:val="22"/>
                <w:szCs w:val="22"/>
              </w:rPr>
              <w:t xml:space="preserve">488,600.00 </w:t>
            </w:r>
          </w:p>
        </w:tc>
        <w:tc>
          <w:tcPr>
            <w:tcW w:w="0" w:type="auto"/>
            <w:tcBorders>
              <w:top w:val="nil"/>
              <w:left w:val="nil"/>
              <w:bottom w:val="single" w:color="auto" w:sz="4" w:space="0"/>
              <w:right w:val="nil"/>
            </w:tcBorders>
            <w:shd w:val="clear" w:color="auto" w:fill="auto"/>
            <w:noWrap/>
            <w:vAlign w:val="center"/>
          </w:tcPr>
          <w:p>
            <w:pPr>
              <w:rPr>
                <w:rFonts w:hint="default" w:cs="宋体"/>
                <w:color w:val="000000"/>
                <w:sz w:val="22"/>
                <w:szCs w:val="22"/>
              </w:rPr>
            </w:pPr>
            <w:r>
              <w:rPr>
                <w:rFonts w:cs="宋体"/>
                <w:color w:val="000000"/>
                <w:sz w:val="22"/>
                <w:szCs w:val="22"/>
              </w:rPr>
              <w:t>　</w:t>
            </w:r>
          </w:p>
        </w:tc>
        <w:tc>
          <w:tcPr>
            <w:tcW w:w="0" w:type="auto"/>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22"/>
                <w:szCs w:val="22"/>
              </w:rPr>
            </w:pPr>
            <w:r>
              <w:rPr>
                <w:rFonts w:cs="宋体"/>
                <w:color w:val="000000"/>
                <w:sz w:val="22"/>
                <w:szCs w:val="22"/>
              </w:rPr>
              <w:t xml:space="preserve">488,600.00 </w:t>
            </w:r>
          </w:p>
        </w:tc>
        <w:tc>
          <w:tcPr>
            <w:tcW w:w="0" w:type="auto"/>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22"/>
                <w:szCs w:val="22"/>
              </w:rPr>
            </w:pPr>
            <w:r>
              <w:rPr>
                <w:rFonts w:cs="宋体"/>
                <w:color w:val="000000"/>
                <w:sz w:val="22"/>
                <w:szCs w:val="22"/>
              </w:rPr>
              <w:t>100</w:t>
            </w:r>
          </w:p>
        </w:tc>
        <w:tc>
          <w:tcPr>
            <w:tcW w:w="0" w:type="auto"/>
            <w:tcBorders>
              <w:top w:val="nil"/>
              <w:left w:val="nil"/>
              <w:bottom w:val="single" w:color="auto" w:sz="4" w:space="0"/>
              <w:right w:val="single" w:color="auto" w:sz="4" w:space="0"/>
            </w:tcBorders>
            <w:shd w:val="clear" w:color="auto" w:fill="auto"/>
            <w:noWrap/>
            <w:vAlign w:val="center"/>
          </w:tcPr>
          <w:p>
            <w:pPr>
              <w:rPr>
                <w:rFonts w:hint="default" w:cs="宋体"/>
                <w:color w:val="000000"/>
                <w:sz w:val="22"/>
                <w:szCs w:val="22"/>
              </w:rPr>
            </w:pPr>
            <w:r>
              <w:rPr>
                <w:rFonts w:cs="宋体"/>
                <w:color w:val="000000"/>
                <w:sz w:val="22"/>
                <w:szCs w:val="22"/>
              </w:rPr>
              <w:t>　</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sz w:val="22"/>
                <w:szCs w:val="22"/>
              </w:rPr>
            </w:pPr>
            <w:r>
              <w:rPr>
                <w:rFonts w:cs="宋体"/>
                <w:sz w:val="22"/>
                <w:szCs w:val="22"/>
              </w:rPr>
              <w:t>　</w:t>
            </w:r>
          </w:p>
        </w:tc>
      </w:tr>
      <w:tr>
        <w:tblPrEx>
          <w:tblCellMar>
            <w:top w:w="0" w:type="dxa"/>
            <w:left w:w="108" w:type="dxa"/>
            <w:bottom w:w="0" w:type="dxa"/>
            <w:right w:w="108" w:type="dxa"/>
          </w:tblCellMar>
        </w:tblPrEx>
        <w:trPr>
          <w:trHeight w:val="600" w:hRule="atLeast"/>
        </w:trPr>
        <w:tc>
          <w:tcPr>
            <w:tcW w:w="0" w:type="auto"/>
            <w:gridSpan w:val="11"/>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default" w:ascii="微软雅黑" w:hAnsi="微软雅黑" w:eastAsia="微软雅黑" w:cs="宋体"/>
                <w:b/>
                <w:bCs/>
                <w:color w:val="7F7F7F"/>
                <w:sz w:val="28"/>
                <w:szCs w:val="28"/>
              </w:rPr>
            </w:pPr>
            <w:r>
              <w:rPr>
                <w:rFonts w:ascii="微软雅黑" w:hAnsi="微软雅黑" w:eastAsia="微软雅黑" w:cs="宋体"/>
                <w:b/>
                <w:bCs/>
                <w:color w:val="7F7F7F"/>
                <w:sz w:val="28"/>
                <w:szCs w:val="28"/>
              </w:rPr>
              <w:t>绩效目标</w:t>
            </w:r>
          </w:p>
        </w:tc>
      </w:tr>
      <w:tr>
        <w:tblPrEx>
          <w:tblCellMar>
            <w:top w:w="0" w:type="dxa"/>
            <w:left w:w="108" w:type="dxa"/>
            <w:bottom w:w="0" w:type="dxa"/>
            <w:right w:w="108" w:type="dxa"/>
          </w:tblCellMar>
        </w:tblPrEx>
        <w:trPr>
          <w:trHeight w:val="499" w:hRule="atLeast"/>
        </w:trPr>
        <w:tc>
          <w:tcPr>
            <w:tcW w:w="0" w:type="auto"/>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default" w:cs="宋体"/>
                <w:b/>
                <w:bCs/>
                <w:color w:val="000000"/>
                <w:sz w:val="22"/>
                <w:szCs w:val="22"/>
              </w:rPr>
            </w:pPr>
            <w:r>
              <w:rPr>
                <w:rFonts w:cs="宋体"/>
                <w:b/>
                <w:bCs/>
                <w:color w:val="000000"/>
                <w:sz w:val="22"/>
                <w:szCs w:val="22"/>
              </w:rPr>
              <w:t>年初绩效目标</w:t>
            </w:r>
          </w:p>
        </w:tc>
        <w:tc>
          <w:tcPr>
            <w:tcW w:w="0" w:type="auto"/>
            <w:gridSpan w:val="4"/>
            <w:tcBorders>
              <w:top w:val="single" w:color="auto" w:sz="4" w:space="0"/>
              <w:left w:val="nil"/>
              <w:bottom w:val="single" w:color="auto" w:sz="4" w:space="0"/>
              <w:right w:val="single" w:color="auto" w:sz="4" w:space="0"/>
            </w:tcBorders>
            <w:shd w:val="clear" w:color="auto" w:fill="auto"/>
            <w:noWrap/>
            <w:vAlign w:val="center"/>
          </w:tcPr>
          <w:p>
            <w:pPr>
              <w:jc w:val="center"/>
              <w:rPr>
                <w:rFonts w:hint="default" w:cs="宋体"/>
                <w:b/>
                <w:bCs/>
                <w:color w:val="000000"/>
                <w:sz w:val="22"/>
                <w:szCs w:val="22"/>
              </w:rPr>
            </w:pPr>
            <w:r>
              <w:rPr>
                <w:rFonts w:cs="宋体"/>
                <w:b/>
                <w:bCs/>
                <w:color w:val="000000"/>
                <w:sz w:val="22"/>
                <w:szCs w:val="22"/>
              </w:rPr>
              <w:t>全年（调整）绩效目标</w:t>
            </w:r>
          </w:p>
        </w:tc>
        <w:tc>
          <w:tcPr>
            <w:tcW w:w="0" w:type="auto"/>
            <w:gridSpan w:val="3"/>
            <w:tcBorders>
              <w:top w:val="single" w:color="auto" w:sz="4" w:space="0"/>
              <w:left w:val="nil"/>
              <w:bottom w:val="single" w:color="auto" w:sz="4" w:space="0"/>
              <w:right w:val="single" w:color="auto" w:sz="4" w:space="0"/>
            </w:tcBorders>
            <w:shd w:val="clear" w:color="auto" w:fill="auto"/>
            <w:noWrap/>
            <w:vAlign w:val="center"/>
          </w:tcPr>
          <w:p>
            <w:pPr>
              <w:jc w:val="center"/>
              <w:rPr>
                <w:rFonts w:hint="default" w:cs="宋体"/>
                <w:b/>
                <w:bCs/>
                <w:color w:val="000000"/>
                <w:sz w:val="22"/>
                <w:szCs w:val="22"/>
              </w:rPr>
            </w:pPr>
            <w:r>
              <w:rPr>
                <w:rFonts w:cs="宋体"/>
                <w:b/>
                <w:bCs/>
                <w:color w:val="000000"/>
                <w:sz w:val="22"/>
                <w:szCs w:val="22"/>
              </w:rPr>
              <w:t>全年目标实际完成情况</w:t>
            </w:r>
          </w:p>
        </w:tc>
      </w:tr>
      <w:tr>
        <w:tblPrEx>
          <w:tblCellMar>
            <w:top w:w="0" w:type="dxa"/>
            <w:left w:w="108" w:type="dxa"/>
            <w:bottom w:w="0" w:type="dxa"/>
            <w:right w:w="108" w:type="dxa"/>
          </w:tblCellMar>
        </w:tblPrEx>
        <w:trPr>
          <w:trHeight w:val="1602" w:hRule="atLeast"/>
        </w:trPr>
        <w:tc>
          <w:tcPr>
            <w:tcW w:w="0" w:type="auto"/>
            <w:gridSpan w:val="4"/>
            <w:tcBorders>
              <w:top w:val="single" w:color="auto" w:sz="4" w:space="0"/>
              <w:left w:val="single" w:color="auto" w:sz="4" w:space="0"/>
              <w:bottom w:val="single" w:color="auto" w:sz="4" w:space="0"/>
              <w:right w:val="single" w:color="auto" w:sz="4" w:space="0"/>
            </w:tcBorders>
            <w:shd w:val="clear" w:color="auto" w:fill="auto"/>
          </w:tcPr>
          <w:p>
            <w:pPr>
              <w:rPr>
                <w:rFonts w:hint="default" w:cs="宋体"/>
                <w:color w:val="000000"/>
                <w:sz w:val="22"/>
                <w:szCs w:val="22"/>
              </w:rPr>
            </w:pPr>
            <w:r>
              <w:rPr>
                <w:rFonts w:cs="宋体"/>
                <w:color w:val="000000"/>
                <w:sz w:val="22"/>
                <w:szCs w:val="22"/>
              </w:rPr>
              <w:t>老党员生活补贴，保障老党员生活质量。</w:t>
            </w:r>
          </w:p>
        </w:tc>
        <w:tc>
          <w:tcPr>
            <w:tcW w:w="0" w:type="auto"/>
            <w:gridSpan w:val="4"/>
            <w:tcBorders>
              <w:top w:val="single" w:color="auto" w:sz="4" w:space="0"/>
              <w:left w:val="nil"/>
              <w:bottom w:val="single" w:color="auto" w:sz="4" w:space="0"/>
              <w:right w:val="single" w:color="auto" w:sz="4" w:space="0"/>
            </w:tcBorders>
            <w:shd w:val="clear" w:color="auto" w:fill="auto"/>
          </w:tcPr>
          <w:p>
            <w:pPr>
              <w:rPr>
                <w:rFonts w:hint="default" w:cs="宋体"/>
                <w:color w:val="000000"/>
                <w:sz w:val="22"/>
                <w:szCs w:val="22"/>
              </w:rPr>
            </w:pPr>
            <w:r>
              <w:rPr>
                <w:rFonts w:cs="宋体"/>
                <w:color w:val="000000"/>
                <w:sz w:val="22"/>
                <w:szCs w:val="22"/>
              </w:rPr>
              <w:t>　</w:t>
            </w:r>
          </w:p>
        </w:tc>
        <w:tc>
          <w:tcPr>
            <w:tcW w:w="0" w:type="auto"/>
            <w:gridSpan w:val="3"/>
            <w:tcBorders>
              <w:top w:val="single" w:color="auto" w:sz="4" w:space="0"/>
              <w:left w:val="nil"/>
              <w:bottom w:val="single" w:color="auto" w:sz="4" w:space="0"/>
              <w:right w:val="single" w:color="auto" w:sz="4" w:space="0"/>
            </w:tcBorders>
            <w:shd w:val="clear" w:color="auto" w:fill="auto"/>
          </w:tcPr>
          <w:p>
            <w:pPr>
              <w:rPr>
                <w:rFonts w:hint="default" w:cs="宋体"/>
                <w:color w:val="000000"/>
                <w:sz w:val="22"/>
                <w:szCs w:val="22"/>
              </w:rPr>
            </w:pPr>
            <w:r>
              <w:rPr>
                <w:rFonts w:cs="宋体"/>
                <w:color w:val="000000"/>
                <w:sz w:val="22"/>
                <w:szCs w:val="22"/>
              </w:rPr>
              <w:t>已完成</w:t>
            </w:r>
          </w:p>
        </w:tc>
      </w:tr>
      <w:tr>
        <w:tblPrEx>
          <w:tblCellMar>
            <w:top w:w="0" w:type="dxa"/>
            <w:left w:w="108" w:type="dxa"/>
            <w:bottom w:w="0" w:type="dxa"/>
            <w:right w:w="108" w:type="dxa"/>
          </w:tblCellMar>
        </w:tblPrEx>
        <w:trPr>
          <w:trHeight w:val="600" w:hRule="atLeast"/>
        </w:trPr>
        <w:tc>
          <w:tcPr>
            <w:tcW w:w="0" w:type="auto"/>
            <w:gridSpan w:val="11"/>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default" w:ascii="微软雅黑" w:hAnsi="微软雅黑" w:eastAsia="微软雅黑" w:cs="宋体"/>
                <w:b/>
                <w:bCs/>
                <w:color w:val="7F7F7F"/>
                <w:sz w:val="28"/>
                <w:szCs w:val="28"/>
              </w:rPr>
            </w:pPr>
            <w:r>
              <w:rPr>
                <w:rFonts w:ascii="微软雅黑" w:hAnsi="微软雅黑" w:eastAsia="微软雅黑" w:cs="宋体"/>
                <w:b/>
                <w:bCs/>
                <w:color w:val="7F7F7F"/>
                <w:sz w:val="28"/>
                <w:szCs w:val="28"/>
              </w:rPr>
              <w:t>绩效指标</w:t>
            </w:r>
          </w:p>
        </w:tc>
      </w:tr>
      <w:tr>
        <w:tblPrEx>
          <w:tblCellMar>
            <w:top w:w="0" w:type="dxa"/>
            <w:left w:w="108" w:type="dxa"/>
            <w:bottom w:w="0" w:type="dxa"/>
            <w:right w:w="108" w:type="dxa"/>
          </w:tblCellMar>
        </w:tblPrEx>
        <w:trPr>
          <w:trHeight w:val="499"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pPr>
              <w:jc w:val="center"/>
              <w:rPr>
                <w:rFonts w:hint="default" w:cs="宋体"/>
                <w:b/>
                <w:bCs/>
                <w:color w:val="000000"/>
                <w:sz w:val="22"/>
                <w:szCs w:val="22"/>
              </w:rPr>
            </w:pPr>
            <w:r>
              <w:rPr>
                <w:rFonts w:cs="宋体"/>
                <w:b/>
                <w:bCs/>
                <w:color w:val="000000"/>
                <w:sz w:val="22"/>
                <w:szCs w:val="22"/>
              </w:rPr>
              <w:t>指标名称</w:t>
            </w:r>
          </w:p>
        </w:tc>
        <w:tc>
          <w:tcPr>
            <w:tcW w:w="0" w:type="auto"/>
            <w:tcBorders>
              <w:top w:val="nil"/>
              <w:left w:val="nil"/>
              <w:bottom w:val="single" w:color="auto" w:sz="4" w:space="0"/>
              <w:right w:val="single" w:color="auto" w:sz="4" w:space="0"/>
            </w:tcBorders>
            <w:shd w:val="clear" w:color="auto" w:fill="auto"/>
            <w:noWrap/>
            <w:vAlign w:val="center"/>
          </w:tcPr>
          <w:p>
            <w:pPr>
              <w:jc w:val="center"/>
              <w:rPr>
                <w:rFonts w:hint="default" w:cs="宋体"/>
                <w:b/>
                <w:bCs/>
                <w:color w:val="000000"/>
                <w:sz w:val="22"/>
                <w:szCs w:val="22"/>
              </w:rPr>
            </w:pPr>
            <w:r>
              <w:rPr>
                <w:rFonts w:cs="宋体"/>
                <w:b/>
                <w:bCs/>
                <w:color w:val="000000"/>
                <w:sz w:val="22"/>
                <w:szCs w:val="22"/>
              </w:rPr>
              <w:t>计量单位</w:t>
            </w:r>
          </w:p>
        </w:tc>
        <w:tc>
          <w:tcPr>
            <w:tcW w:w="0" w:type="auto"/>
            <w:tcBorders>
              <w:top w:val="nil"/>
              <w:left w:val="nil"/>
              <w:bottom w:val="single" w:color="auto" w:sz="4" w:space="0"/>
              <w:right w:val="single" w:color="auto" w:sz="4" w:space="0"/>
            </w:tcBorders>
            <w:shd w:val="clear" w:color="auto" w:fill="auto"/>
            <w:noWrap/>
            <w:vAlign w:val="center"/>
          </w:tcPr>
          <w:p>
            <w:pPr>
              <w:jc w:val="center"/>
              <w:rPr>
                <w:rFonts w:hint="default" w:cs="宋体"/>
                <w:b/>
                <w:bCs/>
                <w:color w:val="000000"/>
                <w:sz w:val="22"/>
                <w:szCs w:val="22"/>
              </w:rPr>
            </w:pPr>
            <w:r>
              <w:rPr>
                <w:rFonts w:cs="宋体"/>
                <w:b/>
                <w:bCs/>
                <w:color w:val="000000"/>
                <w:sz w:val="22"/>
                <w:szCs w:val="22"/>
              </w:rPr>
              <w:t>指标性质</w:t>
            </w:r>
          </w:p>
        </w:tc>
        <w:tc>
          <w:tcPr>
            <w:tcW w:w="0" w:type="auto"/>
            <w:tcBorders>
              <w:top w:val="nil"/>
              <w:left w:val="nil"/>
              <w:bottom w:val="single" w:color="auto" w:sz="4" w:space="0"/>
              <w:right w:val="single" w:color="auto" w:sz="4" w:space="0"/>
            </w:tcBorders>
            <w:shd w:val="clear" w:color="auto" w:fill="auto"/>
            <w:noWrap/>
            <w:vAlign w:val="center"/>
          </w:tcPr>
          <w:p>
            <w:pPr>
              <w:jc w:val="center"/>
              <w:rPr>
                <w:rFonts w:hint="default" w:cs="宋体"/>
                <w:b/>
                <w:bCs/>
                <w:color w:val="000000"/>
                <w:sz w:val="22"/>
                <w:szCs w:val="22"/>
              </w:rPr>
            </w:pPr>
            <w:r>
              <w:rPr>
                <w:rFonts w:cs="宋体"/>
                <w:b/>
                <w:bCs/>
                <w:color w:val="000000"/>
                <w:sz w:val="22"/>
                <w:szCs w:val="22"/>
              </w:rPr>
              <w:t>指标值</w:t>
            </w:r>
          </w:p>
        </w:tc>
        <w:tc>
          <w:tcPr>
            <w:tcW w:w="0" w:type="auto"/>
            <w:tcBorders>
              <w:top w:val="nil"/>
              <w:left w:val="nil"/>
              <w:bottom w:val="single" w:color="auto" w:sz="4" w:space="0"/>
              <w:right w:val="single" w:color="auto" w:sz="4" w:space="0"/>
            </w:tcBorders>
            <w:shd w:val="clear" w:color="auto" w:fill="auto"/>
            <w:noWrap/>
            <w:vAlign w:val="center"/>
          </w:tcPr>
          <w:p>
            <w:pPr>
              <w:jc w:val="center"/>
              <w:rPr>
                <w:rFonts w:hint="default" w:cs="宋体"/>
                <w:b/>
                <w:bCs/>
                <w:color w:val="000000"/>
                <w:sz w:val="22"/>
                <w:szCs w:val="22"/>
              </w:rPr>
            </w:pPr>
            <w:r>
              <w:rPr>
                <w:rFonts w:cs="宋体"/>
                <w:b/>
                <w:bCs/>
                <w:color w:val="000000"/>
                <w:sz w:val="22"/>
                <w:szCs w:val="22"/>
              </w:rPr>
              <w:t>全年完成值</w:t>
            </w:r>
          </w:p>
        </w:tc>
        <w:tc>
          <w:tcPr>
            <w:tcW w:w="0" w:type="auto"/>
            <w:tcBorders>
              <w:top w:val="nil"/>
              <w:left w:val="nil"/>
              <w:bottom w:val="single" w:color="auto" w:sz="4" w:space="0"/>
              <w:right w:val="single" w:color="auto" w:sz="4" w:space="0"/>
            </w:tcBorders>
            <w:shd w:val="clear" w:color="auto" w:fill="auto"/>
            <w:noWrap/>
            <w:vAlign w:val="center"/>
          </w:tcPr>
          <w:p>
            <w:pPr>
              <w:jc w:val="center"/>
              <w:rPr>
                <w:rFonts w:hint="default" w:cs="宋体"/>
                <w:b/>
                <w:bCs/>
                <w:color w:val="000000"/>
                <w:sz w:val="22"/>
                <w:szCs w:val="22"/>
              </w:rPr>
            </w:pPr>
            <w:r>
              <w:rPr>
                <w:rFonts w:cs="宋体"/>
                <w:b/>
                <w:bCs/>
                <w:color w:val="000000"/>
                <w:sz w:val="22"/>
                <w:szCs w:val="22"/>
              </w:rPr>
              <w:t>偏离度（%）</w:t>
            </w:r>
          </w:p>
        </w:tc>
        <w:tc>
          <w:tcPr>
            <w:tcW w:w="0" w:type="auto"/>
            <w:tcBorders>
              <w:top w:val="nil"/>
              <w:left w:val="nil"/>
              <w:bottom w:val="single" w:color="auto" w:sz="4" w:space="0"/>
              <w:right w:val="single" w:color="auto" w:sz="4" w:space="0"/>
            </w:tcBorders>
            <w:shd w:val="clear" w:color="auto" w:fill="auto"/>
            <w:noWrap/>
            <w:vAlign w:val="center"/>
          </w:tcPr>
          <w:p>
            <w:pPr>
              <w:jc w:val="center"/>
              <w:rPr>
                <w:rFonts w:hint="default" w:cs="宋体"/>
                <w:b/>
                <w:bCs/>
                <w:color w:val="000000"/>
                <w:sz w:val="22"/>
                <w:szCs w:val="22"/>
              </w:rPr>
            </w:pPr>
            <w:r>
              <w:rPr>
                <w:rFonts w:cs="宋体"/>
                <w:b/>
                <w:bCs/>
                <w:color w:val="000000"/>
                <w:sz w:val="22"/>
                <w:szCs w:val="22"/>
              </w:rPr>
              <w:t>得分系数（%）</w:t>
            </w:r>
          </w:p>
        </w:tc>
        <w:tc>
          <w:tcPr>
            <w:tcW w:w="0" w:type="auto"/>
            <w:tcBorders>
              <w:top w:val="nil"/>
              <w:left w:val="nil"/>
              <w:bottom w:val="single" w:color="auto" w:sz="4" w:space="0"/>
              <w:right w:val="single" w:color="auto" w:sz="4" w:space="0"/>
            </w:tcBorders>
            <w:shd w:val="clear" w:color="auto" w:fill="auto"/>
            <w:noWrap/>
            <w:vAlign w:val="center"/>
          </w:tcPr>
          <w:p>
            <w:pPr>
              <w:jc w:val="center"/>
              <w:rPr>
                <w:rFonts w:hint="default" w:cs="宋体"/>
                <w:b/>
                <w:bCs/>
                <w:color w:val="000000"/>
                <w:sz w:val="22"/>
                <w:szCs w:val="22"/>
              </w:rPr>
            </w:pPr>
            <w:r>
              <w:rPr>
                <w:rFonts w:cs="宋体"/>
                <w:b/>
                <w:bCs/>
                <w:color w:val="000000"/>
                <w:sz w:val="22"/>
                <w:szCs w:val="22"/>
              </w:rPr>
              <w:t>指标权重</w:t>
            </w:r>
          </w:p>
        </w:tc>
        <w:tc>
          <w:tcPr>
            <w:tcW w:w="0" w:type="auto"/>
            <w:tcBorders>
              <w:top w:val="nil"/>
              <w:left w:val="nil"/>
              <w:bottom w:val="single" w:color="auto" w:sz="4" w:space="0"/>
              <w:right w:val="single" w:color="auto" w:sz="4" w:space="0"/>
            </w:tcBorders>
            <w:shd w:val="clear" w:color="auto" w:fill="auto"/>
            <w:noWrap/>
            <w:vAlign w:val="center"/>
          </w:tcPr>
          <w:p>
            <w:pPr>
              <w:jc w:val="center"/>
              <w:rPr>
                <w:rFonts w:hint="default" w:cs="宋体"/>
                <w:b/>
                <w:bCs/>
                <w:color w:val="000000"/>
                <w:sz w:val="22"/>
                <w:szCs w:val="22"/>
              </w:rPr>
            </w:pPr>
            <w:r>
              <w:rPr>
                <w:rFonts w:cs="宋体"/>
                <w:b/>
                <w:bCs/>
                <w:color w:val="000000"/>
                <w:sz w:val="22"/>
                <w:szCs w:val="22"/>
              </w:rPr>
              <w:t>指标得分</w:t>
            </w:r>
          </w:p>
        </w:tc>
        <w:tc>
          <w:tcPr>
            <w:tcW w:w="0" w:type="auto"/>
            <w:tcBorders>
              <w:top w:val="nil"/>
              <w:left w:val="nil"/>
              <w:bottom w:val="single" w:color="auto" w:sz="4" w:space="0"/>
              <w:right w:val="single" w:color="auto" w:sz="4" w:space="0"/>
            </w:tcBorders>
            <w:shd w:val="clear" w:color="auto" w:fill="auto"/>
            <w:noWrap/>
            <w:vAlign w:val="center"/>
          </w:tcPr>
          <w:p>
            <w:pPr>
              <w:jc w:val="center"/>
              <w:rPr>
                <w:rFonts w:hint="default" w:cs="宋体"/>
                <w:b/>
                <w:bCs/>
                <w:color w:val="000000"/>
                <w:sz w:val="22"/>
                <w:szCs w:val="22"/>
              </w:rPr>
            </w:pPr>
            <w:r>
              <w:rPr>
                <w:rFonts w:cs="宋体"/>
                <w:b/>
                <w:bCs/>
                <w:color w:val="000000"/>
                <w:sz w:val="22"/>
                <w:szCs w:val="22"/>
              </w:rPr>
              <w:t>是否核心指标</w:t>
            </w:r>
          </w:p>
        </w:tc>
        <w:tc>
          <w:tcPr>
            <w:tcW w:w="0" w:type="auto"/>
            <w:tcBorders>
              <w:top w:val="nil"/>
              <w:left w:val="nil"/>
              <w:bottom w:val="single" w:color="auto" w:sz="4" w:space="0"/>
              <w:right w:val="single" w:color="auto" w:sz="4" w:space="0"/>
            </w:tcBorders>
            <w:shd w:val="clear" w:color="auto" w:fill="auto"/>
            <w:noWrap/>
            <w:vAlign w:val="center"/>
          </w:tcPr>
          <w:p>
            <w:pPr>
              <w:jc w:val="center"/>
              <w:rPr>
                <w:rFonts w:hint="default" w:cs="宋体"/>
                <w:b/>
                <w:bCs/>
                <w:color w:val="000000"/>
                <w:sz w:val="22"/>
                <w:szCs w:val="22"/>
              </w:rPr>
            </w:pPr>
            <w:r>
              <w:rPr>
                <w:rFonts w:cs="宋体"/>
                <w:b/>
                <w:bCs/>
                <w:color w:val="000000"/>
                <w:sz w:val="22"/>
                <w:szCs w:val="22"/>
              </w:rPr>
              <w:t>说明</w:t>
            </w:r>
          </w:p>
        </w:tc>
      </w:tr>
      <w:tr>
        <w:tblPrEx>
          <w:tblCellMar>
            <w:top w:w="0" w:type="dxa"/>
            <w:left w:w="108" w:type="dxa"/>
            <w:bottom w:w="0" w:type="dxa"/>
            <w:right w:w="108" w:type="dxa"/>
          </w:tblCellMar>
        </w:tblPrEx>
        <w:trPr>
          <w:trHeight w:val="499"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老党员人数</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人</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174</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174</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0</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100</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15</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15</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否</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　</w:t>
            </w:r>
          </w:p>
        </w:tc>
      </w:tr>
      <w:tr>
        <w:tblPrEx>
          <w:tblCellMar>
            <w:top w:w="0" w:type="dxa"/>
            <w:left w:w="108" w:type="dxa"/>
            <w:bottom w:w="0" w:type="dxa"/>
            <w:right w:w="108" w:type="dxa"/>
          </w:tblCellMar>
        </w:tblPrEx>
        <w:trPr>
          <w:trHeight w:val="499"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老党员补贴发放覆盖率</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100</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100</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0</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100</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15</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15</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否</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　</w:t>
            </w:r>
          </w:p>
        </w:tc>
      </w:tr>
      <w:tr>
        <w:tblPrEx>
          <w:tblCellMar>
            <w:top w:w="0" w:type="dxa"/>
            <w:left w:w="108" w:type="dxa"/>
            <w:bottom w:w="0" w:type="dxa"/>
            <w:right w:w="108" w:type="dxa"/>
          </w:tblCellMar>
        </w:tblPrEx>
        <w:trPr>
          <w:trHeight w:val="499"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老党员补贴发放及时率</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100</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100</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0</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100</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15</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15</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否</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　</w:t>
            </w:r>
          </w:p>
        </w:tc>
      </w:tr>
      <w:tr>
        <w:tblPrEx>
          <w:tblCellMar>
            <w:top w:w="0" w:type="dxa"/>
            <w:left w:w="108" w:type="dxa"/>
            <w:bottom w:w="0" w:type="dxa"/>
            <w:right w:w="108" w:type="dxa"/>
          </w:tblCellMar>
        </w:tblPrEx>
        <w:trPr>
          <w:trHeight w:val="499"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老党员满意度</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100</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100</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0</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100</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20</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20</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否</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　</w:t>
            </w:r>
          </w:p>
        </w:tc>
      </w:tr>
      <w:tr>
        <w:tblPrEx>
          <w:tblCellMar>
            <w:top w:w="0" w:type="dxa"/>
            <w:left w:w="108" w:type="dxa"/>
            <w:bottom w:w="0" w:type="dxa"/>
            <w:right w:w="108" w:type="dxa"/>
          </w:tblCellMar>
        </w:tblPrEx>
        <w:trPr>
          <w:trHeight w:val="499"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服务对象满意度</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95</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95</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0</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100</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10</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10</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否</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　</w:t>
            </w:r>
          </w:p>
        </w:tc>
      </w:tr>
      <w:tr>
        <w:tblPrEx>
          <w:tblCellMar>
            <w:top w:w="0" w:type="dxa"/>
            <w:left w:w="108" w:type="dxa"/>
            <w:bottom w:w="0" w:type="dxa"/>
            <w:right w:w="108" w:type="dxa"/>
          </w:tblCellMar>
        </w:tblPrEx>
        <w:trPr>
          <w:trHeight w:val="499"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老党员补贴金额</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元</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248060</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488600</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96.97</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100</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15</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15</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否</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调整预算</w:t>
            </w:r>
          </w:p>
        </w:tc>
      </w:tr>
    </w:tbl>
    <w:p>
      <w:pPr>
        <w:pStyle w:val="14"/>
        <w:spacing w:before="0" w:beforeAutospacing="0"/>
        <w:rPr>
          <w:rFonts w:ascii="方正仿宋_GBK" w:hAnsi="方正仿宋_GBK" w:eastAsia="方正仿宋_GBK" w:cs="方正仿宋_GBK"/>
          <w:sz w:val="28"/>
          <w:szCs w:val="28"/>
          <w:shd w:val="clear" w:color="auto" w:fill="FFFFFF"/>
        </w:rPr>
      </w:pPr>
    </w:p>
    <w:tbl>
      <w:tblPr>
        <w:tblStyle w:val="8"/>
        <w:tblW w:w="0" w:type="auto"/>
        <w:tblInd w:w="96" w:type="dxa"/>
        <w:tblLayout w:type="autofit"/>
        <w:tblCellMar>
          <w:top w:w="0" w:type="dxa"/>
          <w:left w:w="108" w:type="dxa"/>
          <w:bottom w:w="0" w:type="dxa"/>
          <w:right w:w="108" w:type="dxa"/>
        </w:tblCellMar>
      </w:tblPr>
      <w:tblGrid>
        <w:gridCol w:w="1143"/>
        <w:gridCol w:w="772"/>
        <w:gridCol w:w="772"/>
        <w:gridCol w:w="862"/>
        <w:gridCol w:w="680"/>
        <w:gridCol w:w="727"/>
        <w:gridCol w:w="816"/>
        <w:gridCol w:w="629"/>
        <w:gridCol w:w="585"/>
        <w:gridCol w:w="770"/>
        <w:gridCol w:w="679"/>
      </w:tblGrid>
      <w:tr>
        <w:tblPrEx>
          <w:tblCellMar>
            <w:top w:w="0" w:type="dxa"/>
            <w:left w:w="108" w:type="dxa"/>
            <w:bottom w:w="0" w:type="dxa"/>
            <w:right w:w="108" w:type="dxa"/>
          </w:tblCellMar>
        </w:tblPrEx>
        <w:trPr>
          <w:trHeight w:val="799" w:hRule="atLeast"/>
        </w:trPr>
        <w:tc>
          <w:tcPr>
            <w:tcW w:w="0" w:type="auto"/>
            <w:gridSpan w:val="11"/>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default" w:ascii="微软雅黑" w:hAnsi="微软雅黑" w:eastAsia="微软雅黑" w:cs="宋体"/>
                <w:b/>
                <w:bCs/>
                <w:color w:val="000000"/>
                <w:sz w:val="40"/>
                <w:szCs w:val="40"/>
              </w:rPr>
            </w:pPr>
            <w:r>
              <w:rPr>
                <w:rFonts w:ascii="微软雅黑" w:hAnsi="微软雅黑" w:eastAsia="微软雅黑" w:cs="宋体"/>
                <w:b/>
                <w:bCs/>
                <w:color w:val="000000"/>
                <w:sz w:val="40"/>
                <w:szCs w:val="40"/>
              </w:rPr>
              <w:t>2023年度二级项目绩效自评表</w:t>
            </w:r>
          </w:p>
        </w:tc>
      </w:tr>
      <w:tr>
        <w:tblPrEx>
          <w:tblCellMar>
            <w:top w:w="0" w:type="dxa"/>
            <w:left w:w="108" w:type="dxa"/>
            <w:bottom w:w="0" w:type="dxa"/>
            <w:right w:w="108" w:type="dxa"/>
          </w:tblCellMar>
        </w:tblPrEx>
        <w:trPr>
          <w:trHeight w:val="499" w:hRule="atLeast"/>
        </w:trPr>
        <w:tc>
          <w:tcPr>
            <w:tcW w:w="0" w:type="auto"/>
            <w:gridSpan w:val="11"/>
            <w:tcBorders>
              <w:top w:val="single" w:color="auto" w:sz="4" w:space="0"/>
              <w:left w:val="single" w:color="auto" w:sz="4" w:space="0"/>
              <w:bottom w:val="single" w:color="auto" w:sz="4" w:space="0"/>
              <w:right w:val="single" w:color="auto" w:sz="4" w:space="0"/>
            </w:tcBorders>
            <w:shd w:val="clear" w:color="auto" w:fill="auto"/>
            <w:noWrap/>
            <w:vAlign w:val="center"/>
          </w:tcPr>
          <w:p>
            <w:pPr>
              <w:ind w:firstLine="221" w:firstLineChars="100"/>
              <w:jc w:val="right"/>
              <w:rPr>
                <w:rFonts w:hint="default" w:cs="宋体"/>
                <w:b/>
                <w:bCs/>
                <w:color w:val="DA3232"/>
                <w:sz w:val="22"/>
                <w:szCs w:val="22"/>
              </w:rPr>
            </w:pPr>
            <w:r>
              <w:rPr>
                <w:rFonts w:cs="宋体"/>
                <w:b/>
                <w:bCs/>
                <w:color w:val="DA3232"/>
                <w:sz w:val="22"/>
                <w:szCs w:val="22"/>
              </w:rPr>
              <w:t>状态：绩效审核已审</w:t>
            </w:r>
          </w:p>
        </w:tc>
      </w:tr>
      <w:tr>
        <w:tblPrEx>
          <w:tblCellMar>
            <w:top w:w="0" w:type="dxa"/>
            <w:left w:w="108" w:type="dxa"/>
            <w:bottom w:w="0" w:type="dxa"/>
            <w:right w:w="108" w:type="dxa"/>
          </w:tblCellMar>
        </w:tblPrEx>
        <w:trPr>
          <w:trHeight w:val="499"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pPr>
              <w:jc w:val="right"/>
              <w:rPr>
                <w:rFonts w:hint="default" w:cs="宋体"/>
                <w:b/>
                <w:bCs/>
                <w:color w:val="000000"/>
                <w:sz w:val="22"/>
                <w:szCs w:val="22"/>
              </w:rPr>
            </w:pPr>
            <w:r>
              <w:rPr>
                <w:rFonts w:cs="宋体"/>
                <w:b/>
                <w:bCs/>
                <w:color w:val="000000"/>
                <w:sz w:val="22"/>
                <w:szCs w:val="22"/>
              </w:rPr>
              <w:t>项目名称：</w:t>
            </w:r>
          </w:p>
        </w:tc>
        <w:tc>
          <w:tcPr>
            <w:tcW w:w="0" w:type="auto"/>
            <w:gridSpan w:val="2"/>
            <w:tcBorders>
              <w:top w:val="single" w:color="auto" w:sz="4" w:space="0"/>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地质灾害避险搬迁项目</w:t>
            </w:r>
          </w:p>
        </w:tc>
        <w:tc>
          <w:tcPr>
            <w:tcW w:w="0" w:type="auto"/>
            <w:tcBorders>
              <w:top w:val="nil"/>
              <w:left w:val="nil"/>
              <w:bottom w:val="single" w:color="auto" w:sz="4" w:space="0"/>
              <w:right w:val="single" w:color="auto" w:sz="4" w:space="0"/>
            </w:tcBorders>
            <w:shd w:val="clear" w:color="auto" w:fill="auto"/>
            <w:noWrap/>
            <w:vAlign w:val="center"/>
          </w:tcPr>
          <w:p>
            <w:pPr>
              <w:jc w:val="right"/>
              <w:rPr>
                <w:rFonts w:hint="default" w:cs="宋体"/>
                <w:b/>
                <w:bCs/>
                <w:color w:val="000000"/>
                <w:sz w:val="22"/>
                <w:szCs w:val="22"/>
              </w:rPr>
            </w:pPr>
            <w:r>
              <w:rPr>
                <w:rFonts w:cs="宋体"/>
                <w:b/>
                <w:bCs/>
                <w:color w:val="000000"/>
                <w:sz w:val="22"/>
                <w:szCs w:val="22"/>
              </w:rPr>
              <w:t>项目编码：</w:t>
            </w:r>
          </w:p>
        </w:tc>
        <w:tc>
          <w:tcPr>
            <w:tcW w:w="0" w:type="auto"/>
            <w:gridSpan w:val="2"/>
            <w:tcBorders>
              <w:top w:val="single" w:color="auto" w:sz="4" w:space="0"/>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50023123T000002774067</w:t>
            </w:r>
          </w:p>
        </w:tc>
        <w:tc>
          <w:tcPr>
            <w:tcW w:w="0" w:type="auto"/>
            <w:tcBorders>
              <w:top w:val="nil"/>
              <w:left w:val="nil"/>
              <w:bottom w:val="single" w:color="auto" w:sz="4" w:space="0"/>
              <w:right w:val="single" w:color="auto" w:sz="4" w:space="0"/>
            </w:tcBorders>
            <w:shd w:val="clear" w:color="auto" w:fill="auto"/>
            <w:noWrap/>
            <w:vAlign w:val="center"/>
          </w:tcPr>
          <w:p>
            <w:pPr>
              <w:jc w:val="right"/>
              <w:rPr>
                <w:rFonts w:hint="default" w:cs="宋体"/>
                <w:b/>
                <w:bCs/>
                <w:color w:val="000000"/>
                <w:sz w:val="22"/>
                <w:szCs w:val="22"/>
              </w:rPr>
            </w:pPr>
            <w:r>
              <w:rPr>
                <w:rFonts w:cs="宋体"/>
                <w:b/>
                <w:bCs/>
                <w:color w:val="000000"/>
                <w:sz w:val="22"/>
                <w:szCs w:val="22"/>
              </w:rPr>
              <w:t>自评总分：</w:t>
            </w:r>
          </w:p>
        </w:tc>
        <w:tc>
          <w:tcPr>
            <w:tcW w:w="0" w:type="auto"/>
            <w:gridSpan w:val="2"/>
            <w:tcBorders>
              <w:top w:val="single" w:color="auto" w:sz="4" w:space="0"/>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100.00</w:t>
            </w:r>
          </w:p>
        </w:tc>
        <w:tc>
          <w:tcPr>
            <w:tcW w:w="0" w:type="auto"/>
            <w:tcBorders>
              <w:top w:val="nil"/>
              <w:left w:val="nil"/>
              <w:bottom w:val="single" w:color="auto" w:sz="4" w:space="0"/>
              <w:right w:val="single" w:color="auto" w:sz="4" w:space="0"/>
            </w:tcBorders>
            <w:shd w:val="clear" w:color="auto" w:fill="auto"/>
            <w:noWrap/>
            <w:vAlign w:val="center"/>
          </w:tcPr>
          <w:p>
            <w:pPr>
              <w:jc w:val="right"/>
              <w:rPr>
                <w:rFonts w:hint="default" w:cs="宋体"/>
                <w:b/>
                <w:bCs/>
                <w:color w:val="000000"/>
                <w:sz w:val="22"/>
                <w:szCs w:val="22"/>
              </w:rPr>
            </w:pPr>
            <w:r>
              <w:rPr>
                <w:rFonts w:cs="宋体"/>
                <w:b/>
                <w:bCs/>
                <w:color w:val="000000"/>
                <w:sz w:val="22"/>
                <w:szCs w:val="22"/>
              </w:rPr>
              <w:t>　</w:t>
            </w:r>
          </w:p>
        </w:tc>
        <w:tc>
          <w:tcPr>
            <w:tcW w:w="0" w:type="auto"/>
            <w:tcBorders>
              <w:top w:val="nil"/>
              <w:left w:val="nil"/>
              <w:bottom w:val="single" w:color="auto" w:sz="4" w:space="0"/>
              <w:right w:val="single" w:color="auto" w:sz="4" w:space="0"/>
            </w:tcBorders>
            <w:shd w:val="clear" w:color="auto" w:fill="auto"/>
            <w:vAlign w:val="center"/>
          </w:tcPr>
          <w:p>
            <w:pPr>
              <w:rPr>
                <w:rFonts w:hint="default" w:cs="宋体"/>
                <w:color w:val="000000"/>
                <w:sz w:val="22"/>
                <w:szCs w:val="22"/>
              </w:rPr>
            </w:pPr>
            <w:r>
              <w:rPr>
                <w:rFonts w:cs="宋体"/>
                <w:color w:val="000000"/>
                <w:sz w:val="22"/>
                <w:szCs w:val="22"/>
              </w:rPr>
              <w:t>　</w:t>
            </w:r>
          </w:p>
        </w:tc>
      </w:tr>
      <w:tr>
        <w:tblPrEx>
          <w:tblCellMar>
            <w:top w:w="0" w:type="dxa"/>
            <w:left w:w="108" w:type="dxa"/>
            <w:bottom w:w="0" w:type="dxa"/>
            <w:right w:w="108" w:type="dxa"/>
          </w:tblCellMar>
        </w:tblPrEx>
        <w:trPr>
          <w:trHeight w:val="499"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pPr>
              <w:jc w:val="right"/>
              <w:rPr>
                <w:rFonts w:hint="default" w:cs="宋体"/>
                <w:b/>
                <w:bCs/>
                <w:color w:val="000000"/>
                <w:sz w:val="22"/>
                <w:szCs w:val="22"/>
              </w:rPr>
            </w:pPr>
            <w:r>
              <w:rPr>
                <w:rFonts w:cs="宋体"/>
                <w:b/>
                <w:bCs/>
                <w:color w:val="000000"/>
                <w:sz w:val="22"/>
                <w:szCs w:val="22"/>
              </w:rPr>
              <w:t>项目主管部门：</w:t>
            </w:r>
          </w:p>
        </w:tc>
        <w:tc>
          <w:tcPr>
            <w:tcW w:w="0" w:type="auto"/>
            <w:gridSpan w:val="2"/>
            <w:tcBorders>
              <w:top w:val="single" w:color="auto" w:sz="4" w:space="0"/>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716-垫江县五洞镇人民政府</w:t>
            </w:r>
          </w:p>
        </w:tc>
        <w:tc>
          <w:tcPr>
            <w:tcW w:w="0" w:type="auto"/>
            <w:tcBorders>
              <w:top w:val="nil"/>
              <w:left w:val="nil"/>
              <w:bottom w:val="single" w:color="auto" w:sz="4" w:space="0"/>
              <w:right w:val="single" w:color="auto" w:sz="4" w:space="0"/>
            </w:tcBorders>
            <w:shd w:val="clear" w:color="auto" w:fill="auto"/>
            <w:noWrap/>
            <w:vAlign w:val="center"/>
          </w:tcPr>
          <w:p>
            <w:pPr>
              <w:jc w:val="right"/>
              <w:rPr>
                <w:rFonts w:hint="default" w:cs="宋体"/>
                <w:b/>
                <w:bCs/>
                <w:color w:val="000000"/>
                <w:sz w:val="22"/>
                <w:szCs w:val="22"/>
              </w:rPr>
            </w:pPr>
            <w:r>
              <w:rPr>
                <w:rFonts w:cs="宋体"/>
                <w:b/>
                <w:bCs/>
                <w:color w:val="000000"/>
                <w:sz w:val="22"/>
                <w:szCs w:val="22"/>
              </w:rPr>
              <w:t>财政归口处室：</w:t>
            </w:r>
          </w:p>
        </w:tc>
        <w:tc>
          <w:tcPr>
            <w:tcW w:w="0" w:type="auto"/>
            <w:gridSpan w:val="2"/>
            <w:tcBorders>
              <w:top w:val="single" w:color="auto" w:sz="4" w:space="0"/>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014-会计管理核算中心</w:t>
            </w:r>
          </w:p>
        </w:tc>
        <w:tc>
          <w:tcPr>
            <w:tcW w:w="0" w:type="auto"/>
            <w:tcBorders>
              <w:top w:val="nil"/>
              <w:left w:val="nil"/>
              <w:bottom w:val="single" w:color="auto" w:sz="4" w:space="0"/>
              <w:right w:val="single" w:color="auto" w:sz="4" w:space="0"/>
            </w:tcBorders>
            <w:shd w:val="clear" w:color="auto" w:fill="auto"/>
            <w:noWrap/>
            <w:vAlign w:val="center"/>
          </w:tcPr>
          <w:p>
            <w:pPr>
              <w:jc w:val="right"/>
              <w:rPr>
                <w:rFonts w:hint="default" w:cs="宋体"/>
                <w:b/>
                <w:bCs/>
                <w:color w:val="000000"/>
                <w:sz w:val="22"/>
                <w:szCs w:val="22"/>
              </w:rPr>
            </w:pPr>
            <w:r>
              <w:rPr>
                <w:rFonts w:cs="宋体"/>
                <w:b/>
                <w:bCs/>
                <w:color w:val="000000"/>
                <w:sz w:val="22"/>
                <w:szCs w:val="22"/>
              </w:rPr>
              <w:t>部门联系人：</w:t>
            </w:r>
          </w:p>
        </w:tc>
        <w:tc>
          <w:tcPr>
            <w:tcW w:w="0" w:type="auto"/>
            <w:gridSpan w:val="2"/>
            <w:tcBorders>
              <w:top w:val="single" w:color="auto" w:sz="4" w:space="0"/>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杨晓梅</w:t>
            </w:r>
          </w:p>
        </w:tc>
        <w:tc>
          <w:tcPr>
            <w:tcW w:w="0" w:type="auto"/>
            <w:tcBorders>
              <w:top w:val="nil"/>
              <w:left w:val="nil"/>
              <w:bottom w:val="single" w:color="auto" w:sz="4" w:space="0"/>
              <w:right w:val="single" w:color="auto" w:sz="4" w:space="0"/>
            </w:tcBorders>
            <w:shd w:val="clear" w:color="auto" w:fill="auto"/>
            <w:noWrap/>
            <w:vAlign w:val="center"/>
          </w:tcPr>
          <w:p>
            <w:pPr>
              <w:jc w:val="right"/>
              <w:rPr>
                <w:rFonts w:hint="default" w:cs="宋体"/>
                <w:b/>
                <w:bCs/>
                <w:color w:val="000000"/>
                <w:sz w:val="22"/>
                <w:szCs w:val="22"/>
              </w:rPr>
            </w:pPr>
            <w:r>
              <w:rPr>
                <w:rFonts w:cs="宋体"/>
                <w:b/>
                <w:bCs/>
                <w:color w:val="000000"/>
                <w:sz w:val="22"/>
                <w:szCs w:val="22"/>
              </w:rPr>
              <w:t>联系电话：</w:t>
            </w:r>
          </w:p>
        </w:tc>
        <w:tc>
          <w:tcPr>
            <w:tcW w:w="0" w:type="auto"/>
            <w:tcBorders>
              <w:top w:val="nil"/>
              <w:left w:val="nil"/>
              <w:bottom w:val="single" w:color="auto" w:sz="4" w:space="0"/>
              <w:right w:val="single" w:color="auto" w:sz="4" w:space="0"/>
            </w:tcBorders>
            <w:shd w:val="clear" w:color="auto" w:fill="auto"/>
            <w:vAlign w:val="center"/>
          </w:tcPr>
          <w:p>
            <w:pPr>
              <w:rPr>
                <w:rFonts w:hint="default" w:cs="宋体"/>
                <w:color w:val="000000"/>
                <w:sz w:val="22"/>
                <w:szCs w:val="22"/>
              </w:rPr>
            </w:pPr>
            <w:r>
              <w:rPr>
                <w:rFonts w:cs="宋体"/>
                <w:color w:val="000000"/>
                <w:sz w:val="22"/>
                <w:szCs w:val="22"/>
              </w:rPr>
              <w:t>74562700</w:t>
            </w:r>
          </w:p>
        </w:tc>
      </w:tr>
      <w:tr>
        <w:tblPrEx>
          <w:tblCellMar>
            <w:top w:w="0" w:type="dxa"/>
            <w:left w:w="108" w:type="dxa"/>
            <w:bottom w:w="0" w:type="dxa"/>
            <w:right w:w="108" w:type="dxa"/>
          </w:tblCellMar>
        </w:tblPrEx>
        <w:trPr>
          <w:trHeight w:val="600" w:hRule="atLeast"/>
        </w:trPr>
        <w:tc>
          <w:tcPr>
            <w:tcW w:w="0" w:type="auto"/>
            <w:gridSpan w:val="11"/>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default" w:ascii="微软雅黑" w:hAnsi="微软雅黑" w:eastAsia="微软雅黑" w:cs="宋体"/>
                <w:b/>
                <w:bCs/>
                <w:color w:val="7F7F7F"/>
                <w:sz w:val="28"/>
                <w:szCs w:val="28"/>
              </w:rPr>
            </w:pPr>
            <w:r>
              <w:rPr>
                <w:rFonts w:ascii="微软雅黑" w:hAnsi="微软雅黑" w:eastAsia="微软雅黑" w:cs="宋体"/>
                <w:b/>
                <w:bCs/>
                <w:color w:val="7F7F7F"/>
                <w:sz w:val="28"/>
                <w:szCs w:val="28"/>
              </w:rPr>
              <w:t>资金情况</w:t>
            </w:r>
          </w:p>
        </w:tc>
      </w:tr>
      <w:tr>
        <w:tblPrEx>
          <w:tblCellMar>
            <w:top w:w="0" w:type="dxa"/>
            <w:left w:w="108" w:type="dxa"/>
            <w:bottom w:w="0" w:type="dxa"/>
            <w:right w:w="108" w:type="dxa"/>
          </w:tblCellMar>
        </w:tblPrEx>
        <w:trPr>
          <w:trHeight w:val="499" w:hRule="atLeast"/>
        </w:trPr>
        <w:tc>
          <w:tcPr>
            <w:tcW w:w="0" w:type="auto"/>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default" w:cs="宋体"/>
                <w:color w:val="000000"/>
                <w:sz w:val="22"/>
                <w:szCs w:val="22"/>
              </w:rPr>
            </w:pPr>
            <w:r>
              <w:rPr>
                <w:rFonts w:cs="宋体"/>
                <w:color w:val="000000"/>
                <w:sz w:val="22"/>
                <w:szCs w:val="22"/>
              </w:rPr>
              <w:t>　</w:t>
            </w:r>
          </w:p>
        </w:tc>
        <w:tc>
          <w:tcPr>
            <w:tcW w:w="0" w:type="auto"/>
            <w:gridSpan w:val="2"/>
            <w:tcBorders>
              <w:top w:val="single" w:color="auto" w:sz="4" w:space="0"/>
              <w:left w:val="nil"/>
              <w:bottom w:val="single" w:color="auto" w:sz="4" w:space="0"/>
              <w:right w:val="single" w:color="auto" w:sz="4" w:space="0"/>
            </w:tcBorders>
            <w:shd w:val="clear" w:color="auto" w:fill="auto"/>
            <w:noWrap/>
            <w:vAlign w:val="center"/>
          </w:tcPr>
          <w:p>
            <w:pPr>
              <w:jc w:val="center"/>
              <w:rPr>
                <w:rFonts w:hint="default" w:cs="宋体"/>
                <w:b/>
                <w:bCs/>
                <w:color w:val="000000"/>
                <w:sz w:val="22"/>
                <w:szCs w:val="22"/>
              </w:rPr>
            </w:pPr>
            <w:r>
              <w:rPr>
                <w:rFonts w:cs="宋体"/>
                <w:b/>
                <w:bCs/>
                <w:color w:val="000000"/>
                <w:sz w:val="22"/>
                <w:szCs w:val="22"/>
              </w:rPr>
              <w:t>年初预算数</w:t>
            </w:r>
          </w:p>
        </w:tc>
        <w:tc>
          <w:tcPr>
            <w:tcW w:w="0" w:type="auto"/>
            <w:gridSpan w:val="2"/>
            <w:tcBorders>
              <w:top w:val="single" w:color="auto" w:sz="4" w:space="0"/>
              <w:left w:val="nil"/>
              <w:bottom w:val="single" w:color="auto" w:sz="4" w:space="0"/>
              <w:right w:val="single" w:color="auto" w:sz="4" w:space="0"/>
            </w:tcBorders>
            <w:shd w:val="clear" w:color="auto" w:fill="auto"/>
            <w:noWrap/>
            <w:vAlign w:val="center"/>
          </w:tcPr>
          <w:p>
            <w:pPr>
              <w:jc w:val="center"/>
              <w:rPr>
                <w:rFonts w:hint="default" w:cs="宋体"/>
                <w:b/>
                <w:bCs/>
                <w:color w:val="000000"/>
                <w:sz w:val="22"/>
                <w:szCs w:val="22"/>
              </w:rPr>
            </w:pPr>
            <w:r>
              <w:rPr>
                <w:rFonts w:cs="宋体"/>
                <w:b/>
                <w:bCs/>
                <w:color w:val="000000"/>
                <w:sz w:val="22"/>
                <w:szCs w:val="22"/>
              </w:rPr>
              <w:t>全年（调整）预算数</w:t>
            </w:r>
          </w:p>
        </w:tc>
        <w:tc>
          <w:tcPr>
            <w:tcW w:w="0" w:type="auto"/>
            <w:gridSpan w:val="2"/>
            <w:tcBorders>
              <w:top w:val="single" w:color="auto" w:sz="4" w:space="0"/>
              <w:left w:val="nil"/>
              <w:bottom w:val="single" w:color="auto" w:sz="4" w:space="0"/>
              <w:right w:val="single" w:color="auto" w:sz="4" w:space="0"/>
            </w:tcBorders>
            <w:shd w:val="clear" w:color="auto" w:fill="auto"/>
            <w:noWrap/>
            <w:vAlign w:val="center"/>
          </w:tcPr>
          <w:p>
            <w:pPr>
              <w:jc w:val="center"/>
              <w:rPr>
                <w:rFonts w:hint="default" w:cs="宋体"/>
                <w:b/>
                <w:bCs/>
                <w:color w:val="000000"/>
                <w:sz w:val="22"/>
                <w:szCs w:val="22"/>
              </w:rPr>
            </w:pPr>
            <w:r>
              <w:rPr>
                <w:rFonts w:cs="宋体"/>
                <w:b/>
                <w:bCs/>
                <w:color w:val="000000"/>
                <w:sz w:val="22"/>
                <w:szCs w:val="22"/>
              </w:rPr>
              <w:t>全年执行数</w:t>
            </w:r>
          </w:p>
        </w:tc>
        <w:tc>
          <w:tcPr>
            <w:tcW w:w="0" w:type="auto"/>
            <w:tcBorders>
              <w:top w:val="nil"/>
              <w:left w:val="nil"/>
              <w:bottom w:val="single" w:color="auto" w:sz="4" w:space="0"/>
              <w:right w:val="single" w:color="auto" w:sz="4" w:space="0"/>
            </w:tcBorders>
            <w:shd w:val="clear" w:color="auto" w:fill="auto"/>
            <w:noWrap/>
            <w:vAlign w:val="center"/>
          </w:tcPr>
          <w:p>
            <w:pPr>
              <w:jc w:val="center"/>
              <w:rPr>
                <w:rFonts w:hint="default" w:cs="宋体"/>
                <w:b/>
                <w:bCs/>
                <w:color w:val="000000"/>
                <w:sz w:val="22"/>
                <w:szCs w:val="22"/>
              </w:rPr>
            </w:pPr>
            <w:r>
              <w:rPr>
                <w:rFonts w:cs="宋体"/>
                <w:b/>
                <w:bCs/>
                <w:color w:val="000000"/>
                <w:sz w:val="22"/>
                <w:szCs w:val="22"/>
              </w:rPr>
              <w:t>执行率</w:t>
            </w:r>
          </w:p>
        </w:tc>
        <w:tc>
          <w:tcPr>
            <w:tcW w:w="0" w:type="auto"/>
            <w:tcBorders>
              <w:top w:val="nil"/>
              <w:left w:val="nil"/>
              <w:bottom w:val="single" w:color="auto" w:sz="4" w:space="0"/>
              <w:right w:val="single" w:color="auto" w:sz="4" w:space="0"/>
            </w:tcBorders>
            <w:shd w:val="clear" w:color="auto" w:fill="auto"/>
            <w:noWrap/>
            <w:vAlign w:val="center"/>
          </w:tcPr>
          <w:p>
            <w:pPr>
              <w:rPr>
                <w:rFonts w:hint="default" w:cs="宋体"/>
                <w:b/>
                <w:bCs/>
                <w:color w:val="000000"/>
                <w:sz w:val="22"/>
                <w:szCs w:val="22"/>
              </w:rPr>
            </w:pPr>
            <w:r>
              <w:rPr>
                <w:rFonts w:cs="宋体"/>
                <w:b/>
                <w:bCs/>
                <w:color w:val="000000"/>
                <w:sz w:val="22"/>
                <w:szCs w:val="22"/>
              </w:rPr>
              <w:t>执行率权重</w:t>
            </w:r>
          </w:p>
        </w:tc>
        <w:tc>
          <w:tcPr>
            <w:tcW w:w="0" w:type="auto"/>
            <w:tcBorders>
              <w:top w:val="nil"/>
              <w:left w:val="nil"/>
              <w:bottom w:val="single" w:color="auto" w:sz="4" w:space="0"/>
              <w:right w:val="single" w:color="auto" w:sz="4" w:space="0"/>
            </w:tcBorders>
            <w:shd w:val="clear" w:color="auto" w:fill="auto"/>
            <w:noWrap/>
            <w:vAlign w:val="center"/>
          </w:tcPr>
          <w:p>
            <w:pPr>
              <w:jc w:val="center"/>
              <w:rPr>
                <w:rFonts w:hint="default" w:cs="宋体"/>
                <w:b/>
                <w:bCs/>
                <w:color w:val="000000"/>
                <w:sz w:val="22"/>
                <w:szCs w:val="22"/>
              </w:rPr>
            </w:pPr>
            <w:r>
              <w:rPr>
                <w:rFonts w:cs="宋体"/>
                <w:b/>
                <w:bCs/>
                <w:color w:val="000000"/>
                <w:sz w:val="22"/>
                <w:szCs w:val="22"/>
              </w:rPr>
              <w:t>执行率得分</w:t>
            </w:r>
          </w:p>
        </w:tc>
      </w:tr>
      <w:tr>
        <w:tblPrEx>
          <w:tblCellMar>
            <w:top w:w="0" w:type="dxa"/>
            <w:left w:w="108" w:type="dxa"/>
            <w:bottom w:w="0" w:type="dxa"/>
            <w:right w:w="108" w:type="dxa"/>
          </w:tblCellMar>
        </w:tblPrEx>
        <w:trPr>
          <w:trHeight w:val="499" w:hRule="atLeast"/>
        </w:trPr>
        <w:tc>
          <w:tcPr>
            <w:tcW w:w="0" w:type="auto"/>
            <w:tcBorders>
              <w:top w:val="nil"/>
              <w:left w:val="single" w:color="auto" w:sz="4" w:space="0"/>
              <w:bottom w:val="single" w:color="auto" w:sz="4" w:space="0"/>
              <w:right w:val="nil"/>
            </w:tcBorders>
            <w:shd w:val="clear" w:color="auto" w:fill="auto"/>
            <w:vAlign w:val="center"/>
          </w:tcPr>
          <w:p>
            <w:pPr>
              <w:rPr>
                <w:rFonts w:hint="default" w:cs="宋体"/>
                <w:color w:val="000000"/>
                <w:sz w:val="22"/>
                <w:szCs w:val="22"/>
              </w:rPr>
            </w:pPr>
            <w:r>
              <w:rPr>
                <w:rFonts w:cs="宋体"/>
                <w:color w:val="000000"/>
                <w:sz w:val="22"/>
                <w:szCs w:val="22"/>
              </w:rPr>
              <w:t>年度总金额</w:t>
            </w:r>
          </w:p>
        </w:tc>
        <w:tc>
          <w:tcPr>
            <w:tcW w:w="0" w:type="auto"/>
            <w:tcBorders>
              <w:top w:val="nil"/>
              <w:left w:val="nil"/>
              <w:bottom w:val="single" w:color="auto" w:sz="4" w:space="0"/>
              <w:right w:val="single" w:color="auto" w:sz="4" w:space="0"/>
            </w:tcBorders>
            <w:shd w:val="clear" w:color="auto" w:fill="auto"/>
            <w:noWrap/>
            <w:vAlign w:val="center"/>
          </w:tcPr>
          <w:p>
            <w:pPr>
              <w:rPr>
                <w:rFonts w:hint="default" w:cs="宋体"/>
                <w:color w:val="000000"/>
                <w:sz w:val="22"/>
                <w:szCs w:val="22"/>
              </w:rPr>
            </w:pPr>
            <w:r>
              <w:rPr>
                <w:rFonts w:cs="宋体"/>
                <w:color w:val="000000"/>
                <w:sz w:val="22"/>
                <w:szCs w:val="22"/>
              </w:rPr>
              <w:t>　</w:t>
            </w:r>
          </w:p>
        </w:tc>
        <w:tc>
          <w:tcPr>
            <w:tcW w:w="0" w:type="auto"/>
            <w:tcBorders>
              <w:top w:val="nil"/>
              <w:left w:val="nil"/>
              <w:bottom w:val="single" w:color="auto" w:sz="4" w:space="0"/>
              <w:right w:val="nil"/>
            </w:tcBorders>
            <w:shd w:val="clear" w:color="auto" w:fill="auto"/>
            <w:noWrap/>
            <w:vAlign w:val="center"/>
          </w:tcPr>
          <w:p>
            <w:pPr>
              <w:rPr>
                <w:rFonts w:hint="default" w:cs="宋体"/>
                <w:color w:val="000000"/>
                <w:sz w:val="22"/>
                <w:szCs w:val="22"/>
              </w:rPr>
            </w:pPr>
            <w:r>
              <w:rPr>
                <w:rFonts w:cs="宋体"/>
                <w:color w:val="000000"/>
                <w:sz w:val="22"/>
                <w:szCs w:val="22"/>
              </w:rPr>
              <w:t>　</w:t>
            </w:r>
          </w:p>
        </w:tc>
        <w:tc>
          <w:tcPr>
            <w:tcW w:w="0" w:type="auto"/>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22"/>
                <w:szCs w:val="22"/>
              </w:rPr>
            </w:pPr>
            <w:r>
              <w:rPr>
                <w:rFonts w:cs="宋体"/>
                <w:color w:val="000000"/>
                <w:sz w:val="22"/>
                <w:szCs w:val="22"/>
              </w:rPr>
              <w:t xml:space="preserve">0.00 </w:t>
            </w:r>
          </w:p>
        </w:tc>
        <w:tc>
          <w:tcPr>
            <w:tcW w:w="0" w:type="auto"/>
            <w:tcBorders>
              <w:top w:val="nil"/>
              <w:left w:val="nil"/>
              <w:bottom w:val="single" w:color="auto" w:sz="4" w:space="0"/>
              <w:right w:val="nil"/>
            </w:tcBorders>
            <w:shd w:val="clear" w:color="auto" w:fill="auto"/>
            <w:noWrap/>
            <w:vAlign w:val="center"/>
          </w:tcPr>
          <w:p>
            <w:pPr>
              <w:rPr>
                <w:rFonts w:hint="default" w:cs="宋体"/>
                <w:color w:val="000000"/>
                <w:sz w:val="22"/>
                <w:szCs w:val="22"/>
              </w:rPr>
            </w:pPr>
            <w:r>
              <w:rPr>
                <w:rFonts w:cs="宋体"/>
                <w:color w:val="000000"/>
                <w:sz w:val="22"/>
                <w:szCs w:val="22"/>
              </w:rPr>
              <w:t>　</w:t>
            </w:r>
          </w:p>
        </w:tc>
        <w:tc>
          <w:tcPr>
            <w:tcW w:w="0" w:type="auto"/>
            <w:tcBorders>
              <w:top w:val="nil"/>
              <w:left w:val="nil"/>
              <w:bottom w:val="single" w:color="auto" w:sz="4" w:space="0"/>
              <w:right w:val="single" w:color="auto" w:sz="4" w:space="0"/>
            </w:tcBorders>
            <w:shd w:val="clear" w:color="auto" w:fill="auto"/>
            <w:vAlign w:val="center"/>
          </w:tcPr>
          <w:p>
            <w:pPr>
              <w:jc w:val="right"/>
              <w:rPr>
                <w:rFonts w:hint="default" w:cs="宋体"/>
                <w:color w:val="000000"/>
                <w:sz w:val="22"/>
                <w:szCs w:val="22"/>
              </w:rPr>
            </w:pPr>
            <w:r>
              <w:rPr>
                <w:rFonts w:cs="宋体"/>
                <w:color w:val="000000"/>
                <w:sz w:val="22"/>
                <w:szCs w:val="22"/>
              </w:rPr>
              <w:t xml:space="preserve">94,000.00 </w:t>
            </w:r>
          </w:p>
        </w:tc>
        <w:tc>
          <w:tcPr>
            <w:tcW w:w="0" w:type="auto"/>
            <w:tcBorders>
              <w:top w:val="nil"/>
              <w:left w:val="nil"/>
              <w:bottom w:val="single" w:color="auto" w:sz="4" w:space="0"/>
              <w:right w:val="nil"/>
            </w:tcBorders>
            <w:shd w:val="clear" w:color="auto" w:fill="auto"/>
            <w:noWrap/>
            <w:vAlign w:val="center"/>
          </w:tcPr>
          <w:p>
            <w:pPr>
              <w:rPr>
                <w:rFonts w:hint="default" w:cs="宋体"/>
                <w:color w:val="000000"/>
                <w:sz w:val="22"/>
                <w:szCs w:val="22"/>
              </w:rPr>
            </w:pPr>
            <w:r>
              <w:rPr>
                <w:rFonts w:cs="宋体"/>
                <w:color w:val="000000"/>
                <w:sz w:val="22"/>
                <w:szCs w:val="22"/>
              </w:rPr>
              <w:t>　</w:t>
            </w:r>
          </w:p>
        </w:tc>
        <w:tc>
          <w:tcPr>
            <w:tcW w:w="0" w:type="auto"/>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22"/>
                <w:szCs w:val="22"/>
              </w:rPr>
            </w:pPr>
            <w:r>
              <w:rPr>
                <w:rFonts w:cs="宋体"/>
                <w:color w:val="000000"/>
                <w:sz w:val="22"/>
                <w:szCs w:val="22"/>
              </w:rPr>
              <w:t xml:space="preserve">94,000.00 </w:t>
            </w:r>
          </w:p>
        </w:tc>
        <w:tc>
          <w:tcPr>
            <w:tcW w:w="0" w:type="auto"/>
            <w:tcBorders>
              <w:top w:val="nil"/>
              <w:left w:val="nil"/>
              <w:bottom w:val="single" w:color="auto" w:sz="4" w:space="0"/>
              <w:right w:val="single" w:color="auto" w:sz="4" w:space="0"/>
            </w:tcBorders>
            <w:shd w:val="clear" w:color="auto" w:fill="auto"/>
            <w:noWrap/>
            <w:vAlign w:val="center"/>
          </w:tcPr>
          <w:p>
            <w:pPr>
              <w:rPr>
                <w:rFonts w:hint="default" w:cs="宋体"/>
                <w:color w:val="000000"/>
                <w:sz w:val="22"/>
                <w:szCs w:val="22"/>
              </w:rPr>
            </w:pPr>
            <w:r>
              <w:rPr>
                <w:rFonts w:cs="宋体"/>
                <w:color w:val="000000"/>
                <w:sz w:val="22"/>
                <w:szCs w:val="22"/>
              </w:rPr>
              <w:t>　</w:t>
            </w:r>
          </w:p>
        </w:tc>
        <w:tc>
          <w:tcPr>
            <w:tcW w:w="0" w:type="auto"/>
            <w:tcBorders>
              <w:top w:val="nil"/>
              <w:left w:val="nil"/>
              <w:bottom w:val="single" w:color="auto" w:sz="4" w:space="0"/>
              <w:right w:val="single" w:color="auto" w:sz="4" w:space="0"/>
            </w:tcBorders>
            <w:shd w:val="clear" w:color="auto" w:fill="auto"/>
            <w:noWrap/>
            <w:vAlign w:val="center"/>
          </w:tcPr>
          <w:p>
            <w:pPr>
              <w:rPr>
                <w:rFonts w:hint="default" w:cs="宋体"/>
                <w:color w:val="000000"/>
                <w:sz w:val="22"/>
                <w:szCs w:val="22"/>
              </w:rPr>
            </w:pPr>
            <w:r>
              <w:rPr>
                <w:rFonts w:cs="宋体"/>
                <w:color w:val="000000"/>
                <w:sz w:val="22"/>
                <w:szCs w:val="22"/>
              </w:rPr>
              <w:t>　</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sz w:val="22"/>
                <w:szCs w:val="22"/>
              </w:rPr>
            </w:pPr>
            <w:r>
              <w:rPr>
                <w:rFonts w:cs="宋体"/>
                <w:sz w:val="22"/>
                <w:szCs w:val="22"/>
              </w:rPr>
              <w:t>　</w:t>
            </w:r>
          </w:p>
        </w:tc>
      </w:tr>
      <w:tr>
        <w:tblPrEx>
          <w:tblCellMar>
            <w:top w:w="0" w:type="dxa"/>
            <w:left w:w="108" w:type="dxa"/>
            <w:bottom w:w="0" w:type="dxa"/>
            <w:right w:w="108" w:type="dxa"/>
          </w:tblCellMar>
        </w:tblPrEx>
        <w:trPr>
          <w:trHeight w:val="499" w:hRule="atLeast"/>
        </w:trPr>
        <w:tc>
          <w:tcPr>
            <w:tcW w:w="0" w:type="auto"/>
            <w:tcBorders>
              <w:top w:val="nil"/>
              <w:left w:val="single" w:color="auto" w:sz="4" w:space="0"/>
              <w:bottom w:val="single" w:color="auto" w:sz="4" w:space="0"/>
              <w:right w:val="nil"/>
            </w:tcBorders>
            <w:shd w:val="clear" w:color="auto" w:fill="auto"/>
            <w:vAlign w:val="center"/>
          </w:tcPr>
          <w:p>
            <w:pPr>
              <w:rPr>
                <w:rFonts w:hint="default" w:cs="宋体"/>
                <w:color w:val="000000"/>
                <w:sz w:val="22"/>
                <w:szCs w:val="22"/>
              </w:rPr>
            </w:pPr>
            <w:r>
              <w:rPr>
                <w:rFonts w:cs="宋体"/>
                <w:color w:val="000000"/>
                <w:sz w:val="22"/>
                <w:szCs w:val="22"/>
              </w:rPr>
              <w:t>其中：财政拨款</w:t>
            </w:r>
          </w:p>
        </w:tc>
        <w:tc>
          <w:tcPr>
            <w:tcW w:w="0" w:type="auto"/>
            <w:tcBorders>
              <w:top w:val="nil"/>
              <w:left w:val="nil"/>
              <w:bottom w:val="single" w:color="auto" w:sz="4" w:space="0"/>
              <w:right w:val="single" w:color="auto" w:sz="4" w:space="0"/>
            </w:tcBorders>
            <w:shd w:val="clear" w:color="auto" w:fill="auto"/>
            <w:noWrap/>
            <w:vAlign w:val="center"/>
          </w:tcPr>
          <w:p>
            <w:pPr>
              <w:rPr>
                <w:rFonts w:hint="default" w:cs="宋体"/>
                <w:color w:val="000000"/>
                <w:sz w:val="22"/>
                <w:szCs w:val="22"/>
              </w:rPr>
            </w:pPr>
            <w:r>
              <w:rPr>
                <w:rFonts w:cs="宋体"/>
                <w:color w:val="000000"/>
                <w:sz w:val="22"/>
                <w:szCs w:val="22"/>
              </w:rPr>
              <w:t>　</w:t>
            </w:r>
          </w:p>
        </w:tc>
        <w:tc>
          <w:tcPr>
            <w:tcW w:w="0" w:type="auto"/>
            <w:tcBorders>
              <w:top w:val="nil"/>
              <w:left w:val="nil"/>
              <w:bottom w:val="single" w:color="auto" w:sz="4" w:space="0"/>
              <w:right w:val="nil"/>
            </w:tcBorders>
            <w:shd w:val="clear" w:color="auto" w:fill="auto"/>
            <w:noWrap/>
            <w:vAlign w:val="center"/>
          </w:tcPr>
          <w:p>
            <w:pPr>
              <w:rPr>
                <w:rFonts w:hint="default" w:cs="宋体"/>
                <w:color w:val="000000"/>
                <w:sz w:val="22"/>
                <w:szCs w:val="22"/>
              </w:rPr>
            </w:pPr>
            <w:r>
              <w:rPr>
                <w:rFonts w:cs="宋体"/>
                <w:color w:val="000000"/>
                <w:sz w:val="22"/>
                <w:szCs w:val="22"/>
              </w:rPr>
              <w:t>　</w:t>
            </w:r>
          </w:p>
        </w:tc>
        <w:tc>
          <w:tcPr>
            <w:tcW w:w="0" w:type="auto"/>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22"/>
                <w:szCs w:val="22"/>
              </w:rPr>
            </w:pPr>
            <w:r>
              <w:rPr>
                <w:rFonts w:cs="宋体"/>
                <w:color w:val="000000"/>
                <w:sz w:val="22"/>
                <w:szCs w:val="22"/>
              </w:rPr>
              <w:t xml:space="preserve">0.00 </w:t>
            </w:r>
          </w:p>
        </w:tc>
        <w:tc>
          <w:tcPr>
            <w:tcW w:w="0" w:type="auto"/>
            <w:tcBorders>
              <w:top w:val="nil"/>
              <w:left w:val="nil"/>
              <w:bottom w:val="single" w:color="auto" w:sz="4" w:space="0"/>
              <w:right w:val="nil"/>
            </w:tcBorders>
            <w:shd w:val="clear" w:color="auto" w:fill="auto"/>
            <w:noWrap/>
            <w:vAlign w:val="center"/>
          </w:tcPr>
          <w:p>
            <w:pPr>
              <w:rPr>
                <w:rFonts w:hint="default" w:cs="宋体"/>
                <w:color w:val="000000"/>
                <w:sz w:val="22"/>
                <w:szCs w:val="22"/>
              </w:rPr>
            </w:pPr>
            <w:r>
              <w:rPr>
                <w:rFonts w:cs="宋体"/>
                <w:color w:val="000000"/>
                <w:sz w:val="22"/>
                <w:szCs w:val="22"/>
              </w:rPr>
              <w:t>　</w:t>
            </w:r>
          </w:p>
        </w:tc>
        <w:tc>
          <w:tcPr>
            <w:tcW w:w="0" w:type="auto"/>
            <w:tcBorders>
              <w:top w:val="nil"/>
              <w:left w:val="nil"/>
              <w:bottom w:val="single" w:color="auto" w:sz="4" w:space="0"/>
              <w:right w:val="single" w:color="auto" w:sz="4" w:space="0"/>
            </w:tcBorders>
            <w:shd w:val="clear" w:color="auto" w:fill="auto"/>
            <w:vAlign w:val="center"/>
          </w:tcPr>
          <w:p>
            <w:pPr>
              <w:jc w:val="right"/>
              <w:rPr>
                <w:rFonts w:hint="default" w:cs="宋体"/>
                <w:color w:val="000000"/>
                <w:sz w:val="22"/>
                <w:szCs w:val="22"/>
              </w:rPr>
            </w:pPr>
            <w:r>
              <w:rPr>
                <w:rFonts w:cs="宋体"/>
                <w:color w:val="000000"/>
                <w:sz w:val="22"/>
                <w:szCs w:val="22"/>
              </w:rPr>
              <w:t xml:space="preserve">94,000.00 </w:t>
            </w:r>
          </w:p>
        </w:tc>
        <w:tc>
          <w:tcPr>
            <w:tcW w:w="0" w:type="auto"/>
            <w:tcBorders>
              <w:top w:val="nil"/>
              <w:left w:val="nil"/>
              <w:bottom w:val="single" w:color="auto" w:sz="4" w:space="0"/>
              <w:right w:val="nil"/>
            </w:tcBorders>
            <w:shd w:val="clear" w:color="auto" w:fill="auto"/>
            <w:noWrap/>
            <w:vAlign w:val="center"/>
          </w:tcPr>
          <w:p>
            <w:pPr>
              <w:rPr>
                <w:rFonts w:hint="default" w:cs="宋体"/>
                <w:color w:val="000000"/>
                <w:sz w:val="22"/>
                <w:szCs w:val="22"/>
              </w:rPr>
            </w:pPr>
            <w:r>
              <w:rPr>
                <w:rFonts w:cs="宋体"/>
                <w:color w:val="000000"/>
                <w:sz w:val="22"/>
                <w:szCs w:val="22"/>
              </w:rPr>
              <w:t>　</w:t>
            </w:r>
          </w:p>
        </w:tc>
        <w:tc>
          <w:tcPr>
            <w:tcW w:w="0" w:type="auto"/>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22"/>
                <w:szCs w:val="22"/>
              </w:rPr>
            </w:pPr>
            <w:r>
              <w:rPr>
                <w:rFonts w:cs="宋体"/>
                <w:color w:val="000000"/>
                <w:sz w:val="22"/>
                <w:szCs w:val="22"/>
              </w:rPr>
              <w:t xml:space="preserve">94,000.00 </w:t>
            </w:r>
          </w:p>
        </w:tc>
        <w:tc>
          <w:tcPr>
            <w:tcW w:w="0" w:type="auto"/>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22"/>
                <w:szCs w:val="22"/>
              </w:rPr>
            </w:pPr>
            <w:r>
              <w:rPr>
                <w:rFonts w:cs="宋体"/>
                <w:color w:val="000000"/>
                <w:sz w:val="22"/>
                <w:szCs w:val="22"/>
              </w:rPr>
              <w:t>100</w:t>
            </w:r>
          </w:p>
        </w:tc>
        <w:tc>
          <w:tcPr>
            <w:tcW w:w="0" w:type="auto"/>
            <w:tcBorders>
              <w:top w:val="nil"/>
              <w:left w:val="nil"/>
              <w:bottom w:val="single" w:color="auto" w:sz="4" w:space="0"/>
              <w:right w:val="single" w:color="auto" w:sz="4" w:space="0"/>
            </w:tcBorders>
            <w:shd w:val="clear" w:color="auto" w:fill="auto"/>
            <w:noWrap/>
            <w:vAlign w:val="center"/>
          </w:tcPr>
          <w:p>
            <w:pPr>
              <w:rPr>
                <w:rFonts w:hint="default" w:cs="宋体"/>
                <w:color w:val="000000"/>
                <w:sz w:val="22"/>
                <w:szCs w:val="22"/>
              </w:rPr>
            </w:pPr>
            <w:r>
              <w:rPr>
                <w:rFonts w:cs="宋体"/>
                <w:color w:val="000000"/>
                <w:sz w:val="22"/>
                <w:szCs w:val="22"/>
              </w:rPr>
              <w:t>10.00</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sz w:val="22"/>
                <w:szCs w:val="22"/>
              </w:rPr>
            </w:pPr>
            <w:r>
              <w:rPr>
                <w:rFonts w:cs="宋体"/>
                <w:sz w:val="22"/>
                <w:szCs w:val="22"/>
              </w:rPr>
              <w:t xml:space="preserve">10.00 </w:t>
            </w:r>
          </w:p>
        </w:tc>
      </w:tr>
      <w:tr>
        <w:tblPrEx>
          <w:tblCellMar>
            <w:top w:w="0" w:type="dxa"/>
            <w:left w:w="108" w:type="dxa"/>
            <w:bottom w:w="0" w:type="dxa"/>
            <w:right w:w="108" w:type="dxa"/>
          </w:tblCellMar>
        </w:tblPrEx>
        <w:trPr>
          <w:trHeight w:val="499" w:hRule="atLeast"/>
        </w:trPr>
        <w:tc>
          <w:tcPr>
            <w:tcW w:w="0" w:type="auto"/>
            <w:tcBorders>
              <w:top w:val="nil"/>
              <w:left w:val="single" w:color="auto" w:sz="4" w:space="0"/>
              <w:bottom w:val="single" w:color="auto" w:sz="4" w:space="0"/>
              <w:right w:val="nil"/>
            </w:tcBorders>
            <w:shd w:val="clear" w:color="auto" w:fill="auto"/>
            <w:vAlign w:val="center"/>
          </w:tcPr>
          <w:p>
            <w:pPr>
              <w:rPr>
                <w:rFonts w:hint="default" w:cs="宋体"/>
                <w:color w:val="000000"/>
                <w:sz w:val="22"/>
                <w:szCs w:val="22"/>
              </w:rPr>
            </w:pPr>
            <w:r>
              <w:rPr>
                <w:rFonts w:cs="宋体"/>
                <w:color w:val="000000"/>
                <w:sz w:val="22"/>
                <w:szCs w:val="22"/>
              </w:rPr>
              <w:t>一般公共预算</w:t>
            </w:r>
          </w:p>
        </w:tc>
        <w:tc>
          <w:tcPr>
            <w:tcW w:w="0" w:type="auto"/>
            <w:tcBorders>
              <w:top w:val="nil"/>
              <w:left w:val="nil"/>
              <w:bottom w:val="single" w:color="auto" w:sz="4" w:space="0"/>
              <w:right w:val="single" w:color="auto" w:sz="4" w:space="0"/>
            </w:tcBorders>
            <w:shd w:val="clear" w:color="auto" w:fill="auto"/>
            <w:noWrap/>
            <w:vAlign w:val="center"/>
          </w:tcPr>
          <w:p>
            <w:pPr>
              <w:rPr>
                <w:rFonts w:hint="default" w:cs="宋体"/>
                <w:color w:val="000000"/>
                <w:sz w:val="22"/>
                <w:szCs w:val="22"/>
              </w:rPr>
            </w:pPr>
            <w:r>
              <w:rPr>
                <w:rFonts w:cs="宋体"/>
                <w:color w:val="000000"/>
                <w:sz w:val="22"/>
                <w:szCs w:val="22"/>
              </w:rPr>
              <w:t>　</w:t>
            </w:r>
          </w:p>
        </w:tc>
        <w:tc>
          <w:tcPr>
            <w:tcW w:w="0" w:type="auto"/>
            <w:tcBorders>
              <w:top w:val="nil"/>
              <w:left w:val="nil"/>
              <w:bottom w:val="single" w:color="auto" w:sz="4" w:space="0"/>
              <w:right w:val="nil"/>
            </w:tcBorders>
            <w:shd w:val="clear" w:color="auto" w:fill="auto"/>
            <w:noWrap/>
            <w:vAlign w:val="center"/>
          </w:tcPr>
          <w:p>
            <w:pPr>
              <w:rPr>
                <w:rFonts w:hint="default" w:cs="宋体"/>
                <w:color w:val="000000"/>
                <w:sz w:val="22"/>
                <w:szCs w:val="22"/>
              </w:rPr>
            </w:pPr>
            <w:r>
              <w:rPr>
                <w:rFonts w:cs="宋体"/>
                <w:color w:val="000000"/>
                <w:sz w:val="22"/>
                <w:szCs w:val="22"/>
              </w:rPr>
              <w:t>　</w:t>
            </w:r>
          </w:p>
        </w:tc>
        <w:tc>
          <w:tcPr>
            <w:tcW w:w="0" w:type="auto"/>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22"/>
                <w:szCs w:val="22"/>
              </w:rPr>
            </w:pPr>
            <w:r>
              <w:rPr>
                <w:rFonts w:cs="宋体"/>
                <w:color w:val="000000"/>
                <w:sz w:val="22"/>
                <w:szCs w:val="22"/>
              </w:rPr>
              <w:t xml:space="preserve">0.00 </w:t>
            </w:r>
          </w:p>
        </w:tc>
        <w:tc>
          <w:tcPr>
            <w:tcW w:w="0" w:type="auto"/>
            <w:tcBorders>
              <w:top w:val="nil"/>
              <w:left w:val="nil"/>
              <w:bottom w:val="single" w:color="auto" w:sz="4" w:space="0"/>
              <w:right w:val="nil"/>
            </w:tcBorders>
            <w:shd w:val="clear" w:color="auto" w:fill="auto"/>
            <w:noWrap/>
            <w:vAlign w:val="center"/>
          </w:tcPr>
          <w:p>
            <w:pPr>
              <w:rPr>
                <w:rFonts w:hint="default" w:cs="宋体"/>
                <w:color w:val="000000"/>
                <w:sz w:val="22"/>
                <w:szCs w:val="22"/>
              </w:rPr>
            </w:pPr>
            <w:r>
              <w:rPr>
                <w:rFonts w:cs="宋体"/>
                <w:color w:val="000000"/>
                <w:sz w:val="22"/>
                <w:szCs w:val="22"/>
              </w:rPr>
              <w:t>　</w:t>
            </w:r>
          </w:p>
        </w:tc>
        <w:tc>
          <w:tcPr>
            <w:tcW w:w="0" w:type="auto"/>
            <w:tcBorders>
              <w:top w:val="nil"/>
              <w:left w:val="nil"/>
              <w:bottom w:val="single" w:color="auto" w:sz="4" w:space="0"/>
              <w:right w:val="single" w:color="auto" w:sz="4" w:space="0"/>
            </w:tcBorders>
            <w:shd w:val="clear" w:color="auto" w:fill="auto"/>
            <w:vAlign w:val="center"/>
          </w:tcPr>
          <w:p>
            <w:pPr>
              <w:jc w:val="right"/>
              <w:rPr>
                <w:rFonts w:hint="default" w:cs="宋体"/>
                <w:color w:val="000000"/>
                <w:sz w:val="22"/>
                <w:szCs w:val="22"/>
              </w:rPr>
            </w:pPr>
            <w:r>
              <w:rPr>
                <w:rFonts w:cs="宋体"/>
                <w:color w:val="000000"/>
                <w:sz w:val="22"/>
                <w:szCs w:val="22"/>
              </w:rPr>
              <w:t xml:space="preserve">94,000.00 </w:t>
            </w:r>
          </w:p>
        </w:tc>
        <w:tc>
          <w:tcPr>
            <w:tcW w:w="0" w:type="auto"/>
            <w:tcBorders>
              <w:top w:val="nil"/>
              <w:left w:val="nil"/>
              <w:bottom w:val="single" w:color="auto" w:sz="4" w:space="0"/>
              <w:right w:val="nil"/>
            </w:tcBorders>
            <w:shd w:val="clear" w:color="auto" w:fill="auto"/>
            <w:noWrap/>
            <w:vAlign w:val="center"/>
          </w:tcPr>
          <w:p>
            <w:pPr>
              <w:rPr>
                <w:rFonts w:hint="default" w:cs="宋体"/>
                <w:color w:val="000000"/>
                <w:sz w:val="22"/>
                <w:szCs w:val="22"/>
              </w:rPr>
            </w:pPr>
            <w:r>
              <w:rPr>
                <w:rFonts w:cs="宋体"/>
                <w:color w:val="000000"/>
                <w:sz w:val="22"/>
                <w:szCs w:val="22"/>
              </w:rPr>
              <w:t>　</w:t>
            </w:r>
          </w:p>
        </w:tc>
        <w:tc>
          <w:tcPr>
            <w:tcW w:w="0" w:type="auto"/>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22"/>
                <w:szCs w:val="22"/>
              </w:rPr>
            </w:pPr>
            <w:r>
              <w:rPr>
                <w:rFonts w:cs="宋体"/>
                <w:color w:val="000000"/>
                <w:sz w:val="22"/>
                <w:szCs w:val="22"/>
              </w:rPr>
              <w:t xml:space="preserve">94,000.00 </w:t>
            </w:r>
          </w:p>
        </w:tc>
        <w:tc>
          <w:tcPr>
            <w:tcW w:w="0" w:type="auto"/>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22"/>
                <w:szCs w:val="22"/>
              </w:rPr>
            </w:pPr>
            <w:r>
              <w:rPr>
                <w:rFonts w:cs="宋体"/>
                <w:color w:val="000000"/>
                <w:sz w:val="22"/>
                <w:szCs w:val="22"/>
              </w:rPr>
              <w:t>100</w:t>
            </w:r>
          </w:p>
        </w:tc>
        <w:tc>
          <w:tcPr>
            <w:tcW w:w="0" w:type="auto"/>
            <w:tcBorders>
              <w:top w:val="nil"/>
              <w:left w:val="nil"/>
              <w:bottom w:val="single" w:color="auto" w:sz="4" w:space="0"/>
              <w:right w:val="single" w:color="auto" w:sz="4" w:space="0"/>
            </w:tcBorders>
            <w:shd w:val="clear" w:color="auto" w:fill="auto"/>
            <w:noWrap/>
            <w:vAlign w:val="center"/>
          </w:tcPr>
          <w:p>
            <w:pPr>
              <w:rPr>
                <w:rFonts w:hint="default" w:cs="宋体"/>
                <w:color w:val="000000"/>
                <w:sz w:val="22"/>
                <w:szCs w:val="22"/>
              </w:rPr>
            </w:pPr>
            <w:r>
              <w:rPr>
                <w:rFonts w:cs="宋体"/>
                <w:color w:val="000000"/>
                <w:sz w:val="22"/>
                <w:szCs w:val="22"/>
              </w:rPr>
              <w:t>　</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sz w:val="22"/>
                <w:szCs w:val="22"/>
              </w:rPr>
            </w:pPr>
            <w:r>
              <w:rPr>
                <w:rFonts w:cs="宋体"/>
                <w:sz w:val="22"/>
                <w:szCs w:val="22"/>
              </w:rPr>
              <w:t>　</w:t>
            </w:r>
          </w:p>
        </w:tc>
      </w:tr>
      <w:tr>
        <w:tblPrEx>
          <w:tblCellMar>
            <w:top w:w="0" w:type="dxa"/>
            <w:left w:w="108" w:type="dxa"/>
            <w:bottom w:w="0" w:type="dxa"/>
            <w:right w:w="108" w:type="dxa"/>
          </w:tblCellMar>
        </w:tblPrEx>
        <w:trPr>
          <w:trHeight w:val="600" w:hRule="atLeast"/>
        </w:trPr>
        <w:tc>
          <w:tcPr>
            <w:tcW w:w="0" w:type="auto"/>
            <w:gridSpan w:val="11"/>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default" w:ascii="微软雅黑" w:hAnsi="微软雅黑" w:eastAsia="微软雅黑" w:cs="宋体"/>
                <w:b/>
                <w:bCs/>
                <w:color w:val="7F7F7F"/>
                <w:sz w:val="28"/>
                <w:szCs w:val="28"/>
              </w:rPr>
            </w:pPr>
            <w:r>
              <w:rPr>
                <w:rFonts w:ascii="微软雅黑" w:hAnsi="微软雅黑" w:eastAsia="微软雅黑" w:cs="宋体"/>
                <w:b/>
                <w:bCs/>
                <w:color w:val="7F7F7F"/>
                <w:sz w:val="28"/>
                <w:szCs w:val="28"/>
              </w:rPr>
              <w:t>绩效目标</w:t>
            </w:r>
          </w:p>
        </w:tc>
      </w:tr>
      <w:tr>
        <w:tblPrEx>
          <w:tblCellMar>
            <w:top w:w="0" w:type="dxa"/>
            <w:left w:w="108" w:type="dxa"/>
            <w:bottom w:w="0" w:type="dxa"/>
            <w:right w:w="108" w:type="dxa"/>
          </w:tblCellMar>
        </w:tblPrEx>
        <w:trPr>
          <w:trHeight w:val="499" w:hRule="atLeast"/>
        </w:trPr>
        <w:tc>
          <w:tcPr>
            <w:tcW w:w="0" w:type="auto"/>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default" w:cs="宋体"/>
                <w:b/>
                <w:bCs/>
                <w:color w:val="000000"/>
                <w:sz w:val="22"/>
                <w:szCs w:val="22"/>
              </w:rPr>
            </w:pPr>
            <w:r>
              <w:rPr>
                <w:rFonts w:cs="宋体"/>
                <w:b/>
                <w:bCs/>
                <w:color w:val="000000"/>
                <w:sz w:val="22"/>
                <w:szCs w:val="22"/>
              </w:rPr>
              <w:t>年初绩效目标</w:t>
            </w:r>
          </w:p>
        </w:tc>
        <w:tc>
          <w:tcPr>
            <w:tcW w:w="0" w:type="auto"/>
            <w:gridSpan w:val="4"/>
            <w:tcBorders>
              <w:top w:val="single" w:color="auto" w:sz="4" w:space="0"/>
              <w:left w:val="nil"/>
              <w:bottom w:val="single" w:color="auto" w:sz="4" w:space="0"/>
              <w:right w:val="single" w:color="auto" w:sz="4" w:space="0"/>
            </w:tcBorders>
            <w:shd w:val="clear" w:color="auto" w:fill="auto"/>
            <w:noWrap/>
            <w:vAlign w:val="center"/>
          </w:tcPr>
          <w:p>
            <w:pPr>
              <w:jc w:val="center"/>
              <w:rPr>
                <w:rFonts w:hint="default" w:cs="宋体"/>
                <w:b/>
                <w:bCs/>
                <w:color w:val="000000"/>
                <w:sz w:val="22"/>
                <w:szCs w:val="22"/>
              </w:rPr>
            </w:pPr>
            <w:r>
              <w:rPr>
                <w:rFonts w:cs="宋体"/>
                <w:b/>
                <w:bCs/>
                <w:color w:val="000000"/>
                <w:sz w:val="22"/>
                <w:szCs w:val="22"/>
              </w:rPr>
              <w:t>全年（调整）绩效目标</w:t>
            </w:r>
          </w:p>
        </w:tc>
        <w:tc>
          <w:tcPr>
            <w:tcW w:w="0" w:type="auto"/>
            <w:gridSpan w:val="3"/>
            <w:tcBorders>
              <w:top w:val="single" w:color="auto" w:sz="4" w:space="0"/>
              <w:left w:val="nil"/>
              <w:bottom w:val="single" w:color="auto" w:sz="4" w:space="0"/>
              <w:right w:val="single" w:color="auto" w:sz="4" w:space="0"/>
            </w:tcBorders>
            <w:shd w:val="clear" w:color="auto" w:fill="auto"/>
            <w:noWrap/>
            <w:vAlign w:val="center"/>
          </w:tcPr>
          <w:p>
            <w:pPr>
              <w:jc w:val="center"/>
              <w:rPr>
                <w:rFonts w:hint="default" w:cs="宋体"/>
                <w:b/>
                <w:bCs/>
                <w:color w:val="000000"/>
                <w:sz w:val="22"/>
                <w:szCs w:val="22"/>
              </w:rPr>
            </w:pPr>
            <w:r>
              <w:rPr>
                <w:rFonts w:cs="宋体"/>
                <w:b/>
                <w:bCs/>
                <w:color w:val="000000"/>
                <w:sz w:val="22"/>
                <w:szCs w:val="22"/>
              </w:rPr>
              <w:t>全年目标实际完成情况</w:t>
            </w:r>
          </w:p>
        </w:tc>
      </w:tr>
      <w:tr>
        <w:tblPrEx>
          <w:tblCellMar>
            <w:top w:w="0" w:type="dxa"/>
            <w:left w:w="108" w:type="dxa"/>
            <w:bottom w:w="0" w:type="dxa"/>
            <w:right w:w="108" w:type="dxa"/>
          </w:tblCellMar>
        </w:tblPrEx>
        <w:trPr>
          <w:trHeight w:val="1602" w:hRule="atLeast"/>
        </w:trPr>
        <w:tc>
          <w:tcPr>
            <w:tcW w:w="0" w:type="auto"/>
            <w:gridSpan w:val="4"/>
            <w:tcBorders>
              <w:top w:val="single" w:color="auto" w:sz="4" w:space="0"/>
              <w:left w:val="single" w:color="auto" w:sz="4" w:space="0"/>
              <w:bottom w:val="single" w:color="auto" w:sz="4" w:space="0"/>
              <w:right w:val="single" w:color="auto" w:sz="4" w:space="0"/>
            </w:tcBorders>
            <w:shd w:val="clear" w:color="auto" w:fill="auto"/>
          </w:tcPr>
          <w:p>
            <w:pPr>
              <w:rPr>
                <w:rFonts w:hint="default" w:cs="宋体"/>
                <w:color w:val="000000"/>
                <w:sz w:val="22"/>
                <w:szCs w:val="22"/>
              </w:rPr>
            </w:pPr>
            <w:r>
              <w:rPr>
                <w:rFonts w:cs="宋体"/>
                <w:color w:val="000000"/>
                <w:sz w:val="22"/>
                <w:szCs w:val="22"/>
              </w:rPr>
              <w:t>地质灾害避险搬迁项目</w:t>
            </w:r>
          </w:p>
        </w:tc>
        <w:tc>
          <w:tcPr>
            <w:tcW w:w="0" w:type="auto"/>
            <w:gridSpan w:val="4"/>
            <w:tcBorders>
              <w:top w:val="single" w:color="auto" w:sz="4" w:space="0"/>
              <w:left w:val="nil"/>
              <w:bottom w:val="single" w:color="auto" w:sz="4" w:space="0"/>
              <w:right w:val="single" w:color="auto" w:sz="4" w:space="0"/>
            </w:tcBorders>
            <w:shd w:val="clear" w:color="auto" w:fill="auto"/>
          </w:tcPr>
          <w:p>
            <w:pPr>
              <w:rPr>
                <w:rFonts w:hint="default" w:cs="宋体"/>
                <w:color w:val="000000"/>
                <w:sz w:val="22"/>
                <w:szCs w:val="22"/>
              </w:rPr>
            </w:pPr>
            <w:r>
              <w:rPr>
                <w:rFonts w:cs="宋体"/>
                <w:color w:val="000000"/>
                <w:sz w:val="22"/>
                <w:szCs w:val="22"/>
              </w:rPr>
              <w:t>地质灾害避险搬迁项目</w:t>
            </w:r>
          </w:p>
        </w:tc>
        <w:tc>
          <w:tcPr>
            <w:tcW w:w="0" w:type="auto"/>
            <w:gridSpan w:val="3"/>
            <w:tcBorders>
              <w:top w:val="single" w:color="auto" w:sz="4" w:space="0"/>
              <w:left w:val="nil"/>
              <w:bottom w:val="single" w:color="auto" w:sz="4" w:space="0"/>
              <w:right w:val="single" w:color="auto" w:sz="4" w:space="0"/>
            </w:tcBorders>
            <w:shd w:val="clear" w:color="auto" w:fill="auto"/>
          </w:tcPr>
          <w:p>
            <w:pPr>
              <w:rPr>
                <w:rFonts w:hint="default" w:cs="宋体"/>
                <w:color w:val="000000"/>
                <w:sz w:val="22"/>
                <w:szCs w:val="22"/>
              </w:rPr>
            </w:pPr>
            <w:r>
              <w:rPr>
                <w:rFonts w:cs="宋体"/>
                <w:color w:val="000000"/>
                <w:sz w:val="22"/>
                <w:szCs w:val="22"/>
              </w:rPr>
              <w:t>已完成。</w:t>
            </w:r>
          </w:p>
        </w:tc>
      </w:tr>
      <w:tr>
        <w:tblPrEx>
          <w:tblCellMar>
            <w:top w:w="0" w:type="dxa"/>
            <w:left w:w="108" w:type="dxa"/>
            <w:bottom w:w="0" w:type="dxa"/>
            <w:right w:w="108" w:type="dxa"/>
          </w:tblCellMar>
        </w:tblPrEx>
        <w:trPr>
          <w:trHeight w:val="600" w:hRule="atLeast"/>
        </w:trPr>
        <w:tc>
          <w:tcPr>
            <w:tcW w:w="0" w:type="auto"/>
            <w:gridSpan w:val="11"/>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default" w:ascii="微软雅黑" w:hAnsi="微软雅黑" w:eastAsia="微软雅黑" w:cs="宋体"/>
                <w:b/>
                <w:bCs/>
                <w:color w:val="7F7F7F"/>
                <w:sz w:val="28"/>
                <w:szCs w:val="28"/>
              </w:rPr>
            </w:pPr>
            <w:r>
              <w:rPr>
                <w:rFonts w:ascii="微软雅黑" w:hAnsi="微软雅黑" w:eastAsia="微软雅黑" w:cs="宋体"/>
                <w:b/>
                <w:bCs/>
                <w:color w:val="7F7F7F"/>
                <w:sz w:val="28"/>
                <w:szCs w:val="28"/>
              </w:rPr>
              <w:t>绩效指标</w:t>
            </w:r>
          </w:p>
        </w:tc>
      </w:tr>
      <w:tr>
        <w:tblPrEx>
          <w:tblCellMar>
            <w:top w:w="0" w:type="dxa"/>
            <w:left w:w="108" w:type="dxa"/>
            <w:bottom w:w="0" w:type="dxa"/>
            <w:right w:w="108" w:type="dxa"/>
          </w:tblCellMar>
        </w:tblPrEx>
        <w:trPr>
          <w:trHeight w:val="499"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pPr>
              <w:jc w:val="center"/>
              <w:rPr>
                <w:rFonts w:hint="default" w:cs="宋体"/>
                <w:b/>
                <w:bCs/>
                <w:color w:val="000000"/>
                <w:sz w:val="22"/>
                <w:szCs w:val="22"/>
              </w:rPr>
            </w:pPr>
            <w:r>
              <w:rPr>
                <w:rFonts w:cs="宋体"/>
                <w:b/>
                <w:bCs/>
                <w:color w:val="000000"/>
                <w:sz w:val="22"/>
                <w:szCs w:val="22"/>
              </w:rPr>
              <w:t>指标名称</w:t>
            </w:r>
          </w:p>
        </w:tc>
        <w:tc>
          <w:tcPr>
            <w:tcW w:w="0" w:type="auto"/>
            <w:tcBorders>
              <w:top w:val="nil"/>
              <w:left w:val="nil"/>
              <w:bottom w:val="single" w:color="auto" w:sz="4" w:space="0"/>
              <w:right w:val="single" w:color="auto" w:sz="4" w:space="0"/>
            </w:tcBorders>
            <w:shd w:val="clear" w:color="auto" w:fill="auto"/>
            <w:noWrap/>
            <w:vAlign w:val="center"/>
          </w:tcPr>
          <w:p>
            <w:pPr>
              <w:jc w:val="center"/>
              <w:rPr>
                <w:rFonts w:hint="default" w:cs="宋体"/>
                <w:b/>
                <w:bCs/>
                <w:color w:val="000000"/>
                <w:sz w:val="22"/>
                <w:szCs w:val="22"/>
              </w:rPr>
            </w:pPr>
            <w:r>
              <w:rPr>
                <w:rFonts w:cs="宋体"/>
                <w:b/>
                <w:bCs/>
                <w:color w:val="000000"/>
                <w:sz w:val="22"/>
                <w:szCs w:val="22"/>
              </w:rPr>
              <w:t>计量单位</w:t>
            </w:r>
          </w:p>
        </w:tc>
        <w:tc>
          <w:tcPr>
            <w:tcW w:w="0" w:type="auto"/>
            <w:tcBorders>
              <w:top w:val="nil"/>
              <w:left w:val="nil"/>
              <w:bottom w:val="single" w:color="auto" w:sz="4" w:space="0"/>
              <w:right w:val="single" w:color="auto" w:sz="4" w:space="0"/>
            </w:tcBorders>
            <w:shd w:val="clear" w:color="auto" w:fill="auto"/>
            <w:noWrap/>
            <w:vAlign w:val="center"/>
          </w:tcPr>
          <w:p>
            <w:pPr>
              <w:jc w:val="center"/>
              <w:rPr>
                <w:rFonts w:hint="default" w:cs="宋体"/>
                <w:b/>
                <w:bCs/>
                <w:color w:val="000000"/>
                <w:sz w:val="22"/>
                <w:szCs w:val="22"/>
              </w:rPr>
            </w:pPr>
            <w:r>
              <w:rPr>
                <w:rFonts w:cs="宋体"/>
                <w:b/>
                <w:bCs/>
                <w:color w:val="000000"/>
                <w:sz w:val="22"/>
                <w:szCs w:val="22"/>
              </w:rPr>
              <w:t>指标性质</w:t>
            </w:r>
          </w:p>
        </w:tc>
        <w:tc>
          <w:tcPr>
            <w:tcW w:w="0" w:type="auto"/>
            <w:tcBorders>
              <w:top w:val="nil"/>
              <w:left w:val="nil"/>
              <w:bottom w:val="single" w:color="auto" w:sz="4" w:space="0"/>
              <w:right w:val="single" w:color="auto" w:sz="4" w:space="0"/>
            </w:tcBorders>
            <w:shd w:val="clear" w:color="auto" w:fill="auto"/>
            <w:noWrap/>
            <w:vAlign w:val="center"/>
          </w:tcPr>
          <w:p>
            <w:pPr>
              <w:jc w:val="center"/>
              <w:rPr>
                <w:rFonts w:hint="default" w:cs="宋体"/>
                <w:b/>
                <w:bCs/>
                <w:color w:val="000000"/>
                <w:sz w:val="22"/>
                <w:szCs w:val="22"/>
              </w:rPr>
            </w:pPr>
            <w:r>
              <w:rPr>
                <w:rFonts w:cs="宋体"/>
                <w:b/>
                <w:bCs/>
                <w:color w:val="000000"/>
                <w:sz w:val="22"/>
                <w:szCs w:val="22"/>
              </w:rPr>
              <w:t>指标值</w:t>
            </w:r>
          </w:p>
        </w:tc>
        <w:tc>
          <w:tcPr>
            <w:tcW w:w="0" w:type="auto"/>
            <w:tcBorders>
              <w:top w:val="nil"/>
              <w:left w:val="nil"/>
              <w:bottom w:val="single" w:color="auto" w:sz="4" w:space="0"/>
              <w:right w:val="single" w:color="auto" w:sz="4" w:space="0"/>
            </w:tcBorders>
            <w:shd w:val="clear" w:color="auto" w:fill="auto"/>
            <w:noWrap/>
            <w:vAlign w:val="center"/>
          </w:tcPr>
          <w:p>
            <w:pPr>
              <w:jc w:val="center"/>
              <w:rPr>
                <w:rFonts w:hint="default" w:cs="宋体"/>
                <w:b/>
                <w:bCs/>
                <w:color w:val="000000"/>
                <w:sz w:val="22"/>
                <w:szCs w:val="22"/>
              </w:rPr>
            </w:pPr>
            <w:r>
              <w:rPr>
                <w:rFonts w:cs="宋体"/>
                <w:b/>
                <w:bCs/>
                <w:color w:val="000000"/>
                <w:sz w:val="22"/>
                <w:szCs w:val="22"/>
              </w:rPr>
              <w:t>全年完成值</w:t>
            </w:r>
          </w:p>
        </w:tc>
        <w:tc>
          <w:tcPr>
            <w:tcW w:w="0" w:type="auto"/>
            <w:tcBorders>
              <w:top w:val="nil"/>
              <w:left w:val="nil"/>
              <w:bottom w:val="single" w:color="auto" w:sz="4" w:space="0"/>
              <w:right w:val="single" w:color="auto" w:sz="4" w:space="0"/>
            </w:tcBorders>
            <w:shd w:val="clear" w:color="auto" w:fill="auto"/>
            <w:noWrap/>
            <w:vAlign w:val="center"/>
          </w:tcPr>
          <w:p>
            <w:pPr>
              <w:jc w:val="center"/>
              <w:rPr>
                <w:rFonts w:hint="default" w:cs="宋体"/>
                <w:b/>
                <w:bCs/>
                <w:color w:val="000000"/>
                <w:sz w:val="22"/>
                <w:szCs w:val="22"/>
              </w:rPr>
            </w:pPr>
            <w:r>
              <w:rPr>
                <w:rFonts w:cs="宋体"/>
                <w:b/>
                <w:bCs/>
                <w:color w:val="000000"/>
                <w:sz w:val="22"/>
                <w:szCs w:val="22"/>
              </w:rPr>
              <w:t>偏离度（%）</w:t>
            </w:r>
          </w:p>
        </w:tc>
        <w:tc>
          <w:tcPr>
            <w:tcW w:w="0" w:type="auto"/>
            <w:tcBorders>
              <w:top w:val="nil"/>
              <w:left w:val="nil"/>
              <w:bottom w:val="single" w:color="auto" w:sz="4" w:space="0"/>
              <w:right w:val="single" w:color="auto" w:sz="4" w:space="0"/>
            </w:tcBorders>
            <w:shd w:val="clear" w:color="auto" w:fill="auto"/>
            <w:noWrap/>
            <w:vAlign w:val="center"/>
          </w:tcPr>
          <w:p>
            <w:pPr>
              <w:jc w:val="center"/>
              <w:rPr>
                <w:rFonts w:hint="default" w:cs="宋体"/>
                <w:b/>
                <w:bCs/>
                <w:color w:val="000000"/>
                <w:sz w:val="22"/>
                <w:szCs w:val="22"/>
              </w:rPr>
            </w:pPr>
            <w:r>
              <w:rPr>
                <w:rFonts w:cs="宋体"/>
                <w:b/>
                <w:bCs/>
                <w:color w:val="000000"/>
                <w:sz w:val="22"/>
                <w:szCs w:val="22"/>
              </w:rPr>
              <w:t>得分系数（%）</w:t>
            </w:r>
          </w:p>
        </w:tc>
        <w:tc>
          <w:tcPr>
            <w:tcW w:w="0" w:type="auto"/>
            <w:tcBorders>
              <w:top w:val="nil"/>
              <w:left w:val="nil"/>
              <w:bottom w:val="single" w:color="auto" w:sz="4" w:space="0"/>
              <w:right w:val="single" w:color="auto" w:sz="4" w:space="0"/>
            </w:tcBorders>
            <w:shd w:val="clear" w:color="auto" w:fill="auto"/>
            <w:noWrap/>
            <w:vAlign w:val="center"/>
          </w:tcPr>
          <w:p>
            <w:pPr>
              <w:jc w:val="center"/>
              <w:rPr>
                <w:rFonts w:hint="default" w:cs="宋体"/>
                <w:b/>
                <w:bCs/>
                <w:color w:val="000000"/>
                <w:sz w:val="22"/>
                <w:szCs w:val="22"/>
              </w:rPr>
            </w:pPr>
            <w:r>
              <w:rPr>
                <w:rFonts w:cs="宋体"/>
                <w:b/>
                <w:bCs/>
                <w:color w:val="000000"/>
                <w:sz w:val="22"/>
                <w:szCs w:val="22"/>
              </w:rPr>
              <w:t>指标权重</w:t>
            </w:r>
          </w:p>
        </w:tc>
        <w:tc>
          <w:tcPr>
            <w:tcW w:w="0" w:type="auto"/>
            <w:tcBorders>
              <w:top w:val="nil"/>
              <w:left w:val="nil"/>
              <w:bottom w:val="single" w:color="auto" w:sz="4" w:space="0"/>
              <w:right w:val="single" w:color="auto" w:sz="4" w:space="0"/>
            </w:tcBorders>
            <w:shd w:val="clear" w:color="auto" w:fill="auto"/>
            <w:noWrap/>
            <w:vAlign w:val="center"/>
          </w:tcPr>
          <w:p>
            <w:pPr>
              <w:jc w:val="center"/>
              <w:rPr>
                <w:rFonts w:hint="default" w:cs="宋体"/>
                <w:b/>
                <w:bCs/>
                <w:color w:val="000000"/>
                <w:sz w:val="22"/>
                <w:szCs w:val="22"/>
              </w:rPr>
            </w:pPr>
            <w:r>
              <w:rPr>
                <w:rFonts w:cs="宋体"/>
                <w:b/>
                <w:bCs/>
                <w:color w:val="000000"/>
                <w:sz w:val="22"/>
                <w:szCs w:val="22"/>
              </w:rPr>
              <w:t>指标得分</w:t>
            </w:r>
          </w:p>
        </w:tc>
        <w:tc>
          <w:tcPr>
            <w:tcW w:w="0" w:type="auto"/>
            <w:tcBorders>
              <w:top w:val="nil"/>
              <w:left w:val="nil"/>
              <w:bottom w:val="single" w:color="auto" w:sz="4" w:space="0"/>
              <w:right w:val="single" w:color="auto" w:sz="4" w:space="0"/>
            </w:tcBorders>
            <w:shd w:val="clear" w:color="auto" w:fill="auto"/>
            <w:noWrap/>
            <w:vAlign w:val="center"/>
          </w:tcPr>
          <w:p>
            <w:pPr>
              <w:jc w:val="center"/>
              <w:rPr>
                <w:rFonts w:hint="default" w:cs="宋体"/>
                <w:b/>
                <w:bCs/>
                <w:color w:val="000000"/>
                <w:sz w:val="22"/>
                <w:szCs w:val="22"/>
              </w:rPr>
            </w:pPr>
            <w:r>
              <w:rPr>
                <w:rFonts w:cs="宋体"/>
                <w:b/>
                <w:bCs/>
                <w:color w:val="000000"/>
                <w:sz w:val="22"/>
                <w:szCs w:val="22"/>
              </w:rPr>
              <w:t>是否核心指标</w:t>
            </w:r>
          </w:p>
        </w:tc>
        <w:tc>
          <w:tcPr>
            <w:tcW w:w="0" w:type="auto"/>
            <w:tcBorders>
              <w:top w:val="nil"/>
              <w:left w:val="nil"/>
              <w:bottom w:val="single" w:color="auto" w:sz="4" w:space="0"/>
              <w:right w:val="single" w:color="auto" w:sz="4" w:space="0"/>
            </w:tcBorders>
            <w:shd w:val="clear" w:color="auto" w:fill="auto"/>
            <w:noWrap/>
            <w:vAlign w:val="center"/>
          </w:tcPr>
          <w:p>
            <w:pPr>
              <w:jc w:val="center"/>
              <w:rPr>
                <w:rFonts w:hint="default" w:cs="宋体"/>
                <w:b/>
                <w:bCs/>
                <w:color w:val="000000"/>
                <w:sz w:val="22"/>
                <w:szCs w:val="22"/>
              </w:rPr>
            </w:pPr>
            <w:r>
              <w:rPr>
                <w:rFonts w:cs="宋体"/>
                <w:b/>
                <w:bCs/>
                <w:color w:val="000000"/>
                <w:sz w:val="22"/>
                <w:szCs w:val="22"/>
              </w:rPr>
              <w:t>说明</w:t>
            </w:r>
          </w:p>
        </w:tc>
      </w:tr>
      <w:tr>
        <w:tblPrEx>
          <w:tblCellMar>
            <w:top w:w="0" w:type="dxa"/>
            <w:left w:w="108" w:type="dxa"/>
            <w:bottom w:w="0" w:type="dxa"/>
            <w:right w:w="108" w:type="dxa"/>
          </w:tblCellMar>
        </w:tblPrEx>
        <w:trPr>
          <w:trHeight w:val="499"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涉及村社区</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个</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7</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7</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0</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100</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10</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10</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　</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　</w:t>
            </w:r>
          </w:p>
        </w:tc>
      </w:tr>
      <w:tr>
        <w:tblPrEx>
          <w:tblCellMar>
            <w:top w:w="0" w:type="dxa"/>
            <w:left w:w="108" w:type="dxa"/>
            <w:bottom w:w="0" w:type="dxa"/>
            <w:right w:w="108" w:type="dxa"/>
          </w:tblCellMar>
        </w:tblPrEx>
        <w:trPr>
          <w:trHeight w:val="499"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覆盖率</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98</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98</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0</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100</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10</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10</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　</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　</w:t>
            </w:r>
          </w:p>
        </w:tc>
      </w:tr>
      <w:tr>
        <w:tblPrEx>
          <w:tblCellMar>
            <w:top w:w="0" w:type="dxa"/>
            <w:left w:w="108" w:type="dxa"/>
            <w:bottom w:w="0" w:type="dxa"/>
            <w:right w:w="108" w:type="dxa"/>
          </w:tblCellMar>
        </w:tblPrEx>
        <w:trPr>
          <w:trHeight w:val="499"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项目资金兑付及时性</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98</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98</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0</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100</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20</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20</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　</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　</w:t>
            </w:r>
          </w:p>
        </w:tc>
      </w:tr>
      <w:tr>
        <w:tblPrEx>
          <w:tblCellMar>
            <w:top w:w="0" w:type="dxa"/>
            <w:left w:w="108" w:type="dxa"/>
            <w:bottom w:w="0" w:type="dxa"/>
            <w:right w:w="108" w:type="dxa"/>
          </w:tblCellMar>
        </w:tblPrEx>
        <w:trPr>
          <w:trHeight w:val="499"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产生的社会效益</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　</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定性</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好</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1</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0</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100</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20</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20</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　</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　</w:t>
            </w:r>
          </w:p>
        </w:tc>
      </w:tr>
      <w:tr>
        <w:tblPrEx>
          <w:tblCellMar>
            <w:top w:w="0" w:type="dxa"/>
            <w:left w:w="108" w:type="dxa"/>
            <w:bottom w:w="0" w:type="dxa"/>
            <w:right w:w="108" w:type="dxa"/>
          </w:tblCellMar>
        </w:tblPrEx>
        <w:trPr>
          <w:trHeight w:val="499"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服务对象满意度</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98</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98</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0</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100</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10</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10</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　</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　</w:t>
            </w:r>
          </w:p>
        </w:tc>
      </w:tr>
      <w:tr>
        <w:tblPrEx>
          <w:tblCellMar>
            <w:top w:w="0" w:type="dxa"/>
            <w:left w:w="108" w:type="dxa"/>
            <w:bottom w:w="0" w:type="dxa"/>
            <w:right w:w="108" w:type="dxa"/>
          </w:tblCellMar>
        </w:tblPrEx>
        <w:trPr>
          <w:trHeight w:val="499"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项目资金总额</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元</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94000</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94000</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0</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100</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20</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20</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　</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　</w:t>
            </w:r>
          </w:p>
        </w:tc>
      </w:tr>
    </w:tbl>
    <w:p>
      <w:pPr>
        <w:pStyle w:val="14"/>
        <w:spacing w:before="0" w:beforeAutospacing="0"/>
        <w:rPr>
          <w:rFonts w:ascii="方正仿宋_GBK" w:hAnsi="方正仿宋_GBK" w:eastAsia="方正仿宋_GBK" w:cs="方正仿宋_GBK"/>
          <w:sz w:val="28"/>
          <w:szCs w:val="28"/>
          <w:shd w:val="clear" w:color="auto" w:fill="FFFFFF"/>
        </w:rPr>
      </w:pPr>
    </w:p>
    <w:tbl>
      <w:tblPr>
        <w:tblStyle w:val="8"/>
        <w:tblW w:w="0" w:type="auto"/>
        <w:tblInd w:w="96" w:type="dxa"/>
        <w:tblLayout w:type="autofit"/>
        <w:tblCellMar>
          <w:top w:w="0" w:type="dxa"/>
          <w:left w:w="108" w:type="dxa"/>
          <w:bottom w:w="0" w:type="dxa"/>
          <w:right w:w="108" w:type="dxa"/>
        </w:tblCellMar>
      </w:tblPr>
      <w:tblGrid>
        <w:gridCol w:w="1051"/>
        <w:gridCol w:w="772"/>
        <w:gridCol w:w="772"/>
        <w:gridCol w:w="862"/>
        <w:gridCol w:w="730"/>
        <w:gridCol w:w="724"/>
        <w:gridCol w:w="816"/>
        <w:gridCol w:w="675"/>
        <w:gridCol w:w="585"/>
        <w:gridCol w:w="770"/>
        <w:gridCol w:w="678"/>
      </w:tblGrid>
      <w:tr>
        <w:tblPrEx>
          <w:tblCellMar>
            <w:top w:w="0" w:type="dxa"/>
            <w:left w:w="108" w:type="dxa"/>
            <w:bottom w:w="0" w:type="dxa"/>
            <w:right w:w="108" w:type="dxa"/>
          </w:tblCellMar>
        </w:tblPrEx>
        <w:trPr>
          <w:trHeight w:val="799" w:hRule="atLeast"/>
        </w:trPr>
        <w:tc>
          <w:tcPr>
            <w:tcW w:w="0" w:type="auto"/>
            <w:gridSpan w:val="11"/>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default" w:ascii="微软雅黑" w:hAnsi="微软雅黑" w:eastAsia="微软雅黑" w:cs="宋体"/>
                <w:b/>
                <w:bCs/>
                <w:color w:val="000000"/>
                <w:sz w:val="40"/>
                <w:szCs w:val="40"/>
              </w:rPr>
            </w:pPr>
            <w:r>
              <w:rPr>
                <w:rFonts w:ascii="微软雅黑" w:hAnsi="微软雅黑" w:eastAsia="微软雅黑" w:cs="宋体"/>
                <w:b/>
                <w:bCs/>
                <w:color w:val="000000"/>
                <w:sz w:val="40"/>
                <w:szCs w:val="40"/>
              </w:rPr>
              <w:t>2023年度二级项目绩效自评表</w:t>
            </w:r>
          </w:p>
        </w:tc>
      </w:tr>
      <w:tr>
        <w:tblPrEx>
          <w:tblCellMar>
            <w:top w:w="0" w:type="dxa"/>
            <w:left w:w="108" w:type="dxa"/>
            <w:bottom w:w="0" w:type="dxa"/>
            <w:right w:w="108" w:type="dxa"/>
          </w:tblCellMar>
        </w:tblPrEx>
        <w:trPr>
          <w:trHeight w:val="499" w:hRule="atLeast"/>
        </w:trPr>
        <w:tc>
          <w:tcPr>
            <w:tcW w:w="0" w:type="auto"/>
            <w:gridSpan w:val="11"/>
            <w:tcBorders>
              <w:top w:val="single" w:color="auto" w:sz="4" w:space="0"/>
              <w:left w:val="single" w:color="auto" w:sz="4" w:space="0"/>
              <w:bottom w:val="single" w:color="auto" w:sz="4" w:space="0"/>
              <w:right w:val="single" w:color="auto" w:sz="4" w:space="0"/>
            </w:tcBorders>
            <w:shd w:val="clear" w:color="auto" w:fill="auto"/>
            <w:noWrap/>
            <w:vAlign w:val="center"/>
          </w:tcPr>
          <w:p>
            <w:pPr>
              <w:ind w:firstLine="221" w:firstLineChars="100"/>
              <w:jc w:val="right"/>
              <w:rPr>
                <w:rFonts w:hint="default" w:cs="宋体"/>
                <w:b/>
                <w:bCs/>
                <w:color w:val="DA3232"/>
                <w:sz w:val="22"/>
                <w:szCs w:val="22"/>
              </w:rPr>
            </w:pPr>
            <w:r>
              <w:rPr>
                <w:rFonts w:cs="宋体"/>
                <w:b/>
                <w:bCs/>
                <w:color w:val="DA3232"/>
                <w:sz w:val="22"/>
                <w:szCs w:val="22"/>
              </w:rPr>
              <w:t>状态：绩效审核已审</w:t>
            </w:r>
          </w:p>
        </w:tc>
      </w:tr>
      <w:tr>
        <w:tblPrEx>
          <w:tblCellMar>
            <w:top w:w="0" w:type="dxa"/>
            <w:left w:w="108" w:type="dxa"/>
            <w:bottom w:w="0" w:type="dxa"/>
            <w:right w:w="108" w:type="dxa"/>
          </w:tblCellMar>
        </w:tblPrEx>
        <w:trPr>
          <w:trHeight w:val="499"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pPr>
              <w:jc w:val="right"/>
              <w:rPr>
                <w:rFonts w:hint="default" w:cs="宋体"/>
                <w:b/>
                <w:bCs/>
                <w:color w:val="000000"/>
                <w:sz w:val="22"/>
                <w:szCs w:val="22"/>
              </w:rPr>
            </w:pPr>
            <w:r>
              <w:rPr>
                <w:rFonts w:cs="宋体"/>
                <w:b/>
                <w:bCs/>
                <w:color w:val="000000"/>
                <w:sz w:val="22"/>
                <w:szCs w:val="22"/>
              </w:rPr>
              <w:t>项目名称：</w:t>
            </w:r>
          </w:p>
        </w:tc>
        <w:tc>
          <w:tcPr>
            <w:tcW w:w="0" w:type="auto"/>
            <w:gridSpan w:val="2"/>
            <w:tcBorders>
              <w:top w:val="single" w:color="auto" w:sz="4" w:space="0"/>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森林植被恢复返还</w:t>
            </w:r>
          </w:p>
        </w:tc>
        <w:tc>
          <w:tcPr>
            <w:tcW w:w="0" w:type="auto"/>
            <w:tcBorders>
              <w:top w:val="nil"/>
              <w:left w:val="nil"/>
              <w:bottom w:val="single" w:color="auto" w:sz="4" w:space="0"/>
              <w:right w:val="single" w:color="auto" w:sz="4" w:space="0"/>
            </w:tcBorders>
            <w:shd w:val="clear" w:color="auto" w:fill="auto"/>
            <w:noWrap/>
            <w:vAlign w:val="center"/>
          </w:tcPr>
          <w:p>
            <w:pPr>
              <w:jc w:val="right"/>
              <w:rPr>
                <w:rFonts w:hint="default" w:cs="宋体"/>
                <w:b/>
                <w:bCs/>
                <w:color w:val="000000"/>
                <w:sz w:val="22"/>
                <w:szCs w:val="22"/>
              </w:rPr>
            </w:pPr>
            <w:r>
              <w:rPr>
                <w:rFonts w:cs="宋体"/>
                <w:b/>
                <w:bCs/>
                <w:color w:val="000000"/>
                <w:sz w:val="22"/>
                <w:szCs w:val="22"/>
              </w:rPr>
              <w:t>项目编码：</w:t>
            </w:r>
          </w:p>
        </w:tc>
        <w:tc>
          <w:tcPr>
            <w:tcW w:w="0" w:type="auto"/>
            <w:gridSpan w:val="2"/>
            <w:tcBorders>
              <w:top w:val="single" w:color="auto" w:sz="4" w:space="0"/>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50023122T000002053461</w:t>
            </w:r>
          </w:p>
        </w:tc>
        <w:tc>
          <w:tcPr>
            <w:tcW w:w="0" w:type="auto"/>
            <w:tcBorders>
              <w:top w:val="nil"/>
              <w:left w:val="nil"/>
              <w:bottom w:val="single" w:color="auto" w:sz="4" w:space="0"/>
              <w:right w:val="single" w:color="auto" w:sz="4" w:space="0"/>
            </w:tcBorders>
            <w:shd w:val="clear" w:color="auto" w:fill="auto"/>
            <w:noWrap/>
            <w:vAlign w:val="center"/>
          </w:tcPr>
          <w:p>
            <w:pPr>
              <w:jc w:val="right"/>
              <w:rPr>
                <w:rFonts w:hint="default" w:cs="宋体"/>
                <w:b/>
                <w:bCs/>
                <w:color w:val="000000"/>
                <w:sz w:val="22"/>
                <w:szCs w:val="22"/>
              </w:rPr>
            </w:pPr>
            <w:r>
              <w:rPr>
                <w:rFonts w:cs="宋体"/>
                <w:b/>
                <w:bCs/>
                <w:color w:val="000000"/>
                <w:sz w:val="22"/>
                <w:szCs w:val="22"/>
              </w:rPr>
              <w:t>自评总分：</w:t>
            </w:r>
          </w:p>
        </w:tc>
        <w:tc>
          <w:tcPr>
            <w:tcW w:w="0" w:type="auto"/>
            <w:gridSpan w:val="2"/>
            <w:tcBorders>
              <w:top w:val="single" w:color="auto" w:sz="4" w:space="0"/>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95.14</w:t>
            </w:r>
          </w:p>
        </w:tc>
        <w:tc>
          <w:tcPr>
            <w:tcW w:w="0" w:type="auto"/>
            <w:tcBorders>
              <w:top w:val="nil"/>
              <w:left w:val="nil"/>
              <w:bottom w:val="single" w:color="auto" w:sz="4" w:space="0"/>
              <w:right w:val="single" w:color="auto" w:sz="4" w:space="0"/>
            </w:tcBorders>
            <w:shd w:val="clear" w:color="auto" w:fill="auto"/>
            <w:noWrap/>
            <w:vAlign w:val="center"/>
          </w:tcPr>
          <w:p>
            <w:pPr>
              <w:jc w:val="right"/>
              <w:rPr>
                <w:rFonts w:hint="default" w:cs="宋体"/>
                <w:b/>
                <w:bCs/>
                <w:color w:val="000000"/>
                <w:sz w:val="22"/>
                <w:szCs w:val="22"/>
              </w:rPr>
            </w:pPr>
            <w:r>
              <w:rPr>
                <w:rFonts w:cs="宋体"/>
                <w:b/>
                <w:bCs/>
                <w:color w:val="000000"/>
                <w:sz w:val="22"/>
                <w:szCs w:val="22"/>
              </w:rPr>
              <w:t>　</w:t>
            </w:r>
          </w:p>
        </w:tc>
        <w:tc>
          <w:tcPr>
            <w:tcW w:w="0" w:type="auto"/>
            <w:tcBorders>
              <w:top w:val="nil"/>
              <w:left w:val="nil"/>
              <w:bottom w:val="single" w:color="auto" w:sz="4" w:space="0"/>
              <w:right w:val="single" w:color="auto" w:sz="4" w:space="0"/>
            </w:tcBorders>
            <w:shd w:val="clear" w:color="auto" w:fill="auto"/>
            <w:vAlign w:val="center"/>
          </w:tcPr>
          <w:p>
            <w:pPr>
              <w:rPr>
                <w:rFonts w:hint="default" w:cs="宋体"/>
                <w:color w:val="000000"/>
                <w:sz w:val="22"/>
                <w:szCs w:val="22"/>
              </w:rPr>
            </w:pPr>
            <w:r>
              <w:rPr>
                <w:rFonts w:cs="宋体"/>
                <w:color w:val="000000"/>
                <w:sz w:val="22"/>
                <w:szCs w:val="22"/>
              </w:rPr>
              <w:t>　</w:t>
            </w:r>
          </w:p>
        </w:tc>
      </w:tr>
      <w:tr>
        <w:tblPrEx>
          <w:tblCellMar>
            <w:top w:w="0" w:type="dxa"/>
            <w:left w:w="108" w:type="dxa"/>
            <w:bottom w:w="0" w:type="dxa"/>
            <w:right w:w="108" w:type="dxa"/>
          </w:tblCellMar>
        </w:tblPrEx>
        <w:trPr>
          <w:trHeight w:val="499"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pPr>
              <w:jc w:val="right"/>
              <w:rPr>
                <w:rFonts w:hint="default" w:cs="宋体"/>
                <w:b/>
                <w:bCs/>
                <w:color w:val="000000"/>
                <w:sz w:val="22"/>
                <w:szCs w:val="22"/>
              </w:rPr>
            </w:pPr>
            <w:r>
              <w:rPr>
                <w:rFonts w:cs="宋体"/>
                <w:b/>
                <w:bCs/>
                <w:color w:val="000000"/>
                <w:sz w:val="22"/>
                <w:szCs w:val="22"/>
              </w:rPr>
              <w:t>项目主管部门：</w:t>
            </w:r>
          </w:p>
        </w:tc>
        <w:tc>
          <w:tcPr>
            <w:tcW w:w="0" w:type="auto"/>
            <w:gridSpan w:val="2"/>
            <w:tcBorders>
              <w:top w:val="single" w:color="auto" w:sz="4" w:space="0"/>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716-垫江县五洞镇人民政府</w:t>
            </w:r>
          </w:p>
        </w:tc>
        <w:tc>
          <w:tcPr>
            <w:tcW w:w="0" w:type="auto"/>
            <w:tcBorders>
              <w:top w:val="nil"/>
              <w:left w:val="nil"/>
              <w:bottom w:val="single" w:color="auto" w:sz="4" w:space="0"/>
              <w:right w:val="single" w:color="auto" w:sz="4" w:space="0"/>
            </w:tcBorders>
            <w:shd w:val="clear" w:color="auto" w:fill="auto"/>
            <w:noWrap/>
            <w:vAlign w:val="center"/>
          </w:tcPr>
          <w:p>
            <w:pPr>
              <w:jc w:val="right"/>
              <w:rPr>
                <w:rFonts w:hint="default" w:cs="宋体"/>
                <w:b/>
                <w:bCs/>
                <w:color w:val="000000"/>
                <w:sz w:val="22"/>
                <w:szCs w:val="22"/>
              </w:rPr>
            </w:pPr>
            <w:r>
              <w:rPr>
                <w:rFonts w:cs="宋体"/>
                <w:b/>
                <w:bCs/>
                <w:color w:val="000000"/>
                <w:sz w:val="22"/>
                <w:szCs w:val="22"/>
              </w:rPr>
              <w:t>财政归口处室：</w:t>
            </w:r>
          </w:p>
        </w:tc>
        <w:tc>
          <w:tcPr>
            <w:tcW w:w="0" w:type="auto"/>
            <w:gridSpan w:val="2"/>
            <w:tcBorders>
              <w:top w:val="single" w:color="auto" w:sz="4" w:space="0"/>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014-会计管理核算中心</w:t>
            </w:r>
          </w:p>
        </w:tc>
        <w:tc>
          <w:tcPr>
            <w:tcW w:w="0" w:type="auto"/>
            <w:tcBorders>
              <w:top w:val="nil"/>
              <w:left w:val="nil"/>
              <w:bottom w:val="single" w:color="auto" w:sz="4" w:space="0"/>
              <w:right w:val="single" w:color="auto" w:sz="4" w:space="0"/>
            </w:tcBorders>
            <w:shd w:val="clear" w:color="auto" w:fill="auto"/>
            <w:noWrap/>
            <w:vAlign w:val="center"/>
          </w:tcPr>
          <w:p>
            <w:pPr>
              <w:jc w:val="right"/>
              <w:rPr>
                <w:rFonts w:hint="default" w:cs="宋体"/>
                <w:b/>
                <w:bCs/>
                <w:color w:val="000000"/>
                <w:sz w:val="22"/>
                <w:szCs w:val="22"/>
              </w:rPr>
            </w:pPr>
            <w:r>
              <w:rPr>
                <w:rFonts w:cs="宋体"/>
                <w:b/>
                <w:bCs/>
                <w:color w:val="000000"/>
                <w:sz w:val="22"/>
                <w:szCs w:val="22"/>
              </w:rPr>
              <w:t>部门联系人：</w:t>
            </w:r>
          </w:p>
        </w:tc>
        <w:tc>
          <w:tcPr>
            <w:tcW w:w="0" w:type="auto"/>
            <w:gridSpan w:val="2"/>
            <w:tcBorders>
              <w:top w:val="single" w:color="auto" w:sz="4" w:space="0"/>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杨晓梅</w:t>
            </w:r>
          </w:p>
        </w:tc>
        <w:tc>
          <w:tcPr>
            <w:tcW w:w="0" w:type="auto"/>
            <w:tcBorders>
              <w:top w:val="nil"/>
              <w:left w:val="nil"/>
              <w:bottom w:val="single" w:color="auto" w:sz="4" w:space="0"/>
              <w:right w:val="single" w:color="auto" w:sz="4" w:space="0"/>
            </w:tcBorders>
            <w:shd w:val="clear" w:color="auto" w:fill="auto"/>
            <w:noWrap/>
            <w:vAlign w:val="center"/>
          </w:tcPr>
          <w:p>
            <w:pPr>
              <w:jc w:val="right"/>
              <w:rPr>
                <w:rFonts w:hint="default" w:cs="宋体"/>
                <w:b/>
                <w:bCs/>
                <w:color w:val="000000"/>
                <w:sz w:val="22"/>
                <w:szCs w:val="22"/>
              </w:rPr>
            </w:pPr>
            <w:r>
              <w:rPr>
                <w:rFonts w:cs="宋体"/>
                <w:b/>
                <w:bCs/>
                <w:color w:val="000000"/>
                <w:sz w:val="22"/>
                <w:szCs w:val="22"/>
              </w:rPr>
              <w:t>联系电话：</w:t>
            </w:r>
          </w:p>
        </w:tc>
        <w:tc>
          <w:tcPr>
            <w:tcW w:w="0" w:type="auto"/>
            <w:tcBorders>
              <w:top w:val="nil"/>
              <w:left w:val="nil"/>
              <w:bottom w:val="single" w:color="auto" w:sz="4" w:space="0"/>
              <w:right w:val="single" w:color="auto" w:sz="4" w:space="0"/>
            </w:tcBorders>
            <w:shd w:val="clear" w:color="auto" w:fill="auto"/>
            <w:vAlign w:val="center"/>
          </w:tcPr>
          <w:p>
            <w:pPr>
              <w:rPr>
                <w:rFonts w:hint="default" w:cs="宋体"/>
                <w:color w:val="000000"/>
                <w:sz w:val="22"/>
                <w:szCs w:val="22"/>
              </w:rPr>
            </w:pPr>
            <w:r>
              <w:rPr>
                <w:rFonts w:cs="宋体"/>
                <w:color w:val="000000"/>
                <w:sz w:val="22"/>
                <w:szCs w:val="22"/>
              </w:rPr>
              <w:t>74562700</w:t>
            </w:r>
          </w:p>
        </w:tc>
      </w:tr>
      <w:tr>
        <w:tblPrEx>
          <w:tblCellMar>
            <w:top w:w="0" w:type="dxa"/>
            <w:left w:w="108" w:type="dxa"/>
            <w:bottom w:w="0" w:type="dxa"/>
            <w:right w:w="108" w:type="dxa"/>
          </w:tblCellMar>
        </w:tblPrEx>
        <w:trPr>
          <w:trHeight w:val="600" w:hRule="atLeast"/>
        </w:trPr>
        <w:tc>
          <w:tcPr>
            <w:tcW w:w="0" w:type="auto"/>
            <w:gridSpan w:val="11"/>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default" w:ascii="微软雅黑" w:hAnsi="微软雅黑" w:eastAsia="微软雅黑" w:cs="宋体"/>
                <w:b/>
                <w:bCs/>
                <w:color w:val="7F7F7F"/>
                <w:sz w:val="28"/>
                <w:szCs w:val="28"/>
              </w:rPr>
            </w:pPr>
            <w:r>
              <w:rPr>
                <w:rFonts w:ascii="微软雅黑" w:hAnsi="微软雅黑" w:eastAsia="微软雅黑" w:cs="宋体"/>
                <w:b/>
                <w:bCs/>
                <w:color w:val="7F7F7F"/>
                <w:sz w:val="28"/>
                <w:szCs w:val="28"/>
              </w:rPr>
              <w:t>资金情况</w:t>
            </w:r>
          </w:p>
        </w:tc>
      </w:tr>
      <w:tr>
        <w:tblPrEx>
          <w:tblCellMar>
            <w:top w:w="0" w:type="dxa"/>
            <w:left w:w="108" w:type="dxa"/>
            <w:bottom w:w="0" w:type="dxa"/>
            <w:right w:w="108" w:type="dxa"/>
          </w:tblCellMar>
        </w:tblPrEx>
        <w:trPr>
          <w:trHeight w:val="499" w:hRule="atLeast"/>
        </w:trPr>
        <w:tc>
          <w:tcPr>
            <w:tcW w:w="0" w:type="auto"/>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default" w:cs="宋体"/>
                <w:color w:val="000000"/>
                <w:sz w:val="22"/>
                <w:szCs w:val="22"/>
              </w:rPr>
            </w:pPr>
            <w:r>
              <w:rPr>
                <w:rFonts w:cs="宋体"/>
                <w:color w:val="000000"/>
                <w:sz w:val="22"/>
                <w:szCs w:val="22"/>
              </w:rPr>
              <w:t>　</w:t>
            </w:r>
          </w:p>
        </w:tc>
        <w:tc>
          <w:tcPr>
            <w:tcW w:w="0" w:type="auto"/>
            <w:gridSpan w:val="2"/>
            <w:tcBorders>
              <w:top w:val="single" w:color="auto" w:sz="4" w:space="0"/>
              <w:left w:val="nil"/>
              <w:bottom w:val="single" w:color="auto" w:sz="4" w:space="0"/>
              <w:right w:val="single" w:color="auto" w:sz="4" w:space="0"/>
            </w:tcBorders>
            <w:shd w:val="clear" w:color="auto" w:fill="auto"/>
            <w:noWrap/>
            <w:vAlign w:val="center"/>
          </w:tcPr>
          <w:p>
            <w:pPr>
              <w:jc w:val="center"/>
              <w:rPr>
                <w:rFonts w:hint="default" w:cs="宋体"/>
                <w:b/>
                <w:bCs/>
                <w:color w:val="000000"/>
                <w:sz w:val="22"/>
                <w:szCs w:val="22"/>
              </w:rPr>
            </w:pPr>
            <w:r>
              <w:rPr>
                <w:rFonts w:cs="宋体"/>
                <w:b/>
                <w:bCs/>
                <w:color w:val="000000"/>
                <w:sz w:val="22"/>
                <w:szCs w:val="22"/>
              </w:rPr>
              <w:t>年初预算数</w:t>
            </w:r>
          </w:p>
        </w:tc>
        <w:tc>
          <w:tcPr>
            <w:tcW w:w="0" w:type="auto"/>
            <w:gridSpan w:val="2"/>
            <w:tcBorders>
              <w:top w:val="single" w:color="auto" w:sz="4" w:space="0"/>
              <w:left w:val="nil"/>
              <w:bottom w:val="single" w:color="auto" w:sz="4" w:space="0"/>
              <w:right w:val="single" w:color="auto" w:sz="4" w:space="0"/>
            </w:tcBorders>
            <w:shd w:val="clear" w:color="auto" w:fill="auto"/>
            <w:noWrap/>
            <w:vAlign w:val="center"/>
          </w:tcPr>
          <w:p>
            <w:pPr>
              <w:jc w:val="center"/>
              <w:rPr>
                <w:rFonts w:hint="default" w:cs="宋体"/>
                <w:b/>
                <w:bCs/>
                <w:color w:val="000000"/>
                <w:sz w:val="22"/>
                <w:szCs w:val="22"/>
              </w:rPr>
            </w:pPr>
            <w:r>
              <w:rPr>
                <w:rFonts w:cs="宋体"/>
                <w:b/>
                <w:bCs/>
                <w:color w:val="000000"/>
                <w:sz w:val="22"/>
                <w:szCs w:val="22"/>
              </w:rPr>
              <w:t>全年（调整）预算数</w:t>
            </w:r>
          </w:p>
        </w:tc>
        <w:tc>
          <w:tcPr>
            <w:tcW w:w="0" w:type="auto"/>
            <w:gridSpan w:val="2"/>
            <w:tcBorders>
              <w:top w:val="single" w:color="auto" w:sz="4" w:space="0"/>
              <w:left w:val="nil"/>
              <w:bottom w:val="single" w:color="auto" w:sz="4" w:space="0"/>
              <w:right w:val="single" w:color="auto" w:sz="4" w:space="0"/>
            </w:tcBorders>
            <w:shd w:val="clear" w:color="auto" w:fill="auto"/>
            <w:noWrap/>
            <w:vAlign w:val="center"/>
          </w:tcPr>
          <w:p>
            <w:pPr>
              <w:jc w:val="center"/>
              <w:rPr>
                <w:rFonts w:hint="default" w:cs="宋体"/>
                <w:b/>
                <w:bCs/>
                <w:color w:val="000000"/>
                <w:sz w:val="22"/>
                <w:szCs w:val="22"/>
              </w:rPr>
            </w:pPr>
            <w:r>
              <w:rPr>
                <w:rFonts w:cs="宋体"/>
                <w:b/>
                <w:bCs/>
                <w:color w:val="000000"/>
                <w:sz w:val="22"/>
                <w:szCs w:val="22"/>
              </w:rPr>
              <w:t>全年执行数</w:t>
            </w:r>
          </w:p>
        </w:tc>
        <w:tc>
          <w:tcPr>
            <w:tcW w:w="0" w:type="auto"/>
            <w:tcBorders>
              <w:top w:val="nil"/>
              <w:left w:val="nil"/>
              <w:bottom w:val="single" w:color="auto" w:sz="4" w:space="0"/>
              <w:right w:val="single" w:color="auto" w:sz="4" w:space="0"/>
            </w:tcBorders>
            <w:shd w:val="clear" w:color="auto" w:fill="auto"/>
            <w:noWrap/>
            <w:vAlign w:val="center"/>
          </w:tcPr>
          <w:p>
            <w:pPr>
              <w:jc w:val="center"/>
              <w:rPr>
                <w:rFonts w:hint="default" w:cs="宋体"/>
                <w:b/>
                <w:bCs/>
                <w:color w:val="000000"/>
                <w:sz w:val="22"/>
                <w:szCs w:val="22"/>
              </w:rPr>
            </w:pPr>
            <w:r>
              <w:rPr>
                <w:rFonts w:cs="宋体"/>
                <w:b/>
                <w:bCs/>
                <w:color w:val="000000"/>
                <w:sz w:val="22"/>
                <w:szCs w:val="22"/>
              </w:rPr>
              <w:t>执行率</w:t>
            </w:r>
          </w:p>
        </w:tc>
        <w:tc>
          <w:tcPr>
            <w:tcW w:w="0" w:type="auto"/>
            <w:tcBorders>
              <w:top w:val="nil"/>
              <w:left w:val="nil"/>
              <w:bottom w:val="single" w:color="auto" w:sz="4" w:space="0"/>
              <w:right w:val="single" w:color="auto" w:sz="4" w:space="0"/>
            </w:tcBorders>
            <w:shd w:val="clear" w:color="auto" w:fill="auto"/>
            <w:noWrap/>
            <w:vAlign w:val="center"/>
          </w:tcPr>
          <w:p>
            <w:pPr>
              <w:rPr>
                <w:rFonts w:hint="default" w:cs="宋体"/>
                <w:b/>
                <w:bCs/>
                <w:color w:val="000000"/>
                <w:sz w:val="22"/>
                <w:szCs w:val="22"/>
              </w:rPr>
            </w:pPr>
            <w:r>
              <w:rPr>
                <w:rFonts w:cs="宋体"/>
                <w:b/>
                <w:bCs/>
                <w:color w:val="000000"/>
                <w:sz w:val="22"/>
                <w:szCs w:val="22"/>
              </w:rPr>
              <w:t>执行率权重</w:t>
            </w:r>
          </w:p>
        </w:tc>
        <w:tc>
          <w:tcPr>
            <w:tcW w:w="0" w:type="auto"/>
            <w:tcBorders>
              <w:top w:val="nil"/>
              <w:left w:val="nil"/>
              <w:bottom w:val="single" w:color="auto" w:sz="4" w:space="0"/>
              <w:right w:val="single" w:color="auto" w:sz="4" w:space="0"/>
            </w:tcBorders>
            <w:shd w:val="clear" w:color="auto" w:fill="auto"/>
            <w:noWrap/>
            <w:vAlign w:val="center"/>
          </w:tcPr>
          <w:p>
            <w:pPr>
              <w:jc w:val="center"/>
              <w:rPr>
                <w:rFonts w:hint="default" w:cs="宋体"/>
                <w:b/>
                <w:bCs/>
                <w:color w:val="000000"/>
                <w:sz w:val="22"/>
                <w:szCs w:val="22"/>
              </w:rPr>
            </w:pPr>
            <w:r>
              <w:rPr>
                <w:rFonts w:cs="宋体"/>
                <w:b/>
                <w:bCs/>
                <w:color w:val="000000"/>
                <w:sz w:val="22"/>
                <w:szCs w:val="22"/>
              </w:rPr>
              <w:t>执行率得分</w:t>
            </w:r>
          </w:p>
        </w:tc>
      </w:tr>
      <w:tr>
        <w:tblPrEx>
          <w:tblCellMar>
            <w:top w:w="0" w:type="dxa"/>
            <w:left w:w="108" w:type="dxa"/>
            <w:bottom w:w="0" w:type="dxa"/>
            <w:right w:w="108" w:type="dxa"/>
          </w:tblCellMar>
        </w:tblPrEx>
        <w:trPr>
          <w:trHeight w:val="499" w:hRule="atLeast"/>
        </w:trPr>
        <w:tc>
          <w:tcPr>
            <w:tcW w:w="0" w:type="auto"/>
            <w:tcBorders>
              <w:top w:val="nil"/>
              <w:left w:val="single" w:color="auto" w:sz="4" w:space="0"/>
              <w:bottom w:val="single" w:color="auto" w:sz="4" w:space="0"/>
              <w:right w:val="nil"/>
            </w:tcBorders>
            <w:shd w:val="clear" w:color="auto" w:fill="auto"/>
            <w:vAlign w:val="center"/>
          </w:tcPr>
          <w:p>
            <w:pPr>
              <w:rPr>
                <w:rFonts w:hint="default" w:cs="宋体"/>
                <w:color w:val="000000"/>
                <w:sz w:val="22"/>
                <w:szCs w:val="22"/>
              </w:rPr>
            </w:pPr>
            <w:r>
              <w:rPr>
                <w:rFonts w:cs="宋体"/>
                <w:color w:val="000000"/>
                <w:sz w:val="22"/>
                <w:szCs w:val="22"/>
              </w:rPr>
              <w:t>年度总金额</w:t>
            </w:r>
          </w:p>
        </w:tc>
        <w:tc>
          <w:tcPr>
            <w:tcW w:w="0" w:type="auto"/>
            <w:tcBorders>
              <w:top w:val="nil"/>
              <w:left w:val="nil"/>
              <w:bottom w:val="single" w:color="auto" w:sz="4" w:space="0"/>
              <w:right w:val="single" w:color="auto" w:sz="4" w:space="0"/>
            </w:tcBorders>
            <w:shd w:val="clear" w:color="auto" w:fill="auto"/>
            <w:noWrap/>
            <w:vAlign w:val="center"/>
          </w:tcPr>
          <w:p>
            <w:pPr>
              <w:rPr>
                <w:rFonts w:hint="default" w:cs="宋体"/>
                <w:color w:val="000000"/>
                <w:sz w:val="22"/>
                <w:szCs w:val="22"/>
              </w:rPr>
            </w:pPr>
            <w:r>
              <w:rPr>
                <w:rFonts w:cs="宋体"/>
                <w:color w:val="000000"/>
                <w:sz w:val="22"/>
                <w:szCs w:val="22"/>
              </w:rPr>
              <w:t>　</w:t>
            </w:r>
          </w:p>
        </w:tc>
        <w:tc>
          <w:tcPr>
            <w:tcW w:w="0" w:type="auto"/>
            <w:tcBorders>
              <w:top w:val="nil"/>
              <w:left w:val="nil"/>
              <w:bottom w:val="single" w:color="auto" w:sz="4" w:space="0"/>
              <w:right w:val="nil"/>
            </w:tcBorders>
            <w:shd w:val="clear" w:color="auto" w:fill="auto"/>
            <w:noWrap/>
            <w:vAlign w:val="center"/>
          </w:tcPr>
          <w:p>
            <w:pPr>
              <w:rPr>
                <w:rFonts w:hint="default" w:cs="宋体"/>
                <w:color w:val="000000"/>
                <w:sz w:val="22"/>
                <w:szCs w:val="22"/>
              </w:rPr>
            </w:pPr>
            <w:r>
              <w:rPr>
                <w:rFonts w:cs="宋体"/>
                <w:color w:val="000000"/>
                <w:sz w:val="22"/>
                <w:szCs w:val="22"/>
              </w:rPr>
              <w:t>　</w:t>
            </w:r>
          </w:p>
        </w:tc>
        <w:tc>
          <w:tcPr>
            <w:tcW w:w="0" w:type="auto"/>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22"/>
                <w:szCs w:val="22"/>
              </w:rPr>
            </w:pPr>
            <w:r>
              <w:rPr>
                <w:rFonts w:cs="宋体"/>
                <w:color w:val="000000"/>
                <w:sz w:val="22"/>
                <w:szCs w:val="22"/>
              </w:rPr>
              <w:t xml:space="preserve">0.00 </w:t>
            </w:r>
          </w:p>
        </w:tc>
        <w:tc>
          <w:tcPr>
            <w:tcW w:w="0" w:type="auto"/>
            <w:tcBorders>
              <w:top w:val="nil"/>
              <w:left w:val="nil"/>
              <w:bottom w:val="single" w:color="auto" w:sz="4" w:space="0"/>
              <w:right w:val="nil"/>
            </w:tcBorders>
            <w:shd w:val="clear" w:color="auto" w:fill="auto"/>
            <w:noWrap/>
            <w:vAlign w:val="center"/>
          </w:tcPr>
          <w:p>
            <w:pPr>
              <w:rPr>
                <w:rFonts w:hint="default" w:cs="宋体"/>
                <w:color w:val="000000"/>
                <w:sz w:val="22"/>
                <w:szCs w:val="22"/>
              </w:rPr>
            </w:pPr>
            <w:r>
              <w:rPr>
                <w:rFonts w:cs="宋体"/>
                <w:color w:val="000000"/>
                <w:sz w:val="22"/>
                <w:szCs w:val="22"/>
              </w:rPr>
              <w:t>　</w:t>
            </w:r>
          </w:p>
        </w:tc>
        <w:tc>
          <w:tcPr>
            <w:tcW w:w="0" w:type="auto"/>
            <w:tcBorders>
              <w:top w:val="nil"/>
              <w:left w:val="nil"/>
              <w:bottom w:val="single" w:color="auto" w:sz="4" w:space="0"/>
              <w:right w:val="single" w:color="auto" w:sz="4" w:space="0"/>
            </w:tcBorders>
            <w:shd w:val="clear" w:color="auto" w:fill="auto"/>
            <w:vAlign w:val="center"/>
          </w:tcPr>
          <w:p>
            <w:pPr>
              <w:jc w:val="right"/>
              <w:rPr>
                <w:rFonts w:hint="default" w:cs="宋体"/>
                <w:color w:val="000000"/>
                <w:sz w:val="22"/>
                <w:szCs w:val="22"/>
              </w:rPr>
            </w:pPr>
            <w:r>
              <w:rPr>
                <w:rFonts w:cs="宋体"/>
                <w:color w:val="000000"/>
                <w:sz w:val="22"/>
                <w:szCs w:val="22"/>
              </w:rPr>
              <w:t xml:space="preserve">355,794.55 </w:t>
            </w:r>
          </w:p>
        </w:tc>
        <w:tc>
          <w:tcPr>
            <w:tcW w:w="0" w:type="auto"/>
            <w:tcBorders>
              <w:top w:val="nil"/>
              <w:left w:val="nil"/>
              <w:bottom w:val="single" w:color="auto" w:sz="4" w:space="0"/>
              <w:right w:val="nil"/>
            </w:tcBorders>
            <w:shd w:val="clear" w:color="auto" w:fill="auto"/>
            <w:noWrap/>
            <w:vAlign w:val="center"/>
          </w:tcPr>
          <w:p>
            <w:pPr>
              <w:rPr>
                <w:rFonts w:hint="default" w:cs="宋体"/>
                <w:color w:val="000000"/>
                <w:sz w:val="22"/>
                <w:szCs w:val="22"/>
              </w:rPr>
            </w:pPr>
            <w:r>
              <w:rPr>
                <w:rFonts w:cs="宋体"/>
                <w:color w:val="000000"/>
                <w:sz w:val="22"/>
                <w:szCs w:val="22"/>
              </w:rPr>
              <w:t>　</w:t>
            </w:r>
          </w:p>
        </w:tc>
        <w:tc>
          <w:tcPr>
            <w:tcW w:w="0" w:type="auto"/>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22"/>
                <w:szCs w:val="22"/>
              </w:rPr>
            </w:pPr>
            <w:r>
              <w:rPr>
                <w:rFonts w:cs="宋体"/>
                <w:color w:val="000000"/>
                <w:sz w:val="22"/>
                <w:szCs w:val="22"/>
              </w:rPr>
              <w:t xml:space="preserve">355,794.55 </w:t>
            </w:r>
          </w:p>
        </w:tc>
        <w:tc>
          <w:tcPr>
            <w:tcW w:w="0" w:type="auto"/>
            <w:tcBorders>
              <w:top w:val="nil"/>
              <w:left w:val="nil"/>
              <w:bottom w:val="single" w:color="auto" w:sz="4" w:space="0"/>
              <w:right w:val="single" w:color="auto" w:sz="4" w:space="0"/>
            </w:tcBorders>
            <w:shd w:val="clear" w:color="auto" w:fill="auto"/>
            <w:noWrap/>
            <w:vAlign w:val="center"/>
          </w:tcPr>
          <w:p>
            <w:pPr>
              <w:rPr>
                <w:rFonts w:hint="default" w:cs="宋体"/>
                <w:color w:val="000000"/>
                <w:sz w:val="22"/>
                <w:szCs w:val="22"/>
              </w:rPr>
            </w:pPr>
            <w:r>
              <w:rPr>
                <w:rFonts w:cs="宋体"/>
                <w:color w:val="000000"/>
                <w:sz w:val="22"/>
                <w:szCs w:val="22"/>
              </w:rPr>
              <w:t>　</w:t>
            </w:r>
          </w:p>
        </w:tc>
        <w:tc>
          <w:tcPr>
            <w:tcW w:w="0" w:type="auto"/>
            <w:tcBorders>
              <w:top w:val="nil"/>
              <w:left w:val="nil"/>
              <w:bottom w:val="single" w:color="auto" w:sz="4" w:space="0"/>
              <w:right w:val="single" w:color="auto" w:sz="4" w:space="0"/>
            </w:tcBorders>
            <w:shd w:val="clear" w:color="auto" w:fill="auto"/>
            <w:noWrap/>
            <w:vAlign w:val="center"/>
          </w:tcPr>
          <w:p>
            <w:pPr>
              <w:rPr>
                <w:rFonts w:hint="default" w:cs="宋体"/>
                <w:color w:val="000000"/>
                <w:sz w:val="22"/>
                <w:szCs w:val="22"/>
              </w:rPr>
            </w:pPr>
            <w:r>
              <w:rPr>
                <w:rFonts w:cs="宋体"/>
                <w:color w:val="000000"/>
                <w:sz w:val="22"/>
                <w:szCs w:val="22"/>
              </w:rPr>
              <w:t>　</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sz w:val="22"/>
                <w:szCs w:val="22"/>
              </w:rPr>
            </w:pPr>
            <w:r>
              <w:rPr>
                <w:rFonts w:cs="宋体"/>
                <w:sz w:val="22"/>
                <w:szCs w:val="22"/>
              </w:rPr>
              <w:t>　</w:t>
            </w:r>
          </w:p>
        </w:tc>
      </w:tr>
      <w:tr>
        <w:tblPrEx>
          <w:tblCellMar>
            <w:top w:w="0" w:type="dxa"/>
            <w:left w:w="108" w:type="dxa"/>
            <w:bottom w:w="0" w:type="dxa"/>
            <w:right w:w="108" w:type="dxa"/>
          </w:tblCellMar>
        </w:tblPrEx>
        <w:trPr>
          <w:trHeight w:val="499" w:hRule="atLeast"/>
        </w:trPr>
        <w:tc>
          <w:tcPr>
            <w:tcW w:w="0" w:type="auto"/>
            <w:tcBorders>
              <w:top w:val="nil"/>
              <w:left w:val="single" w:color="auto" w:sz="4" w:space="0"/>
              <w:bottom w:val="single" w:color="auto" w:sz="4" w:space="0"/>
              <w:right w:val="nil"/>
            </w:tcBorders>
            <w:shd w:val="clear" w:color="auto" w:fill="auto"/>
            <w:vAlign w:val="center"/>
          </w:tcPr>
          <w:p>
            <w:pPr>
              <w:rPr>
                <w:rFonts w:hint="default" w:cs="宋体"/>
                <w:color w:val="000000"/>
                <w:sz w:val="22"/>
                <w:szCs w:val="22"/>
              </w:rPr>
            </w:pPr>
            <w:r>
              <w:rPr>
                <w:rFonts w:cs="宋体"/>
                <w:color w:val="000000"/>
                <w:sz w:val="22"/>
                <w:szCs w:val="22"/>
              </w:rPr>
              <w:t>其中：财政拨款</w:t>
            </w:r>
          </w:p>
        </w:tc>
        <w:tc>
          <w:tcPr>
            <w:tcW w:w="0" w:type="auto"/>
            <w:tcBorders>
              <w:top w:val="nil"/>
              <w:left w:val="nil"/>
              <w:bottom w:val="single" w:color="auto" w:sz="4" w:space="0"/>
              <w:right w:val="single" w:color="auto" w:sz="4" w:space="0"/>
            </w:tcBorders>
            <w:shd w:val="clear" w:color="auto" w:fill="auto"/>
            <w:noWrap/>
            <w:vAlign w:val="center"/>
          </w:tcPr>
          <w:p>
            <w:pPr>
              <w:rPr>
                <w:rFonts w:hint="default" w:cs="宋体"/>
                <w:color w:val="000000"/>
                <w:sz w:val="22"/>
                <w:szCs w:val="22"/>
              </w:rPr>
            </w:pPr>
            <w:r>
              <w:rPr>
                <w:rFonts w:cs="宋体"/>
                <w:color w:val="000000"/>
                <w:sz w:val="22"/>
                <w:szCs w:val="22"/>
              </w:rPr>
              <w:t>　</w:t>
            </w:r>
          </w:p>
        </w:tc>
        <w:tc>
          <w:tcPr>
            <w:tcW w:w="0" w:type="auto"/>
            <w:tcBorders>
              <w:top w:val="nil"/>
              <w:left w:val="nil"/>
              <w:bottom w:val="single" w:color="auto" w:sz="4" w:space="0"/>
              <w:right w:val="nil"/>
            </w:tcBorders>
            <w:shd w:val="clear" w:color="auto" w:fill="auto"/>
            <w:noWrap/>
            <w:vAlign w:val="center"/>
          </w:tcPr>
          <w:p>
            <w:pPr>
              <w:rPr>
                <w:rFonts w:hint="default" w:cs="宋体"/>
                <w:color w:val="000000"/>
                <w:sz w:val="22"/>
                <w:szCs w:val="22"/>
              </w:rPr>
            </w:pPr>
            <w:r>
              <w:rPr>
                <w:rFonts w:cs="宋体"/>
                <w:color w:val="000000"/>
                <w:sz w:val="22"/>
                <w:szCs w:val="22"/>
              </w:rPr>
              <w:t>　</w:t>
            </w:r>
          </w:p>
        </w:tc>
        <w:tc>
          <w:tcPr>
            <w:tcW w:w="0" w:type="auto"/>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22"/>
                <w:szCs w:val="22"/>
              </w:rPr>
            </w:pPr>
            <w:r>
              <w:rPr>
                <w:rFonts w:cs="宋体"/>
                <w:color w:val="000000"/>
                <w:sz w:val="22"/>
                <w:szCs w:val="22"/>
              </w:rPr>
              <w:t xml:space="preserve">0.00 </w:t>
            </w:r>
          </w:p>
        </w:tc>
        <w:tc>
          <w:tcPr>
            <w:tcW w:w="0" w:type="auto"/>
            <w:tcBorders>
              <w:top w:val="nil"/>
              <w:left w:val="nil"/>
              <w:bottom w:val="single" w:color="auto" w:sz="4" w:space="0"/>
              <w:right w:val="nil"/>
            </w:tcBorders>
            <w:shd w:val="clear" w:color="auto" w:fill="auto"/>
            <w:noWrap/>
            <w:vAlign w:val="center"/>
          </w:tcPr>
          <w:p>
            <w:pPr>
              <w:rPr>
                <w:rFonts w:hint="default" w:cs="宋体"/>
                <w:color w:val="000000"/>
                <w:sz w:val="22"/>
                <w:szCs w:val="22"/>
              </w:rPr>
            </w:pPr>
            <w:r>
              <w:rPr>
                <w:rFonts w:cs="宋体"/>
                <w:color w:val="000000"/>
                <w:sz w:val="22"/>
                <w:szCs w:val="22"/>
              </w:rPr>
              <w:t>　</w:t>
            </w:r>
          </w:p>
        </w:tc>
        <w:tc>
          <w:tcPr>
            <w:tcW w:w="0" w:type="auto"/>
            <w:tcBorders>
              <w:top w:val="nil"/>
              <w:left w:val="nil"/>
              <w:bottom w:val="single" w:color="auto" w:sz="4" w:space="0"/>
              <w:right w:val="single" w:color="auto" w:sz="4" w:space="0"/>
            </w:tcBorders>
            <w:shd w:val="clear" w:color="auto" w:fill="auto"/>
            <w:vAlign w:val="center"/>
          </w:tcPr>
          <w:p>
            <w:pPr>
              <w:jc w:val="right"/>
              <w:rPr>
                <w:rFonts w:hint="default" w:cs="宋体"/>
                <w:color w:val="000000"/>
                <w:sz w:val="22"/>
                <w:szCs w:val="22"/>
              </w:rPr>
            </w:pPr>
            <w:r>
              <w:rPr>
                <w:rFonts w:cs="宋体"/>
                <w:color w:val="000000"/>
                <w:sz w:val="22"/>
                <w:szCs w:val="22"/>
              </w:rPr>
              <w:t xml:space="preserve">355,794.55 </w:t>
            </w:r>
          </w:p>
        </w:tc>
        <w:tc>
          <w:tcPr>
            <w:tcW w:w="0" w:type="auto"/>
            <w:tcBorders>
              <w:top w:val="nil"/>
              <w:left w:val="nil"/>
              <w:bottom w:val="single" w:color="auto" w:sz="4" w:space="0"/>
              <w:right w:val="nil"/>
            </w:tcBorders>
            <w:shd w:val="clear" w:color="auto" w:fill="auto"/>
            <w:noWrap/>
            <w:vAlign w:val="center"/>
          </w:tcPr>
          <w:p>
            <w:pPr>
              <w:rPr>
                <w:rFonts w:hint="default" w:cs="宋体"/>
                <w:color w:val="000000"/>
                <w:sz w:val="22"/>
                <w:szCs w:val="22"/>
              </w:rPr>
            </w:pPr>
            <w:r>
              <w:rPr>
                <w:rFonts w:cs="宋体"/>
                <w:color w:val="000000"/>
                <w:sz w:val="22"/>
                <w:szCs w:val="22"/>
              </w:rPr>
              <w:t>　</w:t>
            </w:r>
          </w:p>
        </w:tc>
        <w:tc>
          <w:tcPr>
            <w:tcW w:w="0" w:type="auto"/>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22"/>
                <w:szCs w:val="22"/>
              </w:rPr>
            </w:pPr>
            <w:r>
              <w:rPr>
                <w:rFonts w:cs="宋体"/>
                <w:color w:val="000000"/>
                <w:sz w:val="22"/>
                <w:szCs w:val="22"/>
              </w:rPr>
              <w:t xml:space="preserve">355,794.55 </w:t>
            </w:r>
          </w:p>
        </w:tc>
        <w:tc>
          <w:tcPr>
            <w:tcW w:w="0" w:type="auto"/>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22"/>
                <w:szCs w:val="22"/>
              </w:rPr>
            </w:pPr>
            <w:r>
              <w:rPr>
                <w:rFonts w:cs="宋体"/>
                <w:color w:val="000000"/>
                <w:sz w:val="22"/>
                <w:szCs w:val="22"/>
              </w:rPr>
              <w:t>100</w:t>
            </w:r>
          </w:p>
        </w:tc>
        <w:tc>
          <w:tcPr>
            <w:tcW w:w="0" w:type="auto"/>
            <w:tcBorders>
              <w:top w:val="nil"/>
              <w:left w:val="nil"/>
              <w:bottom w:val="single" w:color="auto" w:sz="4" w:space="0"/>
              <w:right w:val="single" w:color="auto" w:sz="4" w:space="0"/>
            </w:tcBorders>
            <w:shd w:val="clear" w:color="auto" w:fill="auto"/>
            <w:noWrap/>
            <w:vAlign w:val="center"/>
          </w:tcPr>
          <w:p>
            <w:pPr>
              <w:rPr>
                <w:rFonts w:hint="default" w:cs="宋体"/>
                <w:color w:val="000000"/>
                <w:sz w:val="22"/>
                <w:szCs w:val="22"/>
              </w:rPr>
            </w:pPr>
            <w:r>
              <w:rPr>
                <w:rFonts w:cs="宋体"/>
                <w:color w:val="000000"/>
                <w:sz w:val="22"/>
                <w:szCs w:val="22"/>
              </w:rPr>
              <w:t>10.00</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sz w:val="22"/>
                <w:szCs w:val="22"/>
              </w:rPr>
            </w:pPr>
            <w:r>
              <w:rPr>
                <w:rFonts w:cs="宋体"/>
                <w:sz w:val="22"/>
                <w:szCs w:val="22"/>
              </w:rPr>
              <w:t xml:space="preserve">10.00 </w:t>
            </w:r>
          </w:p>
        </w:tc>
      </w:tr>
      <w:tr>
        <w:tblPrEx>
          <w:tblCellMar>
            <w:top w:w="0" w:type="dxa"/>
            <w:left w:w="108" w:type="dxa"/>
            <w:bottom w:w="0" w:type="dxa"/>
            <w:right w:w="108" w:type="dxa"/>
          </w:tblCellMar>
        </w:tblPrEx>
        <w:trPr>
          <w:trHeight w:val="499" w:hRule="atLeast"/>
        </w:trPr>
        <w:tc>
          <w:tcPr>
            <w:tcW w:w="0" w:type="auto"/>
            <w:tcBorders>
              <w:top w:val="nil"/>
              <w:left w:val="single" w:color="auto" w:sz="4" w:space="0"/>
              <w:bottom w:val="single" w:color="auto" w:sz="4" w:space="0"/>
              <w:right w:val="nil"/>
            </w:tcBorders>
            <w:shd w:val="clear" w:color="auto" w:fill="auto"/>
            <w:vAlign w:val="center"/>
          </w:tcPr>
          <w:p>
            <w:pPr>
              <w:rPr>
                <w:rFonts w:hint="default" w:cs="宋体"/>
                <w:color w:val="000000"/>
                <w:sz w:val="22"/>
                <w:szCs w:val="22"/>
              </w:rPr>
            </w:pPr>
            <w:r>
              <w:rPr>
                <w:rFonts w:cs="宋体"/>
                <w:color w:val="000000"/>
                <w:sz w:val="22"/>
                <w:szCs w:val="22"/>
              </w:rPr>
              <w:t>一般公共预算</w:t>
            </w:r>
          </w:p>
        </w:tc>
        <w:tc>
          <w:tcPr>
            <w:tcW w:w="0" w:type="auto"/>
            <w:tcBorders>
              <w:top w:val="nil"/>
              <w:left w:val="nil"/>
              <w:bottom w:val="single" w:color="auto" w:sz="4" w:space="0"/>
              <w:right w:val="single" w:color="auto" w:sz="4" w:space="0"/>
            </w:tcBorders>
            <w:shd w:val="clear" w:color="auto" w:fill="auto"/>
            <w:noWrap/>
            <w:vAlign w:val="center"/>
          </w:tcPr>
          <w:p>
            <w:pPr>
              <w:rPr>
                <w:rFonts w:hint="default" w:cs="宋体"/>
                <w:color w:val="000000"/>
                <w:sz w:val="22"/>
                <w:szCs w:val="22"/>
              </w:rPr>
            </w:pPr>
            <w:r>
              <w:rPr>
                <w:rFonts w:cs="宋体"/>
                <w:color w:val="000000"/>
                <w:sz w:val="22"/>
                <w:szCs w:val="22"/>
              </w:rPr>
              <w:t>　</w:t>
            </w:r>
          </w:p>
        </w:tc>
        <w:tc>
          <w:tcPr>
            <w:tcW w:w="0" w:type="auto"/>
            <w:tcBorders>
              <w:top w:val="nil"/>
              <w:left w:val="nil"/>
              <w:bottom w:val="single" w:color="auto" w:sz="4" w:space="0"/>
              <w:right w:val="nil"/>
            </w:tcBorders>
            <w:shd w:val="clear" w:color="auto" w:fill="auto"/>
            <w:noWrap/>
            <w:vAlign w:val="center"/>
          </w:tcPr>
          <w:p>
            <w:pPr>
              <w:rPr>
                <w:rFonts w:hint="default" w:cs="宋体"/>
                <w:color w:val="000000"/>
                <w:sz w:val="22"/>
                <w:szCs w:val="22"/>
              </w:rPr>
            </w:pPr>
            <w:r>
              <w:rPr>
                <w:rFonts w:cs="宋体"/>
                <w:color w:val="000000"/>
                <w:sz w:val="22"/>
                <w:szCs w:val="22"/>
              </w:rPr>
              <w:t>　</w:t>
            </w:r>
          </w:p>
        </w:tc>
        <w:tc>
          <w:tcPr>
            <w:tcW w:w="0" w:type="auto"/>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22"/>
                <w:szCs w:val="22"/>
              </w:rPr>
            </w:pPr>
            <w:r>
              <w:rPr>
                <w:rFonts w:cs="宋体"/>
                <w:color w:val="000000"/>
                <w:sz w:val="22"/>
                <w:szCs w:val="22"/>
              </w:rPr>
              <w:t xml:space="preserve">0.00 </w:t>
            </w:r>
          </w:p>
        </w:tc>
        <w:tc>
          <w:tcPr>
            <w:tcW w:w="0" w:type="auto"/>
            <w:tcBorders>
              <w:top w:val="nil"/>
              <w:left w:val="nil"/>
              <w:bottom w:val="single" w:color="auto" w:sz="4" w:space="0"/>
              <w:right w:val="nil"/>
            </w:tcBorders>
            <w:shd w:val="clear" w:color="auto" w:fill="auto"/>
            <w:noWrap/>
            <w:vAlign w:val="center"/>
          </w:tcPr>
          <w:p>
            <w:pPr>
              <w:rPr>
                <w:rFonts w:hint="default" w:cs="宋体"/>
                <w:color w:val="000000"/>
                <w:sz w:val="22"/>
                <w:szCs w:val="22"/>
              </w:rPr>
            </w:pPr>
            <w:r>
              <w:rPr>
                <w:rFonts w:cs="宋体"/>
                <w:color w:val="000000"/>
                <w:sz w:val="22"/>
                <w:szCs w:val="22"/>
              </w:rPr>
              <w:t>　</w:t>
            </w:r>
          </w:p>
        </w:tc>
        <w:tc>
          <w:tcPr>
            <w:tcW w:w="0" w:type="auto"/>
            <w:tcBorders>
              <w:top w:val="nil"/>
              <w:left w:val="nil"/>
              <w:bottom w:val="single" w:color="auto" w:sz="4" w:space="0"/>
              <w:right w:val="single" w:color="auto" w:sz="4" w:space="0"/>
            </w:tcBorders>
            <w:shd w:val="clear" w:color="auto" w:fill="auto"/>
            <w:vAlign w:val="center"/>
          </w:tcPr>
          <w:p>
            <w:pPr>
              <w:jc w:val="right"/>
              <w:rPr>
                <w:rFonts w:hint="default" w:cs="宋体"/>
                <w:color w:val="000000"/>
                <w:sz w:val="22"/>
                <w:szCs w:val="22"/>
              </w:rPr>
            </w:pPr>
            <w:r>
              <w:rPr>
                <w:rFonts w:cs="宋体"/>
                <w:color w:val="000000"/>
                <w:sz w:val="22"/>
                <w:szCs w:val="22"/>
              </w:rPr>
              <w:t xml:space="preserve">355,794.55 </w:t>
            </w:r>
          </w:p>
        </w:tc>
        <w:tc>
          <w:tcPr>
            <w:tcW w:w="0" w:type="auto"/>
            <w:tcBorders>
              <w:top w:val="nil"/>
              <w:left w:val="nil"/>
              <w:bottom w:val="single" w:color="auto" w:sz="4" w:space="0"/>
              <w:right w:val="nil"/>
            </w:tcBorders>
            <w:shd w:val="clear" w:color="auto" w:fill="auto"/>
            <w:noWrap/>
            <w:vAlign w:val="center"/>
          </w:tcPr>
          <w:p>
            <w:pPr>
              <w:rPr>
                <w:rFonts w:hint="default" w:cs="宋体"/>
                <w:color w:val="000000"/>
                <w:sz w:val="22"/>
                <w:szCs w:val="22"/>
              </w:rPr>
            </w:pPr>
            <w:r>
              <w:rPr>
                <w:rFonts w:cs="宋体"/>
                <w:color w:val="000000"/>
                <w:sz w:val="22"/>
                <w:szCs w:val="22"/>
              </w:rPr>
              <w:t>　</w:t>
            </w:r>
          </w:p>
        </w:tc>
        <w:tc>
          <w:tcPr>
            <w:tcW w:w="0" w:type="auto"/>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22"/>
                <w:szCs w:val="22"/>
              </w:rPr>
            </w:pPr>
            <w:r>
              <w:rPr>
                <w:rFonts w:cs="宋体"/>
                <w:color w:val="000000"/>
                <w:sz w:val="22"/>
                <w:szCs w:val="22"/>
              </w:rPr>
              <w:t xml:space="preserve">355,794.55 </w:t>
            </w:r>
          </w:p>
        </w:tc>
        <w:tc>
          <w:tcPr>
            <w:tcW w:w="0" w:type="auto"/>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22"/>
                <w:szCs w:val="22"/>
              </w:rPr>
            </w:pPr>
            <w:r>
              <w:rPr>
                <w:rFonts w:cs="宋体"/>
                <w:color w:val="000000"/>
                <w:sz w:val="22"/>
                <w:szCs w:val="22"/>
              </w:rPr>
              <w:t>100</w:t>
            </w:r>
          </w:p>
        </w:tc>
        <w:tc>
          <w:tcPr>
            <w:tcW w:w="0" w:type="auto"/>
            <w:tcBorders>
              <w:top w:val="nil"/>
              <w:left w:val="nil"/>
              <w:bottom w:val="single" w:color="auto" w:sz="4" w:space="0"/>
              <w:right w:val="single" w:color="auto" w:sz="4" w:space="0"/>
            </w:tcBorders>
            <w:shd w:val="clear" w:color="auto" w:fill="auto"/>
            <w:noWrap/>
            <w:vAlign w:val="center"/>
          </w:tcPr>
          <w:p>
            <w:pPr>
              <w:rPr>
                <w:rFonts w:hint="default" w:cs="宋体"/>
                <w:color w:val="000000"/>
                <w:sz w:val="22"/>
                <w:szCs w:val="22"/>
              </w:rPr>
            </w:pPr>
            <w:r>
              <w:rPr>
                <w:rFonts w:cs="宋体"/>
                <w:color w:val="000000"/>
                <w:sz w:val="22"/>
                <w:szCs w:val="22"/>
              </w:rPr>
              <w:t>　</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sz w:val="22"/>
                <w:szCs w:val="22"/>
              </w:rPr>
            </w:pPr>
            <w:r>
              <w:rPr>
                <w:rFonts w:cs="宋体"/>
                <w:sz w:val="22"/>
                <w:szCs w:val="22"/>
              </w:rPr>
              <w:t>　</w:t>
            </w:r>
          </w:p>
        </w:tc>
      </w:tr>
      <w:tr>
        <w:tblPrEx>
          <w:tblCellMar>
            <w:top w:w="0" w:type="dxa"/>
            <w:left w:w="108" w:type="dxa"/>
            <w:bottom w:w="0" w:type="dxa"/>
            <w:right w:w="108" w:type="dxa"/>
          </w:tblCellMar>
        </w:tblPrEx>
        <w:trPr>
          <w:trHeight w:val="600" w:hRule="atLeast"/>
        </w:trPr>
        <w:tc>
          <w:tcPr>
            <w:tcW w:w="0" w:type="auto"/>
            <w:gridSpan w:val="11"/>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default" w:ascii="微软雅黑" w:hAnsi="微软雅黑" w:eastAsia="微软雅黑" w:cs="宋体"/>
                <w:b/>
                <w:bCs/>
                <w:color w:val="7F7F7F"/>
                <w:sz w:val="28"/>
                <w:szCs w:val="28"/>
              </w:rPr>
            </w:pPr>
            <w:r>
              <w:rPr>
                <w:rFonts w:ascii="微软雅黑" w:hAnsi="微软雅黑" w:eastAsia="微软雅黑" w:cs="宋体"/>
                <w:b/>
                <w:bCs/>
                <w:color w:val="7F7F7F"/>
                <w:sz w:val="28"/>
                <w:szCs w:val="28"/>
              </w:rPr>
              <w:t>绩效目标</w:t>
            </w:r>
          </w:p>
        </w:tc>
      </w:tr>
      <w:tr>
        <w:tblPrEx>
          <w:tblCellMar>
            <w:top w:w="0" w:type="dxa"/>
            <w:left w:w="108" w:type="dxa"/>
            <w:bottom w:w="0" w:type="dxa"/>
            <w:right w:w="108" w:type="dxa"/>
          </w:tblCellMar>
        </w:tblPrEx>
        <w:trPr>
          <w:trHeight w:val="499" w:hRule="atLeast"/>
        </w:trPr>
        <w:tc>
          <w:tcPr>
            <w:tcW w:w="0" w:type="auto"/>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default" w:cs="宋体"/>
                <w:b/>
                <w:bCs/>
                <w:color w:val="000000"/>
                <w:sz w:val="22"/>
                <w:szCs w:val="22"/>
              </w:rPr>
            </w:pPr>
            <w:r>
              <w:rPr>
                <w:rFonts w:cs="宋体"/>
                <w:b/>
                <w:bCs/>
                <w:color w:val="000000"/>
                <w:sz w:val="22"/>
                <w:szCs w:val="22"/>
              </w:rPr>
              <w:t>年初绩效目标</w:t>
            </w:r>
          </w:p>
        </w:tc>
        <w:tc>
          <w:tcPr>
            <w:tcW w:w="0" w:type="auto"/>
            <w:gridSpan w:val="4"/>
            <w:tcBorders>
              <w:top w:val="single" w:color="auto" w:sz="4" w:space="0"/>
              <w:left w:val="nil"/>
              <w:bottom w:val="single" w:color="auto" w:sz="4" w:space="0"/>
              <w:right w:val="single" w:color="auto" w:sz="4" w:space="0"/>
            </w:tcBorders>
            <w:shd w:val="clear" w:color="auto" w:fill="auto"/>
            <w:noWrap/>
            <w:vAlign w:val="center"/>
          </w:tcPr>
          <w:p>
            <w:pPr>
              <w:jc w:val="center"/>
              <w:rPr>
                <w:rFonts w:hint="default" w:cs="宋体"/>
                <w:b/>
                <w:bCs/>
                <w:color w:val="000000"/>
                <w:sz w:val="22"/>
                <w:szCs w:val="22"/>
              </w:rPr>
            </w:pPr>
            <w:r>
              <w:rPr>
                <w:rFonts w:cs="宋体"/>
                <w:b/>
                <w:bCs/>
                <w:color w:val="000000"/>
                <w:sz w:val="22"/>
                <w:szCs w:val="22"/>
              </w:rPr>
              <w:t>全年（调整）绩效目标</w:t>
            </w:r>
          </w:p>
        </w:tc>
        <w:tc>
          <w:tcPr>
            <w:tcW w:w="0" w:type="auto"/>
            <w:gridSpan w:val="3"/>
            <w:tcBorders>
              <w:top w:val="single" w:color="auto" w:sz="4" w:space="0"/>
              <w:left w:val="nil"/>
              <w:bottom w:val="single" w:color="auto" w:sz="4" w:space="0"/>
              <w:right w:val="single" w:color="auto" w:sz="4" w:space="0"/>
            </w:tcBorders>
            <w:shd w:val="clear" w:color="auto" w:fill="auto"/>
            <w:noWrap/>
            <w:vAlign w:val="center"/>
          </w:tcPr>
          <w:p>
            <w:pPr>
              <w:jc w:val="center"/>
              <w:rPr>
                <w:rFonts w:hint="default" w:cs="宋体"/>
                <w:b/>
                <w:bCs/>
                <w:color w:val="000000"/>
                <w:sz w:val="22"/>
                <w:szCs w:val="22"/>
              </w:rPr>
            </w:pPr>
            <w:r>
              <w:rPr>
                <w:rFonts w:cs="宋体"/>
                <w:b/>
                <w:bCs/>
                <w:color w:val="000000"/>
                <w:sz w:val="22"/>
                <w:szCs w:val="22"/>
              </w:rPr>
              <w:t>全年目标实际完成情况</w:t>
            </w:r>
          </w:p>
        </w:tc>
      </w:tr>
      <w:tr>
        <w:tblPrEx>
          <w:tblCellMar>
            <w:top w:w="0" w:type="dxa"/>
            <w:left w:w="108" w:type="dxa"/>
            <w:bottom w:w="0" w:type="dxa"/>
            <w:right w:w="108" w:type="dxa"/>
          </w:tblCellMar>
        </w:tblPrEx>
        <w:trPr>
          <w:trHeight w:val="1602" w:hRule="atLeast"/>
        </w:trPr>
        <w:tc>
          <w:tcPr>
            <w:tcW w:w="0" w:type="auto"/>
            <w:gridSpan w:val="4"/>
            <w:tcBorders>
              <w:top w:val="single" w:color="auto" w:sz="4" w:space="0"/>
              <w:left w:val="single" w:color="auto" w:sz="4" w:space="0"/>
              <w:bottom w:val="single" w:color="auto" w:sz="4" w:space="0"/>
              <w:right w:val="single" w:color="auto" w:sz="4" w:space="0"/>
            </w:tcBorders>
            <w:shd w:val="clear" w:color="auto" w:fill="auto"/>
          </w:tcPr>
          <w:p>
            <w:pPr>
              <w:rPr>
                <w:rFonts w:hint="default" w:cs="宋体"/>
                <w:color w:val="000000"/>
                <w:sz w:val="22"/>
                <w:szCs w:val="22"/>
              </w:rPr>
            </w:pPr>
            <w:r>
              <w:rPr>
                <w:rFonts w:cs="宋体"/>
                <w:color w:val="000000"/>
                <w:sz w:val="22"/>
                <w:szCs w:val="22"/>
              </w:rPr>
              <w:t>森林植被恢复</w:t>
            </w:r>
          </w:p>
        </w:tc>
        <w:tc>
          <w:tcPr>
            <w:tcW w:w="0" w:type="auto"/>
            <w:gridSpan w:val="4"/>
            <w:tcBorders>
              <w:top w:val="single" w:color="auto" w:sz="4" w:space="0"/>
              <w:left w:val="nil"/>
              <w:bottom w:val="single" w:color="auto" w:sz="4" w:space="0"/>
              <w:right w:val="single" w:color="auto" w:sz="4" w:space="0"/>
            </w:tcBorders>
            <w:shd w:val="clear" w:color="auto" w:fill="auto"/>
          </w:tcPr>
          <w:p>
            <w:pPr>
              <w:rPr>
                <w:rFonts w:hint="default" w:cs="宋体"/>
                <w:color w:val="000000"/>
                <w:sz w:val="22"/>
                <w:szCs w:val="22"/>
              </w:rPr>
            </w:pPr>
            <w:r>
              <w:rPr>
                <w:rFonts w:cs="宋体"/>
                <w:color w:val="000000"/>
                <w:sz w:val="22"/>
                <w:szCs w:val="22"/>
              </w:rPr>
              <w:t>森林植被恢复</w:t>
            </w:r>
          </w:p>
        </w:tc>
        <w:tc>
          <w:tcPr>
            <w:tcW w:w="0" w:type="auto"/>
            <w:gridSpan w:val="3"/>
            <w:tcBorders>
              <w:top w:val="single" w:color="auto" w:sz="4" w:space="0"/>
              <w:left w:val="nil"/>
              <w:bottom w:val="single" w:color="auto" w:sz="4" w:space="0"/>
              <w:right w:val="single" w:color="auto" w:sz="4" w:space="0"/>
            </w:tcBorders>
            <w:shd w:val="clear" w:color="auto" w:fill="auto"/>
          </w:tcPr>
          <w:p>
            <w:pPr>
              <w:rPr>
                <w:rFonts w:hint="default" w:cs="宋体"/>
                <w:color w:val="000000"/>
                <w:sz w:val="22"/>
                <w:szCs w:val="22"/>
              </w:rPr>
            </w:pPr>
            <w:r>
              <w:rPr>
                <w:rFonts w:cs="宋体"/>
                <w:color w:val="000000"/>
                <w:sz w:val="22"/>
                <w:szCs w:val="22"/>
              </w:rPr>
              <w:t>已完成</w:t>
            </w:r>
          </w:p>
        </w:tc>
      </w:tr>
      <w:tr>
        <w:tblPrEx>
          <w:tblCellMar>
            <w:top w:w="0" w:type="dxa"/>
            <w:left w:w="108" w:type="dxa"/>
            <w:bottom w:w="0" w:type="dxa"/>
            <w:right w:w="108" w:type="dxa"/>
          </w:tblCellMar>
        </w:tblPrEx>
        <w:trPr>
          <w:trHeight w:val="600" w:hRule="atLeast"/>
        </w:trPr>
        <w:tc>
          <w:tcPr>
            <w:tcW w:w="0" w:type="auto"/>
            <w:gridSpan w:val="11"/>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default" w:ascii="微软雅黑" w:hAnsi="微软雅黑" w:eastAsia="微软雅黑" w:cs="宋体"/>
                <w:b/>
                <w:bCs/>
                <w:color w:val="7F7F7F"/>
                <w:sz w:val="28"/>
                <w:szCs w:val="28"/>
              </w:rPr>
            </w:pPr>
            <w:r>
              <w:rPr>
                <w:rFonts w:ascii="微软雅黑" w:hAnsi="微软雅黑" w:eastAsia="微软雅黑" w:cs="宋体"/>
                <w:b/>
                <w:bCs/>
                <w:color w:val="7F7F7F"/>
                <w:sz w:val="28"/>
                <w:szCs w:val="28"/>
              </w:rPr>
              <w:t>绩效指标</w:t>
            </w:r>
          </w:p>
        </w:tc>
      </w:tr>
      <w:tr>
        <w:tblPrEx>
          <w:tblCellMar>
            <w:top w:w="0" w:type="dxa"/>
            <w:left w:w="108" w:type="dxa"/>
            <w:bottom w:w="0" w:type="dxa"/>
            <w:right w:w="108" w:type="dxa"/>
          </w:tblCellMar>
        </w:tblPrEx>
        <w:trPr>
          <w:trHeight w:val="499"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pPr>
              <w:jc w:val="center"/>
              <w:rPr>
                <w:rFonts w:hint="default" w:cs="宋体"/>
                <w:b/>
                <w:bCs/>
                <w:color w:val="000000"/>
                <w:sz w:val="22"/>
                <w:szCs w:val="22"/>
              </w:rPr>
            </w:pPr>
            <w:r>
              <w:rPr>
                <w:rFonts w:cs="宋体"/>
                <w:b/>
                <w:bCs/>
                <w:color w:val="000000"/>
                <w:sz w:val="22"/>
                <w:szCs w:val="22"/>
              </w:rPr>
              <w:t>指标名称</w:t>
            </w:r>
          </w:p>
        </w:tc>
        <w:tc>
          <w:tcPr>
            <w:tcW w:w="0" w:type="auto"/>
            <w:tcBorders>
              <w:top w:val="nil"/>
              <w:left w:val="nil"/>
              <w:bottom w:val="single" w:color="auto" w:sz="4" w:space="0"/>
              <w:right w:val="single" w:color="auto" w:sz="4" w:space="0"/>
            </w:tcBorders>
            <w:shd w:val="clear" w:color="auto" w:fill="auto"/>
            <w:noWrap/>
            <w:vAlign w:val="center"/>
          </w:tcPr>
          <w:p>
            <w:pPr>
              <w:jc w:val="center"/>
              <w:rPr>
                <w:rFonts w:hint="default" w:cs="宋体"/>
                <w:b/>
                <w:bCs/>
                <w:color w:val="000000"/>
                <w:sz w:val="22"/>
                <w:szCs w:val="22"/>
              </w:rPr>
            </w:pPr>
            <w:r>
              <w:rPr>
                <w:rFonts w:cs="宋体"/>
                <w:b/>
                <w:bCs/>
                <w:color w:val="000000"/>
                <w:sz w:val="22"/>
                <w:szCs w:val="22"/>
              </w:rPr>
              <w:t>计量单位</w:t>
            </w:r>
          </w:p>
        </w:tc>
        <w:tc>
          <w:tcPr>
            <w:tcW w:w="0" w:type="auto"/>
            <w:tcBorders>
              <w:top w:val="nil"/>
              <w:left w:val="nil"/>
              <w:bottom w:val="single" w:color="auto" w:sz="4" w:space="0"/>
              <w:right w:val="single" w:color="auto" w:sz="4" w:space="0"/>
            </w:tcBorders>
            <w:shd w:val="clear" w:color="auto" w:fill="auto"/>
            <w:noWrap/>
            <w:vAlign w:val="center"/>
          </w:tcPr>
          <w:p>
            <w:pPr>
              <w:jc w:val="center"/>
              <w:rPr>
                <w:rFonts w:hint="default" w:cs="宋体"/>
                <w:b/>
                <w:bCs/>
                <w:color w:val="000000"/>
                <w:sz w:val="22"/>
                <w:szCs w:val="22"/>
              </w:rPr>
            </w:pPr>
            <w:r>
              <w:rPr>
                <w:rFonts w:cs="宋体"/>
                <w:b/>
                <w:bCs/>
                <w:color w:val="000000"/>
                <w:sz w:val="22"/>
                <w:szCs w:val="22"/>
              </w:rPr>
              <w:t>指标性质</w:t>
            </w:r>
          </w:p>
        </w:tc>
        <w:tc>
          <w:tcPr>
            <w:tcW w:w="0" w:type="auto"/>
            <w:tcBorders>
              <w:top w:val="nil"/>
              <w:left w:val="nil"/>
              <w:bottom w:val="single" w:color="auto" w:sz="4" w:space="0"/>
              <w:right w:val="single" w:color="auto" w:sz="4" w:space="0"/>
            </w:tcBorders>
            <w:shd w:val="clear" w:color="auto" w:fill="auto"/>
            <w:noWrap/>
            <w:vAlign w:val="center"/>
          </w:tcPr>
          <w:p>
            <w:pPr>
              <w:jc w:val="center"/>
              <w:rPr>
                <w:rFonts w:hint="default" w:cs="宋体"/>
                <w:b/>
                <w:bCs/>
                <w:color w:val="000000"/>
                <w:sz w:val="22"/>
                <w:szCs w:val="22"/>
              </w:rPr>
            </w:pPr>
            <w:r>
              <w:rPr>
                <w:rFonts w:cs="宋体"/>
                <w:b/>
                <w:bCs/>
                <w:color w:val="000000"/>
                <w:sz w:val="22"/>
                <w:szCs w:val="22"/>
              </w:rPr>
              <w:t>指标值</w:t>
            </w:r>
          </w:p>
        </w:tc>
        <w:tc>
          <w:tcPr>
            <w:tcW w:w="0" w:type="auto"/>
            <w:tcBorders>
              <w:top w:val="nil"/>
              <w:left w:val="nil"/>
              <w:bottom w:val="single" w:color="auto" w:sz="4" w:space="0"/>
              <w:right w:val="single" w:color="auto" w:sz="4" w:space="0"/>
            </w:tcBorders>
            <w:shd w:val="clear" w:color="auto" w:fill="auto"/>
            <w:noWrap/>
            <w:vAlign w:val="center"/>
          </w:tcPr>
          <w:p>
            <w:pPr>
              <w:jc w:val="center"/>
              <w:rPr>
                <w:rFonts w:hint="default" w:cs="宋体"/>
                <w:b/>
                <w:bCs/>
                <w:color w:val="000000"/>
                <w:sz w:val="22"/>
                <w:szCs w:val="22"/>
              </w:rPr>
            </w:pPr>
            <w:r>
              <w:rPr>
                <w:rFonts w:cs="宋体"/>
                <w:b/>
                <w:bCs/>
                <w:color w:val="000000"/>
                <w:sz w:val="22"/>
                <w:szCs w:val="22"/>
              </w:rPr>
              <w:t>全年完成值</w:t>
            </w:r>
          </w:p>
        </w:tc>
        <w:tc>
          <w:tcPr>
            <w:tcW w:w="0" w:type="auto"/>
            <w:tcBorders>
              <w:top w:val="nil"/>
              <w:left w:val="nil"/>
              <w:bottom w:val="single" w:color="auto" w:sz="4" w:space="0"/>
              <w:right w:val="single" w:color="auto" w:sz="4" w:space="0"/>
            </w:tcBorders>
            <w:shd w:val="clear" w:color="auto" w:fill="auto"/>
            <w:noWrap/>
            <w:vAlign w:val="center"/>
          </w:tcPr>
          <w:p>
            <w:pPr>
              <w:jc w:val="center"/>
              <w:rPr>
                <w:rFonts w:hint="default" w:cs="宋体"/>
                <w:b/>
                <w:bCs/>
                <w:color w:val="000000"/>
                <w:sz w:val="22"/>
                <w:szCs w:val="22"/>
              </w:rPr>
            </w:pPr>
            <w:r>
              <w:rPr>
                <w:rFonts w:cs="宋体"/>
                <w:b/>
                <w:bCs/>
                <w:color w:val="000000"/>
                <w:sz w:val="22"/>
                <w:szCs w:val="22"/>
              </w:rPr>
              <w:t>偏离度（%）</w:t>
            </w:r>
          </w:p>
        </w:tc>
        <w:tc>
          <w:tcPr>
            <w:tcW w:w="0" w:type="auto"/>
            <w:tcBorders>
              <w:top w:val="nil"/>
              <w:left w:val="nil"/>
              <w:bottom w:val="single" w:color="auto" w:sz="4" w:space="0"/>
              <w:right w:val="single" w:color="auto" w:sz="4" w:space="0"/>
            </w:tcBorders>
            <w:shd w:val="clear" w:color="auto" w:fill="auto"/>
            <w:noWrap/>
            <w:vAlign w:val="center"/>
          </w:tcPr>
          <w:p>
            <w:pPr>
              <w:jc w:val="center"/>
              <w:rPr>
                <w:rFonts w:hint="default" w:cs="宋体"/>
                <w:b/>
                <w:bCs/>
                <w:color w:val="000000"/>
                <w:sz w:val="22"/>
                <w:szCs w:val="22"/>
              </w:rPr>
            </w:pPr>
            <w:r>
              <w:rPr>
                <w:rFonts w:cs="宋体"/>
                <w:b/>
                <w:bCs/>
                <w:color w:val="000000"/>
                <w:sz w:val="22"/>
                <w:szCs w:val="22"/>
              </w:rPr>
              <w:t>得分系数（%）</w:t>
            </w:r>
          </w:p>
        </w:tc>
        <w:tc>
          <w:tcPr>
            <w:tcW w:w="0" w:type="auto"/>
            <w:tcBorders>
              <w:top w:val="nil"/>
              <w:left w:val="nil"/>
              <w:bottom w:val="single" w:color="auto" w:sz="4" w:space="0"/>
              <w:right w:val="single" w:color="auto" w:sz="4" w:space="0"/>
            </w:tcBorders>
            <w:shd w:val="clear" w:color="auto" w:fill="auto"/>
            <w:noWrap/>
            <w:vAlign w:val="center"/>
          </w:tcPr>
          <w:p>
            <w:pPr>
              <w:jc w:val="center"/>
              <w:rPr>
                <w:rFonts w:hint="default" w:cs="宋体"/>
                <w:b/>
                <w:bCs/>
                <w:color w:val="000000"/>
                <w:sz w:val="22"/>
                <w:szCs w:val="22"/>
              </w:rPr>
            </w:pPr>
            <w:r>
              <w:rPr>
                <w:rFonts w:cs="宋体"/>
                <w:b/>
                <w:bCs/>
                <w:color w:val="000000"/>
                <w:sz w:val="22"/>
                <w:szCs w:val="22"/>
              </w:rPr>
              <w:t>指标权重</w:t>
            </w:r>
          </w:p>
        </w:tc>
        <w:tc>
          <w:tcPr>
            <w:tcW w:w="0" w:type="auto"/>
            <w:tcBorders>
              <w:top w:val="nil"/>
              <w:left w:val="nil"/>
              <w:bottom w:val="single" w:color="auto" w:sz="4" w:space="0"/>
              <w:right w:val="single" w:color="auto" w:sz="4" w:space="0"/>
            </w:tcBorders>
            <w:shd w:val="clear" w:color="auto" w:fill="auto"/>
            <w:noWrap/>
            <w:vAlign w:val="center"/>
          </w:tcPr>
          <w:p>
            <w:pPr>
              <w:jc w:val="center"/>
              <w:rPr>
                <w:rFonts w:hint="default" w:cs="宋体"/>
                <w:b/>
                <w:bCs/>
                <w:color w:val="000000"/>
                <w:sz w:val="22"/>
                <w:szCs w:val="22"/>
              </w:rPr>
            </w:pPr>
            <w:r>
              <w:rPr>
                <w:rFonts w:cs="宋体"/>
                <w:b/>
                <w:bCs/>
                <w:color w:val="000000"/>
                <w:sz w:val="22"/>
                <w:szCs w:val="22"/>
              </w:rPr>
              <w:t>指标得分</w:t>
            </w:r>
          </w:p>
        </w:tc>
        <w:tc>
          <w:tcPr>
            <w:tcW w:w="0" w:type="auto"/>
            <w:tcBorders>
              <w:top w:val="nil"/>
              <w:left w:val="nil"/>
              <w:bottom w:val="single" w:color="auto" w:sz="4" w:space="0"/>
              <w:right w:val="single" w:color="auto" w:sz="4" w:space="0"/>
            </w:tcBorders>
            <w:shd w:val="clear" w:color="auto" w:fill="auto"/>
            <w:noWrap/>
            <w:vAlign w:val="center"/>
          </w:tcPr>
          <w:p>
            <w:pPr>
              <w:jc w:val="center"/>
              <w:rPr>
                <w:rFonts w:hint="default" w:cs="宋体"/>
                <w:b/>
                <w:bCs/>
                <w:color w:val="000000"/>
                <w:sz w:val="22"/>
                <w:szCs w:val="22"/>
              </w:rPr>
            </w:pPr>
            <w:r>
              <w:rPr>
                <w:rFonts w:cs="宋体"/>
                <w:b/>
                <w:bCs/>
                <w:color w:val="000000"/>
                <w:sz w:val="22"/>
                <w:szCs w:val="22"/>
              </w:rPr>
              <w:t>是否核心指标</w:t>
            </w:r>
          </w:p>
        </w:tc>
        <w:tc>
          <w:tcPr>
            <w:tcW w:w="0" w:type="auto"/>
            <w:tcBorders>
              <w:top w:val="nil"/>
              <w:left w:val="nil"/>
              <w:bottom w:val="single" w:color="auto" w:sz="4" w:space="0"/>
              <w:right w:val="single" w:color="auto" w:sz="4" w:space="0"/>
            </w:tcBorders>
            <w:shd w:val="clear" w:color="auto" w:fill="auto"/>
            <w:noWrap/>
            <w:vAlign w:val="center"/>
          </w:tcPr>
          <w:p>
            <w:pPr>
              <w:jc w:val="center"/>
              <w:rPr>
                <w:rFonts w:hint="default" w:cs="宋体"/>
                <w:b/>
                <w:bCs/>
                <w:color w:val="000000"/>
                <w:sz w:val="22"/>
                <w:szCs w:val="22"/>
              </w:rPr>
            </w:pPr>
            <w:r>
              <w:rPr>
                <w:rFonts w:cs="宋体"/>
                <w:b/>
                <w:bCs/>
                <w:color w:val="000000"/>
                <w:sz w:val="22"/>
                <w:szCs w:val="22"/>
              </w:rPr>
              <w:t>说明</w:t>
            </w:r>
          </w:p>
        </w:tc>
      </w:tr>
      <w:tr>
        <w:tblPrEx>
          <w:tblCellMar>
            <w:top w:w="0" w:type="dxa"/>
            <w:left w:w="108" w:type="dxa"/>
            <w:bottom w:w="0" w:type="dxa"/>
            <w:right w:w="108" w:type="dxa"/>
          </w:tblCellMar>
        </w:tblPrEx>
        <w:trPr>
          <w:trHeight w:val="499"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退化林修复面积</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亩</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3711</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3711</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0</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100</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20</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20</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　</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　</w:t>
            </w:r>
          </w:p>
        </w:tc>
      </w:tr>
      <w:tr>
        <w:tblPrEx>
          <w:tblCellMar>
            <w:top w:w="0" w:type="dxa"/>
            <w:left w:w="108" w:type="dxa"/>
            <w:bottom w:w="0" w:type="dxa"/>
            <w:right w:w="108" w:type="dxa"/>
          </w:tblCellMar>
        </w:tblPrEx>
        <w:trPr>
          <w:trHeight w:val="499"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退化林修复合格率</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85</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85</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0</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100</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20</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20</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　</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　</w:t>
            </w:r>
          </w:p>
        </w:tc>
      </w:tr>
      <w:tr>
        <w:tblPrEx>
          <w:tblCellMar>
            <w:top w:w="0" w:type="dxa"/>
            <w:left w:w="108" w:type="dxa"/>
            <w:bottom w:w="0" w:type="dxa"/>
            <w:right w:w="108" w:type="dxa"/>
          </w:tblCellMar>
        </w:tblPrEx>
        <w:trPr>
          <w:trHeight w:val="499"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完成及时性</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100</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100</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0</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100</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10</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10</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　</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　</w:t>
            </w:r>
          </w:p>
        </w:tc>
      </w:tr>
      <w:tr>
        <w:tblPrEx>
          <w:tblCellMar>
            <w:top w:w="0" w:type="dxa"/>
            <w:left w:w="108" w:type="dxa"/>
            <w:bottom w:w="0" w:type="dxa"/>
            <w:right w:w="108" w:type="dxa"/>
          </w:tblCellMar>
        </w:tblPrEx>
        <w:trPr>
          <w:trHeight w:val="499"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林地 生态合格率</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90</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90</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0</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100</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20</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20</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　</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　</w:t>
            </w:r>
          </w:p>
        </w:tc>
      </w:tr>
      <w:tr>
        <w:tblPrEx>
          <w:tblCellMar>
            <w:top w:w="0" w:type="dxa"/>
            <w:left w:w="108" w:type="dxa"/>
            <w:bottom w:w="0" w:type="dxa"/>
            <w:right w:w="108" w:type="dxa"/>
          </w:tblCellMar>
        </w:tblPrEx>
        <w:trPr>
          <w:trHeight w:val="499"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服务对象满意度</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90</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90</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0</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100</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10</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10</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　</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　</w:t>
            </w:r>
          </w:p>
        </w:tc>
      </w:tr>
      <w:tr>
        <w:tblPrEx>
          <w:tblCellMar>
            <w:top w:w="0" w:type="dxa"/>
            <w:left w:w="108" w:type="dxa"/>
            <w:bottom w:w="0" w:type="dxa"/>
            <w:right w:w="108" w:type="dxa"/>
          </w:tblCellMar>
        </w:tblPrEx>
        <w:trPr>
          <w:trHeight w:val="499"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兑现金额</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元</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373974.55</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355794.55</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4.86</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51.4</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10</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5.14</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　</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　</w:t>
            </w:r>
          </w:p>
        </w:tc>
      </w:tr>
    </w:tbl>
    <w:p>
      <w:pPr>
        <w:pStyle w:val="14"/>
        <w:spacing w:before="0" w:beforeAutospacing="0"/>
        <w:rPr>
          <w:rFonts w:ascii="方正仿宋_GBK" w:hAnsi="方正仿宋_GBK" w:eastAsia="方正仿宋_GBK" w:cs="方正仿宋_GBK"/>
          <w:sz w:val="28"/>
          <w:szCs w:val="28"/>
          <w:shd w:val="clear" w:color="auto" w:fill="FFFFFF"/>
        </w:rPr>
      </w:pPr>
    </w:p>
    <w:tbl>
      <w:tblPr>
        <w:tblStyle w:val="8"/>
        <w:tblW w:w="0" w:type="auto"/>
        <w:tblInd w:w="96" w:type="dxa"/>
        <w:tblLayout w:type="autofit"/>
        <w:tblCellMar>
          <w:top w:w="0" w:type="dxa"/>
          <w:left w:w="108" w:type="dxa"/>
          <w:bottom w:w="0" w:type="dxa"/>
          <w:right w:w="108" w:type="dxa"/>
        </w:tblCellMar>
      </w:tblPr>
      <w:tblGrid>
        <w:gridCol w:w="912"/>
        <w:gridCol w:w="1016"/>
        <w:gridCol w:w="1016"/>
        <w:gridCol w:w="821"/>
        <w:gridCol w:w="650"/>
        <w:gridCol w:w="694"/>
        <w:gridCol w:w="778"/>
        <w:gridCol w:w="603"/>
        <w:gridCol w:w="562"/>
        <w:gridCol w:w="734"/>
        <w:gridCol w:w="649"/>
      </w:tblGrid>
      <w:tr>
        <w:tblPrEx>
          <w:tblCellMar>
            <w:top w:w="0" w:type="dxa"/>
            <w:left w:w="108" w:type="dxa"/>
            <w:bottom w:w="0" w:type="dxa"/>
            <w:right w:w="108" w:type="dxa"/>
          </w:tblCellMar>
        </w:tblPrEx>
        <w:trPr>
          <w:trHeight w:val="799" w:hRule="atLeast"/>
        </w:trPr>
        <w:tc>
          <w:tcPr>
            <w:tcW w:w="0" w:type="auto"/>
            <w:gridSpan w:val="11"/>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default" w:ascii="微软雅黑" w:hAnsi="微软雅黑" w:eastAsia="微软雅黑" w:cs="宋体"/>
                <w:b/>
                <w:bCs/>
                <w:color w:val="000000"/>
                <w:sz w:val="40"/>
                <w:szCs w:val="40"/>
              </w:rPr>
            </w:pPr>
            <w:r>
              <w:rPr>
                <w:rFonts w:ascii="微软雅黑" w:hAnsi="微软雅黑" w:eastAsia="微软雅黑" w:cs="宋体"/>
                <w:b/>
                <w:bCs/>
                <w:color w:val="000000"/>
                <w:sz w:val="40"/>
                <w:szCs w:val="40"/>
              </w:rPr>
              <w:t>2023年度二级项目绩效自评表</w:t>
            </w:r>
          </w:p>
        </w:tc>
      </w:tr>
      <w:tr>
        <w:tblPrEx>
          <w:tblCellMar>
            <w:top w:w="0" w:type="dxa"/>
            <w:left w:w="108" w:type="dxa"/>
            <w:bottom w:w="0" w:type="dxa"/>
            <w:right w:w="108" w:type="dxa"/>
          </w:tblCellMar>
        </w:tblPrEx>
        <w:trPr>
          <w:trHeight w:val="499" w:hRule="atLeast"/>
        </w:trPr>
        <w:tc>
          <w:tcPr>
            <w:tcW w:w="0" w:type="auto"/>
            <w:gridSpan w:val="11"/>
            <w:tcBorders>
              <w:top w:val="single" w:color="auto" w:sz="4" w:space="0"/>
              <w:left w:val="single" w:color="auto" w:sz="4" w:space="0"/>
              <w:bottom w:val="single" w:color="auto" w:sz="4" w:space="0"/>
              <w:right w:val="single" w:color="auto" w:sz="4" w:space="0"/>
            </w:tcBorders>
            <w:shd w:val="clear" w:color="auto" w:fill="auto"/>
            <w:noWrap/>
            <w:vAlign w:val="center"/>
          </w:tcPr>
          <w:p>
            <w:pPr>
              <w:ind w:firstLine="221" w:firstLineChars="100"/>
              <w:jc w:val="right"/>
              <w:rPr>
                <w:rFonts w:hint="default" w:cs="宋体"/>
                <w:b/>
                <w:bCs/>
                <w:color w:val="DA3232"/>
                <w:sz w:val="22"/>
                <w:szCs w:val="22"/>
              </w:rPr>
            </w:pPr>
            <w:r>
              <w:rPr>
                <w:rFonts w:cs="宋体"/>
                <w:b/>
                <w:bCs/>
                <w:color w:val="DA3232"/>
                <w:sz w:val="22"/>
                <w:szCs w:val="22"/>
              </w:rPr>
              <w:t>状态：绩效审核已审</w:t>
            </w:r>
          </w:p>
        </w:tc>
      </w:tr>
      <w:tr>
        <w:tblPrEx>
          <w:tblCellMar>
            <w:top w:w="0" w:type="dxa"/>
            <w:left w:w="108" w:type="dxa"/>
            <w:bottom w:w="0" w:type="dxa"/>
            <w:right w:w="108" w:type="dxa"/>
          </w:tblCellMar>
        </w:tblPrEx>
        <w:trPr>
          <w:trHeight w:val="499"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pPr>
              <w:jc w:val="right"/>
              <w:rPr>
                <w:rFonts w:hint="default" w:cs="宋体"/>
                <w:b/>
                <w:bCs/>
                <w:color w:val="000000"/>
                <w:sz w:val="22"/>
                <w:szCs w:val="22"/>
              </w:rPr>
            </w:pPr>
            <w:r>
              <w:rPr>
                <w:rFonts w:cs="宋体"/>
                <w:b/>
                <w:bCs/>
                <w:color w:val="000000"/>
                <w:sz w:val="22"/>
                <w:szCs w:val="22"/>
              </w:rPr>
              <w:t>项目名称：</w:t>
            </w:r>
          </w:p>
        </w:tc>
        <w:tc>
          <w:tcPr>
            <w:tcW w:w="0" w:type="auto"/>
            <w:gridSpan w:val="2"/>
            <w:tcBorders>
              <w:top w:val="single" w:color="auto" w:sz="4" w:space="0"/>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下达2022年水利救灾资金预算（第一批）</w:t>
            </w:r>
          </w:p>
        </w:tc>
        <w:tc>
          <w:tcPr>
            <w:tcW w:w="0" w:type="auto"/>
            <w:tcBorders>
              <w:top w:val="nil"/>
              <w:left w:val="nil"/>
              <w:bottom w:val="single" w:color="auto" w:sz="4" w:space="0"/>
              <w:right w:val="single" w:color="auto" w:sz="4" w:space="0"/>
            </w:tcBorders>
            <w:shd w:val="clear" w:color="auto" w:fill="auto"/>
            <w:noWrap/>
            <w:vAlign w:val="center"/>
          </w:tcPr>
          <w:p>
            <w:pPr>
              <w:jc w:val="right"/>
              <w:rPr>
                <w:rFonts w:hint="default" w:cs="宋体"/>
                <w:b/>
                <w:bCs/>
                <w:color w:val="000000"/>
                <w:sz w:val="22"/>
                <w:szCs w:val="22"/>
              </w:rPr>
            </w:pPr>
            <w:r>
              <w:rPr>
                <w:rFonts w:cs="宋体"/>
                <w:b/>
                <w:bCs/>
                <w:color w:val="000000"/>
                <w:sz w:val="22"/>
                <w:szCs w:val="22"/>
              </w:rPr>
              <w:t>项目编码：</w:t>
            </w:r>
          </w:p>
        </w:tc>
        <w:tc>
          <w:tcPr>
            <w:tcW w:w="0" w:type="auto"/>
            <w:gridSpan w:val="2"/>
            <w:tcBorders>
              <w:top w:val="single" w:color="auto" w:sz="4" w:space="0"/>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50023123T000002753663</w:t>
            </w:r>
          </w:p>
        </w:tc>
        <w:tc>
          <w:tcPr>
            <w:tcW w:w="0" w:type="auto"/>
            <w:tcBorders>
              <w:top w:val="nil"/>
              <w:left w:val="nil"/>
              <w:bottom w:val="single" w:color="auto" w:sz="4" w:space="0"/>
              <w:right w:val="single" w:color="auto" w:sz="4" w:space="0"/>
            </w:tcBorders>
            <w:shd w:val="clear" w:color="auto" w:fill="auto"/>
            <w:noWrap/>
            <w:vAlign w:val="center"/>
          </w:tcPr>
          <w:p>
            <w:pPr>
              <w:jc w:val="right"/>
              <w:rPr>
                <w:rFonts w:hint="default" w:cs="宋体"/>
                <w:b/>
                <w:bCs/>
                <w:color w:val="000000"/>
                <w:sz w:val="22"/>
                <w:szCs w:val="22"/>
              </w:rPr>
            </w:pPr>
            <w:r>
              <w:rPr>
                <w:rFonts w:cs="宋体"/>
                <w:b/>
                <w:bCs/>
                <w:color w:val="000000"/>
                <w:sz w:val="22"/>
                <w:szCs w:val="22"/>
              </w:rPr>
              <w:t>自评总分：</w:t>
            </w:r>
          </w:p>
        </w:tc>
        <w:tc>
          <w:tcPr>
            <w:tcW w:w="0" w:type="auto"/>
            <w:gridSpan w:val="2"/>
            <w:tcBorders>
              <w:top w:val="single" w:color="auto" w:sz="4" w:space="0"/>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100.00</w:t>
            </w:r>
          </w:p>
        </w:tc>
        <w:tc>
          <w:tcPr>
            <w:tcW w:w="0" w:type="auto"/>
            <w:tcBorders>
              <w:top w:val="nil"/>
              <w:left w:val="nil"/>
              <w:bottom w:val="single" w:color="auto" w:sz="4" w:space="0"/>
              <w:right w:val="single" w:color="auto" w:sz="4" w:space="0"/>
            </w:tcBorders>
            <w:shd w:val="clear" w:color="auto" w:fill="auto"/>
            <w:noWrap/>
            <w:vAlign w:val="center"/>
          </w:tcPr>
          <w:p>
            <w:pPr>
              <w:jc w:val="right"/>
              <w:rPr>
                <w:rFonts w:hint="default" w:cs="宋体"/>
                <w:b/>
                <w:bCs/>
                <w:color w:val="000000"/>
                <w:sz w:val="22"/>
                <w:szCs w:val="22"/>
              </w:rPr>
            </w:pPr>
            <w:r>
              <w:rPr>
                <w:rFonts w:cs="宋体"/>
                <w:b/>
                <w:bCs/>
                <w:color w:val="000000"/>
                <w:sz w:val="22"/>
                <w:szCs w:val="22"/>
              </w:rPr>
              <w:t>　</w:t>
            </w:r>
          </w:p>
        </w:tc>
        <w:tc>
          <w:tcPr>
            <w:tcW w:w="0" w:type="auto"/>
            <w:tcBorders>
              <w:top w:val="nil"/>
              <w:left w:val="nil"/>
              <w:bottom w:val="single" w:color="auto" w:sz="4" w:space="0"/>
              <w:right w:val="single" w:color="auto" w:sz="4" w:space="0"/>
            </w:tcBorders>
            <w:shd w:val="clear" w:color="auto" w:fill="auto"/>
            <w:vAlign w:val="center"/>
          </w:tcPr>
          <w:p>
            <w:pPr>
              <w:rPr>
                <w:rFonts w:hint="default" w:cs="宋体"/>
                <w:color w:val="000000"/>
                <w:sz w:val="22"/>
                <w:szCs w:val="22"/>
              </w:rPr>
            </w:pPr>
            <w:r>
              <w:rPr>
                <w:rFonts w:cs="宋体"/>
                <w:color w:val="000000"/>
                <w:sz w:val="22"/>
                <w:szCs w:val="22"/>
              </w:rPr>
              <w:t>　</w:t>
            </w:r>
          </w:p>
        </w:tc>
      </w:tr>
      <w:tr>
        <w:tblPrEx>
          <w:tblCellMar>
            <w:top w:w="0" w:type="dxa"/>
            <w:left w:w="108" w:type="dxa"/>
            <w:bottom w:w="0" w:type="dxa"/>
            <w:right w:w="108" w:type="dxa"/>
          </w:tblCellMar>
        </w:tblPrEx>
        <w:trPr>
          <w:trHeight w:val="499"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pPr>
              <w:jc w:val="right"/>
              <w:rPr>
                <w:rFonts w:hint="default" w:cs="宋体"/>
                <w:b/>
                <w:bCs/>
                <w:color w:val="000000"/>
                <w:sz w:val="22"/>
                <w:szCs w:val="22"/>
              </w:rPr>
            </w:pPr>
            <w:r>
              <w:rPr>
                <w:rFonts w:cs="宋体"/>
                <w:b/>
                <w:bCs/>
                <w:color w:val="000000"/>
                <w:sz w:val="22"/>
                <w:szCs w:val="22"/>
              </w:rPr>
              <w:t>项目主管部门：</w:t>
            </w:r>
          </w:p>
        </w:tc>
        <w:tc>
          <w:tcPr>
            <w:tcW w:w="0" w:type="auto"/>
            <w:gridSpan w:val="2"/>
            <w:tcBorders>
              <w:top w:val="single" w:color="auto" w:sz="4" w:space="0"/>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716-垫江县五洞镇人民政府</w:t>
            </w:r>
          </w:p>
        </w:tc>
        <w:tc>
          <w:tcPr>
            <w:tcW w:w="0" w:type="auto"/>
            <w:tcBorders>
              <w:top w:val="nil"/>
              <w:left w:val="nil"/>
              <w:bottom w:val="single" w:color="auto" w:sz="4" w:space="0"/>
              <w:right w:val="single" w:color="auto" w:sz="4" w:space="0"/>
            </w:tcBorders>
            <w:shd w:val="clear" w:color="auto" w:fill="auto"/>
            <w:noWrap/>
            <w:vAlign w:val="center"/>
          </w:tcPr>
          <w:p>
            <w:pPr>
              <w:jc w:val="right"/>
              <w:rPr>
                <w:rFonts w:hint="default" w:cs="宋体"/>
                <w:b/>
                <w:bCs/>
                <w:color w:val="000000"/>
                <w:sz w:val="22"/>
                <w:szCs w:val="22"/>
              </w:rPr>
            </w:pPr>
            <w:r>
              <w:rPr>
                <w:rFonts w:cs="宋体"/>
                <w:b/>
                <w:bCs/>
                <w:color w:val="000000"/>
                <w:sz w:val="22"/>
                <w:szCs w:val="22"/>
              </w:rPr>
              <w:t>财政归口处室：</w:t>
            </w:r>
          </w:p>
        </w:tc>
        <w:tc>
          <w:tcPr>
            <w:tcW w:w="0" w:type="auto"/>
            <w:gridSpan w:val="2"/>
            <w:tcBorders>
              <w:top w:val="single" w:color="auto" w:sz="4" w:space="0"/>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014-会计管理核算中心</w:t>
            </w:r>
          </w:p>
        </w:tc>
        <w:tc>
          <w:tcPr>
            <w:tcW w:w="0" w:type="auto"/>
            <w:tcBorders>
              <w:top w:val="nil"/>
              <w:left w:val="nil"/>
              <w:bottom w:val="single" w:color="auto" w:sz="4" w:space="0"/>
              <w:right w:val="single" w:color="auto" w:sz="4" w:space="0"/>
            </w:tcBorders>
            <w:shd w:val="clear" w:color="auto" w:fill="auto"/>
            <w:noWrap/>
            <w:vAlign w:val="center"/>
          </w:tcPr>
          <w:p>
            <w:pPr>
              <w:jc w:val="right"/>
              <w:rPr>
                <w:rFonts w:hint="default" w:cs="宋体"/>
                <w:b/>
                <w:bCs/>
                <w:color w:val="000000"/>
                <w:sz w:val="22"/>
                <w:szCs w:val="22"/>
              </w:rPr>
            </w:pPr>
            <w:r>
              <w:rPr>
                <w:rFonts w:cs="宋体"/>
                <w:b/>
                <w:bCs/>
                <w:color w:val="000000"/>
                <w:sz w:val="22"/>
                <w:szCs w:val="22"/>
              </w:rPr>
              <w:t>部门联系人：</w:t>
            </w:r>
          </w:p>
        </w:tc>
        <w:tc>
          <w:tcPr>
            <w:tcW w:w="0" w:type="auto"/>
            <w:gridSpan w:val="2"/>
            <w:tcBorders>
              <w:top w:val="single" w:color="auto" w:sz="4" w:space="0"/>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杨晓梅</w:t>
            </w:r>
          </w:p>
        </w:tc>
        <w:tc>
          <w:tcPr>
            <w:tcW w:w="0" w:type="auto"/>
            <w:tcBorders>
              <w:top w:val="nil"/>
              <w:left w:val="nil"/>
              <w:bottom w:val="single" w:color="auto" w:sz="4" w:space="0"/>
              <w:right w:val="single" w:color="auto" w:sz="4" w:space="0"/>
            </w:tcBorders>
            <w:shd w:val="clear" w:color="auto" w:fill="auto"/>
            <w:noWrap/>
            <w:vAlign w:val="center"/>
          </w:tcPr>
          <w:p>
            <w:pPr>
              <w:jc w:val="right"/>
              <w:rPr>
                <w:rFonts w:hint="default" w:cs="宋体"/>
                <w:b/>
                <w:bCs/>
                <w:color w:val="000000"/>
                <w:sz w:val="22"/>
                <w:szCs w:val="22"/>
              </w:rPr>
            </w:pPr>
            <w:r>
              <w:rPr>
                <w:rFonts w:cs="宋体"/>
                <w:b/>
                <w:bCs/>
                <w:color w:val="000000"/>
                <w:sz w:val="22"/>
                <w:szCs w:val="22"/>
              </w:rPr>
              <w:t>联系电话：</w:t>
            </w:r>
          </w:p>
        </w:tc>
        <w:tc>
          <w:tcPr>
            <w:tcW w:w="0" w:type="auto"/>
            <w:tcBorders>
              <w:top w:val="nil"/>
              <w:left w:val="nil"/>
              <w:bottom w:val="single" w:color="auto" w:sz="4" w:space="0"/>
              <w:right w:val="single" w:color="auto" w:sz="4" w:space="0"/>
            </w:tcBorders>
            <w:shd w:val="clear" w:color="auto" w:fill="auto"/>
            <w:vAlign w:val="center"/>
          </w:tcPr>
          <w:p>
            <w:pPr>
              <w:rPr>
                <w:rFonts w:hint="default" w:cs="宋体"/>
                <w:color w:val="000000"/>
                <w:sz w:val="22"/>
                <w:szCs w:val="22"/>
              </w:rPr>
            </w:pPr>
            <w:r>
              <w:rPr>
                <w:rFonts w:cs="宋体"/>
                <w:color w:val="000000"/>
                <w:sz w:val="22"/>
                <w:szCs w:val="22"/>
              </w:rPr>
              <w:t>74562700</w:t>
            </w:r>
          </w:p>
        </w:tc>
      </w:tr>
      <w:tr>
        <w:tblPrEx>
          <w:tblCellMar>
            <w:top w:w="0" w:type="dxa"/>
            <w:left w:w="108" w:type="dxa"/>
            <w:bottom w:w="0" w:type="dxa"/>
            <w:right w:w="108" w:type="dxa"/>
          </w:tblCellMar>
        </w:tblPrEx>
        <w:trPr>
          <w:trHeight w:val="600" w:hRule="atLeast"/>
        </w:trPr>
        <w:tc>
          <w:tcPr>
            <w:tcW w:w="0" w:type="auto"/>
            <w:gridSpan w:val="11"/>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default" w:ascii="微软雅黑" w:hAnsi="微软雅黑" w:eastAsia="微软雅黑" w:cs="宋体"/>
                <w:b/>
                <w:bCs/>
                <w:color w:val="7F7F7F"/>
                <w:sz w:val="28"/>
                <w:szCs w:val="28"/>
              </w:rPr>
            </w:pPr>
            <w:r>
              <w:rPr>
                <w:rFonts w:ascii="微软雅黑" w:hAnsi="微软雅黑" w:eastAsia="微软雅黑" w:cs="宋体"/>
                <w:b/>
                <w:bCs/>
                <w:color w:val="7F7F7F"/>
                <w:sz w:val="28"/>
                <w:szCs w:val="28"/>
              </w:rPr>
              <w:t>资金情况</w:t>
            </w:r>
          </w:p>
        </w:tc>
      </w:tr>
      <w:tr>
        <w:tblPrEx>
          <w:tblCellMar>
            <w:top w:w="0" w:type="dxa"/>
            <w:left w:w="108" w:type="dxa"/>
            <w:bottom w:w="0" w:type="dxa"/>
            <w:right w:w="108" w:type="dxa"/>
          </w:tblCellMar>
        </w:tblPrEx>
        <w:trPr>
          <w:trHeight w:val="499" w:hRule="atLeast"/>
        </w:trPr>
        <w:tc>
          <w:tcPr>
            <w:tcW w:w="0" w:type="auto"/>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default" w:cs="宋体"/>
                <w:color w:val="000000"/>
                <w:sz w:val="22"/>
                <w:szCs w:val="22"/>
              </w:rPr>
            </w:pPr>
            <w:r>
              <w:rPr>
                <w:rFonts w:cs="宋体"/>
                <w:color w:val="000000"/>
                <w:sz w:val="22"/>
                <w:szCs w:val="22"/>
              </w:rPr>
              <w:t>　</w:t>
            </w:r>
          </w:p>
        </w:tc>
        <w:tc>
          <w:tcPr>
            <w:tcW w:w="0" w:type="auto"/>
            <w:gridSpan w:val="2"/>
            <w:tcBorders>
              <w:top w:val="single" w:color="auto" w:sz="4" w:space="0"/>
              <w:left w:val="nil"/>
              <w:bottom w:val="single" w:color="auto" w:sz="4" w:space="0"/>
              <w:right w:val="single" w:color="auto" w:sz="4" w:space="0"/>
            </w:tcBorders>
            <w:shd w:val="clear" w:color="auto" w:fill="auto"/>
            <w:noWrap/>
            <w:vAlign w:val="center"/>
          </w:tcPr>
          <w:p>
            <w:pPr>
              <w:jc w:val="center"/>
              <w:rPr>
                <w:rFonts w:hint="default" w:cs="宋体"/>
                <w:b/>
                <w:bCs/>
                <w:color w:val="000000"/>
                <w:sz w:val="22"/>
                <w:szCs w:val="22"/>
              </w:rPr>
            </w:pPr>
            <w:r>
              <w:rPr>
                <w:rFonts w:cs="宋体"/>
                <w:b/>
                <w:bCs/>
                <w:color w:val="000000"/>
                <w:sz w:val="22"/>
                <w:szCs w:val="22"/>
              </w:rPr>
              <w:t>年初预算数</w:t>
            </w:r>
          </w:p>
        </w:tc>
        <w:tc>
          <w:tcPr>
            <w:tcW w:w="0" w:type="auto"/>
            <w:gridSpan w:val="2"/>
            <w:tcBorders>
              <w:top w:val="single" w:color="auto" w:sz="4" w:space="0"/>
              <w:left w:val="nil"/>
              <w:bottom w:val="single" w:color="auto" w:sz="4" w:space="0"/>
              <w:right w:val="single" w:color="auto" w:sz="4" w:space="0"/>
            </w:tcBorders>
            <w:shd w:val="clear" w:color="auto" w:fill="auto"/>
            <w:noWrap/>
            <w:vAlign w:val="center"/>
          </w:tcPr>
          <w:p>
            <w:pPr>
              <w:jc w:val="center"/>
              <w:rPr>
                <w:rFonts w:hint="default" w:cs="宋体"/>
                <w:b/>
                <w:bCs/>
                <w:color w:val="000000"/>
                <w:sz w:val="22"/>
                <w:szCs w:val="22"/>
              </w:rPr>
            </w:pPr>
            <w:r>
              <w:rPr>
                <w:rFonts w:cs="宋体"/>
                <w:b/>
                <w:bCs/>
                <w:color w:val="000000"/>
                <w:sz w:val="22"/>
                <w:szCs w:val="22"/>
              </w:rPr>
              <w:t>全年（调整）预算数</w:t>
            </w:r>
          </w:p>
        </w:tc>
        <w:tc>
          <w:tcPr>
            <w:tcW w:w="0" w:type="auto"/>
            <w:gridSpan w:val="2"/>
            <w:tcBorders>
              <w:top w:val="single" w:color="auto" w:sz="4" w:space="0"/>
              <w:left w:val="nil"/>
              <w:bottom w:val="single" w:color="auto" w:sz="4" w:space="0"/>
              <w:right w:val="single" w:color="auto" w:sz="4" w:space="0"/>
            </w:tcBorders>
            <w:shd w:val="clear" w:color="auto" w:fill="auto"/>
            <w:noWrap/>
            <w:vAlign w:val="center"/>
          </w:tcPr>
          <w:p>
            <w:pPr>
              <w:jc w:val="center"/>
              <w:rPr>
                <w:rFonts w:hint="default" w:cs="宋体"/>
                <w:b/>
                <w:bCs/>
                <w:color w:val="000000"/>
                <w:sz w:val="22"/>
                <w:szCs w:val="22"/>
              </w:rPr>
            </w:pPr>
            <w:r>
              <w:rPr>
                <w:rFonts w:cs="宋体"/>
                <w:b/>
                <w:bCs/>
                <w:color w:val="000000"/>
                <w:sz w:val="22"/>
                <w:szCs w:val="22"/>
              </w:rPr>
              <w:t>全年执行数</w:t>
            </w:r>
          </w:p>
        </w:tc>
        <w:tc>
          <w:tcPr>
            <w:tcW w:w="0" w:type="auto"/>
            <w:tcBorders>
              <w:top w:val="nil"/>
              <w:left w:val="nil"/>
              <w:bottom w:val="single" w:color="auto" w:sz="4" w:space="0"/>
              <w:right w:val="single" w:color="auto" w:sz="4" w:space="0"/>
            </w:tcBorders>
            <w:shd w:val="clear" w:color="auto" w:fill="auto"/>
            <w:noWrap/>
            <w:vAlign w:val="center"/>
          </w:tcPr>
          <w:p>
            <w:pPr>
              <w:jc w:val="center"/>
              <w:rPr>
                <w:rFonts w:hint="default" w:cs="宋体"/>
                <w:b/>
                <w:bCs/>
                <w:color w:val="000000"/>
                <w:sz w:val="22"/>
                <w:szCs w:val="22"/>
              </w:rPr>
            </w:pPr>
            <w:r>
              <w:rPr>
                <w:rFonts w:cs="宋体"/>
                <w:b/>
                <w:bCs/>
                <w:color w:val="000000"/>
                <w:sz w:val="22"/>
                <w:szCs w:val="22"/>
              </w:rPr>
              <w:t>执行率</w:t>
            </w:r>
          </w:p>
        </w:tc>
        <w:tc>
          <w:tcPr>
            <w:tcW w:w="0" w:type="auto"/>
            <w:tcBorders>
              <w:top w:val="nil"/>
              <w:left w:val="nil"/>
              <w:bottom w:val="single" w:color="auto" w:sz="4" w:space="0"/>
              <w:right w:val="single" w:color="auto" w:sz="4" w:space="0"/>
            </w:tcBorders>
            <w:shd w:val="clear" w:color="auto" w:fill="auto"/>
            <w:noWrap/>
            <w:vAlign w:val="center"/>
          </w:tcPr>
          <w:p>
            <w:pPr>
              <w:rPr>
                <w:rFonts w:hint="default" w:cs="宋体"/>
                <w:b/>
                <w:bCs/>
                <w:color w:val="000000"/>
                <w:sz w:val="22"/>
                <w:szCs w:val="22"/>
              </w:rPr>
            </w:pPr>
            <w:r>
              <w:rPr>
                <w:rFonts w:cs="宋体"/>
                <w:b/>
                <w:bCs/>
                <w:color w:val="000000"/>
                <w:sz w:val="22"/>
                <w:szCs w:val="22"/>
              </w:rPr>
              <w:t>执行率权重</w:t>
            </w:r>
          </w:p>
        </w:tc>
        <w:tc>
          <w:tcPr>
            <w:tcW w:w="0" w:type="auto"/>
            <w:tcBorders>
              <w:top w:val="nil"/>
              <w:left w:val="nil"/>
              <w:bottom w:val="single" w:color="auto" w:sz="4" w:space="0"/>
              <w:right w:val="single" w:color="auto" w:sz="4" w:space="0"/>
            </w:tcBorders>
            <w:shd w:val="clear" w:color="auto" w:fill="auto"/>
            <w:noWrap/>
            <w:vAlign w:val="center"/>
          </w:tcPr>
          <w:p>
            <w:pPr>
              <w:jc w:val="center"/>
              <w:rPr>
                <w:rFonts w:hint="default" w:cs="宋体"/>
                <w:b/>
                <w:bCs/>
                <w:color w:val="000000"/>
                <w:sz w:val="22"/>
                <w:szCs w:val="22"/>
              </w:rPr>
            </w:pPr>
            <w:r>
              <w:rPr>
                <w:rFonts w:cs="宋体"/>
                <w:b/>
                <w:bCs/>
                <w:color w:val="000000"/>
                <w:sz w:val="22"/>
                <w:szCs w:val="22"/>
              </w:rPr>
              <w:t>执行率得分</w:t>
            </w:r>
          </w:p>
        </w:tc>
      </w:tr>
      <w:tr>
        <w:tblPrEx>
          <w:tblCellMar>
            <w:top w:w="0" w:type="dxa"/>
            <w:left w:w="108" w:type="dxa"/>
            <w:bottom w:w="0" w:type="dxa"/>
            <w:right w:w="108" w:type="dxa"/>
          </w:tblCellMar>
        </w:tblPrEx>
        <w:trPr>
          <w:trHeight w:val="499" w:hRule="atLeast"/>
        </w:trPr>
        <w:tc>
          <w:tcPr>
            <w:tcW w:w="0" w:type="auto"/>
            <w:tcBorders>
              <w:top w:val="nil"/>
              <w:left w:val="single" w:color="auto" w:sz="4" w:space="0"/>
              <w:bottom w:val="single" w:color="auto" w:sz="4" w:space="0"/>
              <w:right w:val="nil"/>
            </w:tcBorders>
            <w:shd w:val="clear" w:color="auto" w:fill="auto"/>
            <w:vAlign w:val="center"/>
          </w:tcPr>
          <w:p>
            <w:pPr>
              <w:rPr>
                <w:rFonts w:hint="default" w:cs="宋体"/>
                <w:color w:val="000000"/>
                <w:sz w:val="22"/>
                <w:szCs w:val="22"/>
              </w:rPr>
            </w:pPr>
            <w:r>
              <w:rPr>
                <w:rFonts w:cs="宋体"/>
                <w:color w:val="000000"/>
                <w:sz w:val="22"/>
                <w:szCs w:val="22"/>
              </w:rPr>
              <w:t>年度总金额</w:t>
            </w:r>
          </w:p>
        </w:tc>
        <w:tc>
          <w:tcPr>
            <w:tcW w:w="0" w:type="auto"/>
            <w:tcBorders>
              <w:top w:val="nil"/>
              <w:left w:val="nil"/>
              <w:bottom w:val="single" w:color="auto" w:sz="4" w:space="0"/>
              <w:right w:val="single" w:color="auto" w:sz="4" w:space="0"/>
            </w:tcBorders>
            <w:shd w:val="clear" w:color="auto" w:fill="auto"/>
            <w:noWrap/>
            <w:vAlign w:val="center"/>
          </w:tcPr>
          <w:p>
            <w:pPr>
              <w:rPr>
                <w:rFonts w:hint="default" w:cs="宋体"/>
                <w:color w:val="000000"/>
                <w:sz w:val="22"/>
                <w:szCs w:val="22"/>
              </w:rPr>
            </w:pPr>
            <w:r>
              <w:rPr>
                <w:rFonts w:cs="宋体"/>
                <w:color w:val="000000"/>
                <w:sz w:val="22"/>
                <w:szCs w:val="22"/>
              </w:rPr>
              <w:t>　</w:t>
            </w:r>
          </w:p>
        </w:tc>
        <w:tc>
          <w:tcPr>
            <w:tcW w:w="0" w:type="auto"/>
            <w:tcBorders>
              <w:top w:val="nil"/>
              <w:left w:val="nil"/>
              <w:bottom w:val="single" w:color="auto" w:sz="4" w:space="0"/>
              <w:right w:val="nil"/>
            </w:tcBorders>
            <w:shd w:val="clear" w:color="auto" w:fill="auto"/>
            <w:noWrap/>
            <w:vAlign w:val="center"/>
          </w:tcPr>
          <w:p>
            <w:pPr>
              <w:rPr>
                <w:rFonts w:hint="default" w:cs="宋体"/>
                <w:color w:val="000000"/>
                <w:sz w:val="22"/>
                <w:szCs w:val="22"/>
              </w:rPr>
            </w:pPr>
            <w:r>
              <w:rPr>
                <w:rFonts w:cs="宋体"/>
                <w:color w:val="000000"/>
                <w:sz w:val="22"/>
                <w:szCs w:val="22"/>
              </w:rPr>
              <w:t>　</w:t>
            </w:r>
          </w:p>
        </w:tc>
        <w:tc>
          <w:tcPr>
            <w:tcW w:w="0" w:type="auto"/>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22"/>
                <w:szCs w:val="22"/>
              </w:rPr>
            </w:pPr>
            <w:r>
              <w:rPr>
                <w:rFonts w:cs="宋体"/>
                <w:color w:val="000000"/>
                <w:sz w:val="22"/>
                <w:szCs w:val="22"/>
              </w:rPr>
              <w:t xml:space="preserve">70,000.00 </w:t>
            </w:r>
          </w:p>
        </w:tc>
        <w:tc>
          <w:tcPr>
            <w:tcW w:w="0" w:type="auto"/>
            <w:tcBorders>
              <w:top w:val="nil"/>
              <w:left w:val="nil"/>
              <w:bottom w:val="single" w:color="auto" w:sz="4" w:space="0"/>
              <w:right w:val="nil"/>
            </w:tcBorders>
            <w:shd w:val="clear" w:color="auto" w:fill="auto"/>
            <w:noWrap/>
            <w:vAlign w:val="center"/>
          </w:tcPr>
          <w:p>
            <w:pPr>
              <w:rPr>
                <w:rFonts w:hint="default" w:cs="宋体"/>
                <w:color w:val="000000"/>
                <w:sz w:val="22"/>
                <w:szCs w:val="22"/>
              </w:rPr>
            </w:pPr>
            <w:r>
              <w:rPr>
                <w:rFonts w:cs="宋体"/>
                <w:color w:val="000000"/>
                <w:sz w:val="22"/>
                <w:szCs w:val="22"/>
              </w:rPr>
              <w:t>　</w:t>
            </w:r>
          </w:p>
        </w:tc>
        <w:tc>
          <w:tcPr>
            <w:tcW w:w="0" w:type="auto"/>
            <w:tcBorders>
              <w:top w:val="nil"/>
              <w:left w:val="nil"/>
              <w:bottom w:val="single" w:color="auto" w:sz="4" w:space="0"/>
              <w:right w:val="single" w:color="auto" w:sz="4" w:space="0"/>
            </w:tcBorders>
            <w:shd w:val="clear" w:color="auto" w:fill="auto"/>
            <w:vAlign w:val="center"/>
          </w:tcPr>
          <w:p>
            <w:pPr>
              <w:jc w:val="right"/>
              <w:rPr>
                <w:rFonts w:hint="default" w:cs="宋体"/>
                <w:color w:val="000000"/>
                <w:sz w:val="22"/>
                <w:szCs w:val="22"/>
              </w:rPr>
            </w:pPr>
            <w:r>
              <w:rPr>
                <w:rFonts w:cs="宋体"/>
                <w:color w:val="000000"/>
                <w:sz w:val="22"/>
                <w:szCs w:val="22"/>
              </w:rPr>
              <w:t xml:space="preserve">70,000.00 </w:t>
            </w:r>
          </w:p>
        </w:tc>
        <w:tc>
          <w:tcPr>
            <w:tcW w:w="0" w:type="auto"/>
            <w:tcBorders>
              <w:top w:val="nil"/>
              <w:left w:val="nil"/>
              <w:bottom w:val="single" w:color="auto" w:sz="4" w:space="0"/>
              <w:right w:val="nil"/>
            </w:tcBorders>
            <w:shd w:val="clear" w:color="auto" w:fill="auto"/>
            <w:noWrap/>
            <w:vAlign w:val="center"/>
          </w:tcPr>
          <w:p>
            <w:pPr>
              <w:rPr>
                <w:rFonts w:hint="default" w:cs="宋体"/>
                <w:color w:val="000000"/>
                <w:sz w:val="22"/>
                <w:szCs w:val="22"/>
              </w:rPr>
            </w:pPr>
            <w:r>
              <w:rPr>
                <w:rFonts w:cs="宋体"/>
                <w:color w:val="000000"/>
                <w:sz w:val="22"/>
                <w:szCs w:val="22"/>
              </w:rPr>
              <w:t>　</w:t>
            </w:r>
          </w:p>
        </w:tc>
        <w:tc>
          <w:tcPr>
            <w:tcW w:w="0" w:type="auto"/>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22"/>
                <w:szCs w:val="22"/>
              </w:rPr>
            </w:pPr>
            <w:r>
              <w:rPr>
                <w:rFonts w:cs="宋体"/>
                <w:color w:val="000000"/>
                <w:sz w:val="22"/>
                <w:szCs w:val="22"/>
              </w:rPr>
              <w:t xml:space="preserve">70,000.00 </w:t>
            </w:r>
          </w:p>
        </w:tc>
        <w:tc>
          <w:tcPr>
            <w:tcW w:w="0" w:type="auto"/>
            <w:tcBorders>
              <w:top w:val="nil"/>
              <w:left w:val="nil"/>
              <w:bottom w:val="single" w:color="auto" w:sz="4" w:space="0"/>
              <w:right w:val="single" w:color="auto" w:sz="4" w:space="0"/>
            </w:tcBorders>
            <w:shd w:val="clear" w:color="auto" w:fill="auto"/>
            <w:noWrap/>
            <w:vAlign w:val="center"/>
          </w:tcPr>
          <w:p>
            <w:pPr>
              <w:rPr>
                <w:rFonts w:hint="default" w:cs="宋体"/>
                <w:color w:val="000000"/>
                <w:sz w:val="22"/>
                <w:szCs w:val="22"/>
              </w:rPr>
            </w:pPr>
            <w:r>
              <w:rPr>
                <w:rFonts w:cs="宋体"/>
                <w:color w:val="000000"/>
                <w:sz w:val="22"/>
                <w:szCs w:val="22"/>
              </w:rPr>
              <w:t>　</w:t>
            </w:r>
          </w:p>
        </w:tc>
        <w:tc>
          <w:tcPr>
            <w:tcW w:w="0" w:type="auto"/>
            <w:tcBorders>
              <w:top w:val="nil"/>
              <w:left w:val="nil"/>
              <w:bottom w:val="single" w:color="auto" w:sz="4" w:space="0"/>
              <w:right w:val="single" w:color="auto" w:sz="4" w:space="0"/>
            </w:tcBorders>
            <w:shd w:val="clear" w:color="auto" w:fill="auto"/>
            <w:noWrap/>
            <w:vAlign w:val="center"/>
          </w:tcPr>
          <w:p>
            <w:pPr>
              <w:rPr>
                <w:rFonts w:hint="default" w:cs="宋体"/>
                <w:color w:val="000000"/>
                <w:sz w:val="22"/>
                <w:szCs w:val="22"/>
              </w:rPr>
            </w:pPr>
            <w:r>
              <w:rPr>
                <w:rFonts w:cs="宋体"/>
                <w:color w:val="000000"/>
                <w:sz w:val="22"/>
                <w:szCs w:val="22"/>
              </w:rPr>
              <w:t>　</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sz w:val="22"/>
                <w:szCs w:val="22"/>
              </w:rPr>
            </w:pPr>
            <w:r>
              <w:rPr>
                <w:rFonts w:cs="宋体"/>
                <w:sz w:val="22"/>
                <w:szCs w:val="22"/>
              </w:rPr>
              <w:t>　</w:t>
            </w:r>
          </w:p>
        </w:tc>
      </w:tr>
      <w:tr>
        <w:tblPrEx>
          <w:tblCellMar>
            <w:top w:w="0" w:type="dxa"/>
            <w:left w:w="108" w:type="dxa"/>
            <w:bottom w:w="0" w:type="dxa"/>
            <w:right w:w="108" w:type="dxa"/>
          </w:tblCellMar>
        </w:tblPrEx>
        <w:trPr>
          <w:trHeight w:val="499" w:hRule="atLeast"/>
        </w:trPr>
        <w:tc>
          <w:tcPr>
            <w:tcW w:w="0" w:type="auto"/>
            <w:tcBorders>
              <w:top w:val="nil"/>
              <w:left w:val="single" w:color="auto" w:sz="4" w:space="0"/>
              <w:bottom w:val="single" w:color="auto" w:sz="4" w:space="0"/>
              <w:right w:val="nil"/>
            </w:tcBorders>
            <w:shd w:val="clear" w:color="auto" w:fill="auto"/>
            <w:vAlign w:val="center"/>
          </w:tcPr>
          <w:p>
            <w:pPr>
              <w:rPr>
                <w:rFonts w:hint="default" w:cs="宋体"/>
                <w:color w:val="000000"/>
                <w:sz w:val="22"/>
                <w:szCs w:val="22"/>
              </w:rPr>
            </w:pPr>
            <w:r>
              <w:rPr>
                <w:rFonts w:cs="宋体"/>
                <w:color w:val="000000"/>
                <w:sz w:val="22"/>
                <w:szCs w:val="22"/>
              </w:rPr>
              <w:t>其中：财政拨款</w:t>
            </w:r>
          </w:p>
        </w:tc>
        <w:tc>
          <w:tcPr>
            <w:tcW w:w="0" w:type="auto"/>
            <w:tcBorders>
              <w:top w:val="nil"/>
              <w:left w:val="nil"/>
              <w:bottom w:val="single" w:color="auto" w:sz="4" w:space="0"/>
              <w:right w:val="single" w:color="auto" w:sz="4" w:space="0"/>
            </w:tcBorders>
            <w:shd w:val="clear" w:color="auto" w:fill="auto"/>
            <w:noWrap/>
            <w:vAlign w:val="center"/>
          </w:tcPr>
          <w:p>
            <w:pPr>
              <w:rPr>
                <w:rFonts w:hint="default" w:cs="宋体"/>
                <w:color w:val="000000"/>
                <w:sz w:val="22"/>
                <w:szCs w:val="22"/>
              </w:rPr>
            </w:pPr>
            <w:r>
              <w:rPr>
                <w:rFonts w:cs="宋体"/>
                <w:color w:val="000000"/>
                <w:sz w:val="22"/>
                <w:szCs w:val="22"/>
              </w:rPr>
              <w:t>　</w:t>
            </w:r>
          </w:p>
        </w:tc>
        <w:tc>
          <w:tcPr>
            <w:tcW w:w="0" w:type="auto"/>
            <w:tcBorders>
              <w:top w:val="nil"/>
              <w:left w:val="nil"/>
              <w:bottom w:val="single" w:color="auto" w:sz="4" w:space="0"/>
              <w:right w:val="nil"/>
            </w:tcBorders>
            <w:shd w:val="clear" w:color="auto" w:fill="auto"/>
            <w:noWrap/>
            <w:vAlign w:val="center"/>
          </w:tcPr>
          <w:p>
            <w:pPr>
              <w:rPr>
                <w:rFonts w:hint="default" w:cs="宋体"/>
                <w:color w:val="000000"/>
                <w:sz w:val="22"/>
                <w:szCs w:val="22"/>
              </w:rPr>
            </w:pPr>
            <w:r>
              <w:rPr>
                <w:rFonts w:cs="宋体"/>
                <w:color w:val="000000"/>
                <w:sz w:val="22"/>
                <w:szCs w:val="22"/>
              </w:rPr>
              <w:t>　</w:t>
            </w:r>
          </w:p>
        </w:tc>
        <w:tc>
          <w:tcPr>
            <w:tcW w:w="0" w:type="auto"/>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22"/>
                <w:szCs w:val="22"/>
              </w:rPr>
            </w:pPr>
            <w:r>
              <w:rPr>
                <w:rFonts w:cs="宋体"/>
                <w:color w:val="000000"/>
                <w:sz w:val="22"/>
                <w:szCs w:val="22"/>
              </w:rPr>
              <w:t xml:space="preserve">70,000.00 </w:t>
            </w:r>
          </w:p>
        </w:tc>
        <w:tc>
          <w:tcPr>
            <w:tcW w:w="0" w:type="auto"/>
            <w:tcBorders>
              <w:top w:val="nil"/>
              <w:left w:val="nil"/>
              <w:bottom w:val="single" w:color="auto" w:sz="4" w:space="0"/>
              <w:right w:val="nil"/>
            </w:tcBorders>
            <w:shd w:val="clear" w:color="auto" w:fill="auto"/>
            <w:noWrap/>
            <w:vAlign w:val="center"/>
          </w:tcPr>
          <w:p>
            <w:pPr>
              <w:rPr>
                <w:rFonts w:hint="default" w:cs="宋体"/>
                <w:color w:val="000000"/>
                <w:sz w:val="22"/>
                <w:szCs w:val="22"/>
              </w:rPr>
            </w:pPr>
            <w:r>
              <w:rPr>
                <w:rFonts w:cs="宋体"/>
                <w:color w:val="000000"/>
                <w:sz w:val="22"/>
                <w:szCs w:val="22"/>
              </w:rPr>
              <w:t>　</w:t>
            </w:r>
          </w:p>
        </w:tc>
        <w:tc>
          <w:tcPr>
            <w:tcW w:w="0" w:type="auto"/>
            <w:tcBorders>
              <w:top w:val="nil"/>
              <w:left w:val="nil"/>
              <w:bottom w:val="single" w:color="auto" w:sz="4" w:space="0"/>
              <w:right w:val="single" w:color="auto" w:sz="4" w:space="0"/>
            </w:tcBorders>
            <w:shd w:val="clear" w:color="auto" w:fill="auto"/>
            <w:vAlign w:val="center"/>
          </w:tcPr>
          <w:p>
            <w:pPr>
              <w:jc w:val="right"/>
              <w:rPr>
                <w:rFonts w:hint="default" w:cs="宋体"/>
                <w:color w:val="000000"/>
                <w:sz w:val="22"/>
                <w:szCs w:val="22"/>
              </w:rPr>
            </w:pPr>
            <w:r>
              <w:rPr>
                <w:rFonts w:cs="宋体"/>
                <w:color w:val="000000"/>
                <w:sz w:val="22"/>
                <w:szCs w:val="22"/>
              </w:rPr>
              <w:t xml:space="preserve">70,000.00 </w:t>
            </w:r>
          </w:p>
        </w:tc>
        <w:tc>
          <w:tcPr>
            <w:tcW w:w="0" w:type="auto"/>
            <w:tcBorders>
              <w:top w:val="nil"/>
              <w:left w:val="nil"/>
              <w:bottom w:val="single" w:color="auto" w:sz="4" w:space="0"/>
              <w:right w:val="nil"/>
            </w:tcBorders>
            <w:shd w:val="clear" w:color="auto" w:fill="auto"/>
            <w:noWrap/>
            <w:vAlign w:val="center"/>
          </w:tcPr>
          <w:p>
            <w:pPr>
              <w:rPr>
                <w:rFonts w:hint="default" w:cs="宋体"/>
                <w:color w:val="000000"/>
                <w:sz w:val="22"/>
                <w:szCs w:val="22"/>
              </w:rPr>
            </w:pPr>
            <w:r>
              <w:rPr>
                <w:rFonts w:cs="宋体"/>
                <w:color w:val="000000"/>
                <w:sz w:val="22"/>
                <w:szCs w:val="22"/>
              </w:rPr>
              <w:t>　</w:t>
            </w:r>
          </w:p>
        </w:tc>
        <w:tc>
          <w:tcPr>
            <w:tcW w:w="0" w:type="auto"/>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22"/>
                <w:szCs w:val="22"/>
              </w:rPr>
            </w:pPr>
            <w:r>
              <w:rPr>
                <w:rFonts w:cs="宋体"/>
                <w:color w:val="000000"/>
                <w:sz w:val="22"/>
                <w:szCs w:val="22"/>
              </w:rPr>
              <w:t xml:space="preserve">70,000.00 </w:t>
            </w:r>
          </w:p>
        </w:tc>
        <w:tc>
          <w:tcPr>
            <w:tcW w:w="0" w:type="auto"/>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22"/>
                <w:szCs w:val="22"/>
              </w:rPr>
            </w:pPr>
            <w:r>
              <w:rPr>
                <w:rFonts w:cs="宋体"/>
                <w:color w:val="000000"/>
                <w:sz w:val="22"/>
                <w:szCs w:val="22"/>
              </w:rPr>
              <w:t>100</w:t>
            </w:r>
          </w:p>
        </w:tc>
        <w:tc>
          <w:tcPr>
            <w:tcW w:w="0" w:type="auto"/>
            <w:tcBorders>
              <w:top w:val="nil"/>
              <w:left w:val="nil"/>
              <w:bottom w:val="single" w:color="auto" w:sz="4" w:space="0"/>
              <w:right w:val="single" w:color="auto" w:sz="4" w:space="0"/>
            </w:tcBorders>
            <w:shd w:val="clear" w:color="auto" w:fill="auto"/>
            <w:noWrap/>
            <w:vAlign w:val="center"/>
          </w:tcPr>
          <w:p>
            <w:pPr>
              <w:rPr>
                <w:rFonts w:hint="default" w:cs="宋体"/>
                <w:color w:val="000000"/>
                <w:sz w:val="22"/>
                <w:szCs w:val="22"/>
              </w:rPr>
            </w:pPr>
            <w:r>
              <w:rPr>
                <w:rFonts w:cs="宋体"/>
                <w:color w:val="000000"/>
                <w:sz w:val="22"/>
                <w:szCs w:val="22"/>
              </w:rPr>
              <w:t>10.00</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sz w:val="22"/>
                <w:szCs w:val="22"/>
              </w:rPr>
            </w:pPr>
            <w:r>
              <w:rPr>
                <w:rFonts w:cs="宋体"/>
                <w:sz w:val="22"/>
                <w:szCs w:val="22"/>
              </w:rPr>
              <w:t xml:space="preserve">10.00 </w:t>
            </w:r>
          </w:p>
        </w:tc>
      </w:tr>
      <w:tr>
        <w:tblPrEx>
          <w:tblCellMar>
            <w:top w:w="0" w:type="dxa"/>
            <w:left w:w="108" w:type="dxa"/>
            <w:bottom w:w="0" w:type="dxa"/>
            <w:right w:w="108" w:type="dxa"/>
          </w:tblCellMar>
        </w:tblPrEx>
        <w:trPr>
          <w:trHeight w:val="499" w:hRule="atLeast"/>
        </w:trPr>
        <w:tc>
          <w:tcPr>
            <w:tcW w:w="0" w:type="auto"/>
            <w:tcBorders>
              <w:top w:val="nil"/>
              <w:left w:val="single" w:color="auto" w:sz="4" w:space="0"/>
              <w:bottom w:val="single" w:color="auto" w:sz="4" w:space="0"/>
              <w:right w:val="nil"/>
            </w:tcBorders>
            <w:shd w:val="clear" w:color="auto" w:fill="auto"/>
            <w:vAlign w:val="center"/>
          </w:tcPr>
          <w:p>
            <w:pPr>
              <w:rPr>
                <w:rFonts w:hint="default" w:cs="宋体"/>
                <w:color w:val="000000"/>
                <w:sz w:val="22"/>
                <w:szCs w:val="22"/>
              </w:rPr>
            </w:pPr>
            <w:r>
              <w:rPr>
                <w:rFonts w:cs="宋体"/>
                <w:color w:val="000000"/>
                <w:sz w:val="22"/>
                <w:szCs w:val="22"/>
              </w:rPr>
              <w:t>一般公共预算</w:t>
            </w:r>
          </w:p>
        </w:tc>
        <w:tc>
          <w:tcPr>
            <w:tcW w:w="0" w:type="auto"/>
            <w:tcBorders>
              <w:top w:val="nil"/>
              <w:left w:val="nil"/>
              <w:bottom w:val="single" w:color="auto" w:sz="4" w:space="0"/>
              <w:right w:val="single" w:color="auto" w:sz="4" w:space="0"/>
            </w:tcBorders>
            <w:shd w:val="clear" w:color="auto" w:fill="auto"/>
            <w:noWrap/>
            <w:vAlign w:val="center"/>
          </w:tcPr>
          <w:p>
            <w:pPr>
              <w:rPr>
                <w:rFonts w:hint="default" w:cs="宋体"/>
                <w:color w:val="000000"/>
                <w:sz w:val="22"/>
                <w:szCs w:val="22"/>
              </w:rPr>
            </w:pPr>
            <w:r>
              <w:rPr>
                <w:rFonts w:cs="宋体"/>
                <w:color w:val="000000"/>
                <w:sz w:val="22"/>
                <w:szCs w:val="22"/>
              </w:rPr>
              <w:t>　</w:t>
            </w:r>
          </w:p>
        </w:tc>
        <w:tc>
          <w:tcPr>
            <w:tcW w:w="0" w:type="auto"/>
            <w:tcBorders>
              <w:top w:val="nil"/>
              <w:left w:val="nil"/>
              <w:bottom w:val="single" w:color="auto" w:sz="4" w:space="0"/>
              <w:right w:val="nil"/>
            </w:tcBorders>
            <w:shd w:val="clear" w:color="auto" w:fill="auto"/>
            <w:noWrap/>
            <w:vAlign w:val="center"/>
          </w:tcPr>
          <w:p>
            <w:pPr>
              <w:rPr>
                <w:rFonts w:hint="default" w:cs="宋体"/>
                <w:color w:val="000000"/>
                <w:sz w:val="22"/>
                <w:szCs w:val="22"/>
              </w:rPr>
            </w:pPr>
            <w:r>
              <w:rPr>
                <w:rFonts w:cs="宋体"/>
                <w:color w:val="000000"/>
                <w:sz w:val="22"/>
                <w:szCs w:val="22"/>
              </w:rPr>
              <w:t>　</w:t>
            </w:r>
          </w:p>
        </w:tc>
        <w:tc>
          <w:tcPr>
            <w:tcW w:w="0" w:type="auto"/>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22"/>
                <w:szCs w:val="22"/>
              </w:rPr>
            </w:pPr>
            <w:r>
              <w:rPr>
                <w:rFonts w:cs="宋体"/>
                <w:color w:val="000000"/>
                <w:sz w:val="22"/>
                <w:szCs w:val="22"/>
              </w:rPr>
              <w:t xml:space="preserve">70,000.00 </w:t>
            </w:r>
          </w:p>
        </w:tc>
        <w:tc>
          <w:tcPr>
            <w:tcW w:w="0" w:type="auto"/>
            <w:tcBorders>
              <w:top w:val="nil"/>
              <w:left w:val="nil"/>
              <w:bottom w:val="single" w:color="auto" w:sz="4" w:space="0"/>
              <w:right w:val="nil"/>
            </w:tcBorders>
            <w:shd w:val="clear" w:color="auto" w:fill="auto"/>
            <w:noWrap/>
            <w:vAlign w:val="center"/>
          </w:tcPr>
          <w:p>
            <w:pPr>
              <w:rPr>
                <w:rFonts w:hint="default" w:cs="宋体"/>
                <w:color w:val="000000"/>
                <w:sz w:val="22"/>
                <w:szCs w:val="22"/>
              </w:rPr>
            </w:pPr>
            <w:r>
              <w:rPr>
                <w:rFonts w:cs="宋体"/>
                <w:color w:val="000000"/>
                <w:sz w:val="22"/>
                <w:szCs w:val="22"/>
              </w:rPr>
              <w:t>　</w:t>
            </w:r>
          </w:p>
        </w:tc>
        <w:tc>
          <w:tcPr>
            <w:tcW w:w="0" w:type="auto"/>
            <w:tcBorders>
              <w:top w:val="nil"/>
              <w:left w:val="nil"/>
              <w:bottom w:val="single" w:color="auto" w:sz="4" w:space="0"/>
              <w:right w:val="single" w:color="auto" w:sz="4" w:space="0"/>
            </w:tcBorders>
            <w:shd w:val="clear" w:color="auto" w:fill="auto"/>
            <w:vAlign w:val="center"/>
          </w:tcPr>
          <w:p>
            <w:pPr>
              <w:jc w:val="right"/>
              <w:rPr>
                <w:rFonts w:hint="default" w:cs="宋体"/>
                <w:color w:val="000000"/>
                <w:sz w:val="22"/>
                <w:szCs w:val="22"/>
              </w:rPr>
            </w:pPr>
            <w:r>
              <w:rPr>
                <w:rFonts w:cs="宋体"/>
                <w:color w:val="000000"/>
                <w:sz w:val="22"/>
                <w:szCs w:val="22"/>
              </w:rPr>
              <w:t xml:space="preserve">70,000.00 </w:t>
            </w:r>
          </w:p>
        </w:tc>
        <w:tc>
          <w:tcPr>
            <w:tcW w:w="0" w:type="auto"/>
            <w:tcBorders>
              <w:top w:val="nil"/>
              <w:left w:val="nil"/>
              <w:bottom w:val="single" w:color="auto" w:sz="4" w:space="0"/>
              <w:right w:val="nil"/>
            </w:tcBorders>
            <w:shd w:val="clear" w:color="auto" w:fill="auto"/>
            <w:noWrap/>
            <w:vAlign w:val="center"/>
          </w:tcPr>
          <w:p>
            <w:pPr>
              <w:rPr>
                <w:rFonts w:hint="default" w:cs="宋体"/>
                <w:color w:val="000000"/>
                <w:sz w:val="22"/>
                <w:szCs w:val="22"/>
              </w:rPr>
            </w:pPr>
            <w:r>
              <w:rPr>
                <w:rFonts w:cs="宋体"/>
                <w:color w:val="000000"/>
                <w:sz w:val="22"/>
                <w:szCs w:val="22"/>
              </w:rPr>
              <w:t>　</w:t>
            </w:r>
          </w:p>
        </w:tc>
        <w:tc>
          <w:tcPr>
            <w:tcW w:w="0" w:type="auto"/>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22"/>
                <w:szCs w:val="22"/>
              </w:rPr>
            </w:pPr>
            <w:r>
              <w:rPr>
                <w:rFonts w:cs="宋体"/>
                <w:color w:val="000000"/>
                <w:sz w:val="22"/>
                <w:szCs w:val="22"/>
              </w:rPr>
              <w:t xml:space="preserve">70,000.00 </w:t>
            </w:r>
          </w:p>
        </w:tc>
        <w:tc>
          <w:tcPr>
            <w:tcW w:w="0" w:type="auto"/>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22"/>
                <w:szCs w:val="22"/>
              </w:rPr>
            </w:pPr>
            <w:r>
              <w:rPr>
                <w:rFonts w:cs="宋体"/>
                <w:color w:val="000000"/>
                <w:sz w:val="22"/>
                <w:szCs w:val="22"/>
              </w:rPr>
              <w:t>100</w:t>
            </w:r>
          </w:p>
        </w:tc>
        <w:tc>
          <w:tcPr>
            <w:tcW w:w="0" w:type="auto"/>
            <w:tcBorders>
              <w:top w:val="nil"/>
              <w:left w:val="nil"/>
              <w:bottom w:val="single" w:color="auto" w:sz="4" w:space="0"/>
              <w:right w:val="single" w:color="auto" w:sz="4" w:space="0"/>
            </w:tcBorders>
            <w:shd w:val="clear" w:color="auto" w:fill="auto"/>
            <w:noWrap/>
            <w:vAlign w:val="center"/>
          </w:tcPr>
          <w:p>
            <w:pPr>
              <w:rPr>
                <w:rFonts w:hint="default" w:cs="宋体"/>
                <w:color w:val="000000"/>
                <w:sz w:val="22"/>
                <w:szCs w:val="22"/>
              </w:rPr>
            </w:pPr>
            <w:r>
              <w:rPr>
                <w:rFonts w:cs="宋体"/>
                <w:color w:val="000000"/>
                <w:sz w:val="22"/>
                <w:szCs w:val="22"/>
              </w:rPr>
              <w:t>　</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sz w:val="22"/>
                <w:szCs w:val="22"/>
              </w:rPr>
            </w:pPr>
            <w:r>
              <w:rPr>
                <w:rFonts w:cs="宋体"/>
                <w:sz w:val="22"/>
                <w:szCs w:val="22"/>
              </w:rPr>
              <w:t>　</w:t>
            </w:r>
          </w:p>
        </w:tc>
      </w:tr>
      <w:tr>
        <w:tblPrEx>
          <w:tblCellMar>
            <w:top w:w="0" w:type="dxa"/>
            <w:left w:w="108" w:type="dxa"/>
            <w:bottom w:w="0" w:type="dxa"/>
            <w:right w:w="108" w:type="dxa"/>
          </w:tblCellMar>
        </w:tblPrEx>
        <w:trPr>
          <w:trHeight w:val="600" w:hRule="atLeast"/>
        </w:trPr>
        <w:tc>
          <w:tcPr>
            <w:tcW w:w="0" w:type="auto"/>
            <w:gridSpan w:val="11"/>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default" w:ascii="微软雅黑" w:hAnsi="微软雅黑" w:eastAsia="微软雅黑" w:cs="宋体"/>
                <w:b/>
                <w:bCs/>
                <w:color w:val="7F7F7F"/>
                <w:sz w:val="28"/>
                <w:szCs w:val="28"/>
              </w:rPr>
            </w:pPr>
            <w:r>
              <w:rPr>
                <w:rFonts w:ascii="微软雅黑" w:hAnsi="微软雅黑" w:eastAsia="微软雅黑" w:cs="宋体"/>
                <w:b/>
                <w:bCs/>
                <w:color w:val="7F7F7F"/>
                <w:sz w:val="28"/>
                <w:szCs w:val="28"/>
              </w:rPr>
              <w:t>绩效目标</w:t>
            </w:r>
          </w:p>
        </w:tc>
      </w:tr>
      <w:tr>
        <w:tblPrEx>
          <w:tblCellMar>
            <w:top w:w="0" w:type="dxa"/>
            <w:left w:w="108" w:type="dxa"/>
            <w:bottom w:w="0" w:type="dxa"/>
            <w:right w:w="108" w:type="dxa"/>
          </w:tblCellMar>
        </w:tblPrEx>
        <w:trPr>
          <w:trHeight w:val="499" w:hRule="atLeast"/>
        </w:trPr>
        <w:tc>
          <w:tcPr>
            <w:tcW w:w="0" w:type="auto"/>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default" w:cs="宋体"/>
                <w:b/>
                <w:bCs/>
                <w:color w:val="000000"/>
                <w:sz w:val="22"/>
                <w:szCs w:val="22"/>
              </w:rPr>
            </w:pPr>
            <w:r>
              <w:rPr>
                <w:rFonts w:cs="宋体"/>
                <w:b/>
                <w:bCs/>
                <w:color w:val="000000"/>
                <w:sz w:val="22"/>
                <w:szCs w:val="22"/>
              </w:rPr>
              <w:t>年初绩效目标</w:t>
            </w:r>
          </w:p>
        </w:tc>
        <w:tc>
          <w:tcPr>
            <w:tcW w:w="0" w:type="auto"/>
            <w:gridSpan w:val="4"/>
            <w:tcBorders>
              <w:top w:val="single" w:color="auto" w:sz="4" w:space="0"/>
              <w:left w:val="nil"/>
              <w:bottom w:val="single" w:color="auto" w:sz="4" w:space="0"/>
              <w:right w:val="single" w:color="auto" w:sz="4" w:space="0"/>
            </w:tcBorders>
            <w:shd w:val="clear" w:color="auto" w:fill="auto"/>
            <w:noWrap/>
            <w:vAlign w:val="center"/>
          </w:tcPr>
          <w:p>
            <w:pPr>
              <w:jc w:val="center"/>
              <w:rPr>
                <w:rFonts w:hint="default" w:cs="宋体"/>
                <w:b/>
                <w:bCs/>
                <w:color w:val="000000"/>
                <w:sz w:val="22"/>
                <w:szCs w:val="22"/>
              </w:rPr>
            </w:pPr>
            <w:r>
              <w:rPr>
                <w:rFonts w:cs="宋体"/>
                <w:b/>
                <w:bCs/>
                <w:color w:val="000000"/>
                <w:sz w:val="22"/>
                <w:szCs w:val="22"/>
              </w:rPr>
              <w:t>全年（调整）绩效目标</w:t>
            </w:r>
          </w:p>
        </w:tc>
        <w:tc>
          <w:tcPr>
            <w:tcW w:w="0" w:type="auto"/>
            <w:gridSpan w:val="3"/>
            <w:tcBorders>
              <w:top w:val="single" w:color="auto" w:sz="4" w:space="0"/>
              <w:left w:val="nil"/>
              <w:bottom w:val="single" w:color="auto" w:sz="4" w:space="0"/>
              <w:right w:val="single" w:color="auto" w:sz="4" w:space="0"/>
            </w:tcBorders>
            <w:shd w:val="clear" w:color="auto" w:fill="auto"/>
            <w:noWrap/>
            <w:vAlign w:val="center"/>
          </w:tcPr>
          <w:p>
            <w:pPr>
              <w:jc w:val="center"/>
              <w:rPr>
                <w:rFonts w:hint="default" w:cs="宋体"/>
                <w:b/>
                <w:bCs/>
                <w:color w:val="000000"/>
                <w:sz w:val="22"/>
                <w:szCs w:val="22"/>
              </w:rPr>
            </w:pPr>
            <w:r>
              <w:rPr>
                <w:rFonts w:cs="宋体"/>
                <w:b/>
                <w:bCs/>
                <w:color w:val="000000"/>
                <w:sz w:val="22"/>
                <w:szCs w:val="22"/>
              </w:rPr>
              <w:t>全年目标实际完成情况</w:t>
            </w:r>
          </w:p>
        </w:tc>
      </w:tr>
      <w:tr>
        <w:tblPrEx>
          <w:tblCellMar>
            <w:top w:w="0" w:type="dxa"/>
            <w:left w:w="108" w:type="dxa"/>
            <w:bottom w:w="0" w:type="dxa"/>
            <w:right w:w="108" w:type="dxa"/>
          </w:tblCellMar>
        </w:tblPrEx>
        <w:trPr>
          <w:trHeight w:val="1602" w:hRule="atLeast"/>
        </w:trPr>
        <w:tc>
          <w:tcPr>
            <w:tcW w:w="0" w:type="auto"/>
            <w:gridSpan w:val="4"/>
            <w:tcBorders>
              <w:top w:val="single" w:color="auto" w:sz="4" w:space="0"/>
              <w:left w:val="single" w:color="auto" w:sz="4" w:space="0"/>
              <w:bottom w:val="single" w:color="auto" w:sz="4" w:space="0"/>
              <w:right w:val="single" w:color="auto" w:sz="4" w:space="0"/>
            </w:tcBorders>
            <w:shd w:val="clear" w:color="auto" w:fill="auto"/>
          </w:tcPr>
          <w:p>
            <w:pPr>
              <w:rPr>
                <w:rFonts w:hint="default" w:cs="宋体"/>
                <w:color w:val="000000"/>
                <w:sz w:val="22"/>
                <w:szCs w:val="22"/>
              </w:rPr>
            </w:pPr>
            <w:r>
              <w:rPr>
                <w:rFonts w:cs="宋体"/>
                <w:color w:val="000000"/>
                <w:sz w:val="22"/>
                <w:szCs w:val="22"/>
              </w:rPr>
              <w:t>保障农业生产灌溉</w:t>
            </w:r>
          </w:p>
        </w:tc>
        <w:tc>
          <w:tcPr>
            <w:tcW w:w="0" w:type="auto"/>
            <w:gridSpan w:val="4"/>
            <w:tcBorders>
              <w:top w:val="single" w:color="auto" w:sz="4" w:space="0"/>
              <w:left w:val="nil"/>
              <w:bottom w:val="single" w:color="auto" w:sz="4" w:space="0"/>
              <w:right w:val="single" w:color="auto" w:sz="4" w:space="0"/>
            </w:tcBorders>
            <w:shd w:val="clear" w:color="auto" w:fill="auto"/>
          </w:tcPr>
          <w:p>
            <w:pPr>
              <w:rPr>
                <w:rFonts w:hint="default" w:cs="宋体"/>
                <w:color w:val="000000"/>
                <w:sz w:val="22"/>
                <w:szCs w:val="22"/>
              </w:rPr>
            </w:pPr>
            <w:r>
              <w:rPr>
                <w:rFonts w:cs="宋体"/>
                <w:color w:val="000000"/>
                <w:sz w:val="22"/>
                <w:szCs w:val="22"/>
              </w:rPr>
              <w:t>保障农业生产灌溉</w:t>
            </w:r>
          </w:p>
        </w:tc>
        <w:tc>
          <w:tcPr>
            <w:tcW w:w="0" w:type="auto"/>
            <w:gridSpan w:val="3"/>
            <w:tcBorders>
              <w:top w:val="single" w:color="auto" w:sz="4" w:space="0"/>
              <w:left w:val="nil"/>
              <w:bottom w:val="single" w:color="auto" w:sz="4" w:space="0"/>
              <w:right w:val="single" w:color="auto" w:sz="4" w:space="0"/>
            </w:tcBorders>
            <w:shd w:val="clear" w:color="auto" w:fill="auto"/>
          </w:tcPr>
          <w:p>
            <w:pPr>
              <w:rPr>
                <w:rFonts w:hint="default" w:cs="宋体"/>
                <w:color w:val="000000"/>
                <w:sz w:val="22"/>
                <w:szCs w:val="22"/>
              </w:rPr>
            </w:pPr>
            <w:r>
              <w:rPr>
                <w:rFonts w:cs="宋体"/>
                <w:color w:val="000000"/>
                <w:sz w:val="22"/>
                <w:szCs w:val="22"/>
              </w:rPr>
              <w:t>已完成</w:t>
            </w:r>
          </w:p>
        </w:tc>
      </w:tr>
      <w:tr>
        <w:tblPrEx>
          <w:tblCellMar>
            <w:top w:w="0" w:type="dxa"/>
            <w:left w:w="108" w:type="dxa"/>
            <w:bottom w:w="0" w:type="dxa"/>
            <w:right w:w="108" w:type="dxa"/>
          </w:tblCellMar>
        </w:tblPrEx>
        <w:trPr>
          <w:trHeight w:val="600" w:hRule="atLeast"/>
        </w:trPr>
        <w:tc>
          <w:tcPr>
            <w:tcW w:w="0" w:type="auto"/>
            <w:gridSpan w:val="11"/>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default" w:ascii="微软雅黑" w:hAnsi="微软雅黑" w:eastAsia="微软雅黑" w:cs="宋体"/>
                <w:b/>
                <w:bCs/>
                <w:color w:val="7F7F7F"/>
                <w:sz w:val="28"/>
                <w:szCs w:val="28"/>
              </w:rPr>
            </w:pPr>
            <w:r>
              <w:rPr>
                <w:rFonts w:ascii="微软雅黑" w:hAnsi="微软雅黑" w:eastAsia="微软雅黑" w:cs="宋体"/>
                <w:b/>
                <w:bCs/>
                <w:color w:val="7F7F7F"/>
                <w:sz w:val="28"/>
                <w:szCs w:val="28"/>
              </w:rPr>
              <w:t>绩效指标</w:t>
            </w:r>
          </w:p>
        </w:tc>
      </w:tr>
      <w:tr>
        <w:tblPrEx>
          <w:tblCellMar>
            <w:top w:w="0" w:type="dxa"/>
            <w:left w:w="108" w:type="dxa"/>
            <w:bottom w:w="0" w:type="dxa"/>
            <w:right w:w="108" w:type="dxa"/>
          </w:tblCellMar>
        </w:tblPrEx>
        <w:trPr>
          <w:trHeight w:val="499"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pPr>
              <w:jc w:val="center"/>
              <w:rPr>
                <w:rFonts w:hint="default" w:cs="宋体"/>
                <w:b/>
                <w:bCs/>
                <w:color w:val="000000"/>
                <w:sz w:val="22"/>
                <w:szCs w:val="22"/>
              </w:rPr>
            </w:pPr>
            <w:r>
              <w:rPr>
                <w:rFonts w:cs="宋体"/>
                <w:b/>
                <w:bCs/>
                <w:color w:val="000000"/>
                <w:sz w:val="22"/>
                <w:szCs w:val="22"/>
              </w:rPr>
              <w:t>指标名称</w:t>
            </w:r>
          </w:p>
        </w:tc>
        <w:tc>
          <w:tcPr>
            <w:tcW w:w="0" w:type="auto"/>
            <w:tcBorders>
              <w:top w:val="nil"/>
              <w:left w:val="nil"/>
              <w:bottom w:val="single" w:color="auto" w:sz="4" w:space="0"/>
              <w:right w:val="single" w:color="auto" w:sz="4" w:space="0"/>
            </w:tcBorders>
            <w:shd w:val="clear" w:color="auto" w:fill="auto"/>
            <w:noWrap/>
            <w:vAlign w:val="center"/>
          </w:tcPr>
          <w:p>
            <w:pPr>
              <w:jc w:val="center"/>
              <w:rPr>
                <w:rFonts w:hint="default" w:cs="宋体"/>
                <w:b/>
                <w:bCs/>
                <w:color w:val="000000"/>
                <w:sz w:val="22"/>
                <w:szCs w:val="22"/>
              </w:rPr>
            </w:pPr>
            <w:r>
              <w:rPr>
                <w:rFonts w:cs="宋体"/>
                <w:b/>
                <w:bCs/>
                <w:color w:val="000000"/>
                <w:sz w:val="22"/>
                <w:szCs w:val="22"/>
              </w:rPr>
              <w:t>计量单位</w:t>
            </w:r>
          </w:p>
        </w:tc>
        <w:tc>
          <w:tcPr>
            <w:tcW w:w="0" w:type="auto"/>
            <w:tcBorders>
              <w:top w:val="nil"/>
              <w:left w:val="nil"/>
              <w:bottom w:val="single" w:color="auto" w:sz="4" w:space="0"/>
              <w:right w:val="single" w:color="auto" w:sz="4" w:space="0"/>
            </w:tcBorders>
            <w:shd w:val="clear" w:color="auto" w:fill="auto"/>
            <w:noWrap/>
            <w:vAlign w:val="center"/>
          </w:tcPr>
          <w:p>
            <w:pPr>
              <w:jc w:val="center"/>
              <w:rPr>
                <w:rFonts w:hint="default" w:cs="宋体"/>
                <w:b/>
                <w:bCs/>
                <w:color w:val="000000"/>
                <w:sz w:val="22"/>
                <w:szCs w:val="22"/>
              </w:rPr>
            </w:pPr>
            <w:r>
              <w:rPr>
                <w:rFonts w:cs="宋体"/>
                <w:b/>
                <w:bCs/>
                <w:color w:val="000000"/>
                <w:sz w:val="22"/>
                <w:szCs w:val="22"/>
              </w:rPr>
              <w:t>指标性质</w:t>
            </w:r>
          </w:p>
        </w:tc>
        <w:tc>
          <w:tcPr>
            <w:tcW w:w="0" w:type="auto"/>
            <w:tcBorders>
              <w:top w:val="nil"/>
              <w:left w:val="nil"/>
              <w:bottom w:val="single" w:color="auto" w:sz="4" w:space="0"/>
              <w:right w:val="single" w:color="auto" w:sz="4" w:space="0"/>
            </w:tcBorders>
            <w:shd w:val="clear" w:color="auto" w:fill="auto"/>
            <w:noWrap/>
            <w:vAlign w:val="center"/>
          </w:tcPr>
          <w:p>
            <w:pPr>
              <w:jc w:val="center"/>
              <w:rPr>
                <w:rFonts w:hint="default" w:cs="宋体"/>
                <w:b/>
                <w:bCs/>
                <w:color w:val="000000"/>
                <w:sz w:val="22"/>
                <w:szCs w:val="22"/>
              </w:rPr>
            </w:pPr>
            <w:r>
              <w:rPr>
                <w:rFonts w:cs="宋体"/>
                <w:b/>
                <w:bCs/>
                <w:color w:val="000000"/>
                <w:sz w:val="22"/>
                <w:szCs w:val="22"/>
              </w:rPr>
              <w:t>指标值</w:t>
            </w:r>
          </w:p>
        </w:tc>
        <w:tc>
          <w:tcPr>
            <w:tcW w:w="0" w:type="auto"/>
            <w:tcBorders>
              <w:top w:val="nil"/>
              <w:left w:val="nil"/>
              <w:bottom w:val="single" w:color="auto" w:sz="4" w:space="0"/>
              <w:right w:val="single" w:color="auto" w:sz="4" w:space="0"/>
            </w:tcBorders>
            <w:shd w:val="clear" w:color="auto" w:fill="auto"/>
            <w:noWrap/>
            <w:vAlign w:val="center"/>
          </w:tcPr>
          <w:p>
            <w:pPr>
              <w:jc w:val="center"/>
              <w:rPr>
                <w:rFonts w:hint="default" w:cs="宋体"/>
                <w:b/>
                <w:bCs/>
                <w:color w:val="000000"/>
                <w:sz w:val="22"/>
                <w:szCs w:val="22"/>
              </w:rPr>
            </w:pPr>
            <w:r>
              <w:rPr>
                <w:rFonts w:cs="宋体"/>
                <w:b/>
                <w:bCs/>
                <w:color w:val="000000"/>
                <w:sz w:val="22"/>
                <w:szCs w:val="22"/>
              </w:rPr>
              <w:t>全年完成值</w:t>
            </w:r>
          </w:p>
        </w:tc>
        <w:tc>
          <w:tcPr>
            <w:tcW w:w="0" w:type="auto"/>
            <w:tcBorders>
              <w:top w:val="nil"/>
              <w:left w:val="nil"/>
              <w:bottom w:val="single" w:color="auto" w:sz="4" w:space="0"/>
              <w:right w:val="single" w:color="auto" w:sz="4" w:space="0"/>
            </w:tcBorders>
            <w:shd w:val="clear" w:color="auto" w:fill="auto"/>
            <w:noWrap/>
            <w:vAlign w:val="center"/>
          </w:tcPr>
          <w:p>
            <w:pPr>
              <w:jc w:val="center"/>
              <w:rPr>
                <w:rFonts w:hint="default" w:cs="宋体"/>
                <w:b/>
                <w:bCs/>
                <w:color w:val="000000"/>
                <w:sz w:val="22"/>
                <w:szCs w:val="22"/>
              </w:rPr>
            </w:pPr>
            <w:r>
              <w:rPr>
                <w:rFonts w:cs="宋体"/>
                <w:b/>
                <w:bCs/>
                <w:color w:val="000000"/>
                <w:sz w:val="22"/>
                <w:szCs w:val="22"/>
              </w:rPr>
              <w:t>偏离度（%）</w:t>
            </w:r>
          </w:p>
        </w:tc>
        <w:tc>
          <w:tcPr>
            <w:tcW w:w="0" w:type="auto"/>
            <w:tcBorders>
              <w:top w:val="nil"/>
              <w:left w:val="nil"/>
              <w:bottom w:val="single" w:color="auto" w:sz="4" w:space="0"/>
              <w:right w:val="single" w:color="auto" w:sz="4" w:space="0"/>
            </w:tcBorders>
            <w:shd w:val="clear" w:color="auto" w:fill="auto"/>
            <w:noWrap/>
            <w:vAlign w:val="center"/>
          </w:tcPr>
          <w:p>
            <w:pPr>
              <w:jc w:val="center"/>
              <w:rPr>
                <w:rFonts w:hint="default" w:cs="宋体"/>
                <w:b/>
                <w:bCs/>
                <w:color w:val="000000"/>
                <w:sz w:val="22"/>
                <w:szCs w:val="22"/>
              </w:rPr>
            </w:pPr>
            <w:r>
              <w:rPr>
                <w:rFonts w:cs="宋体"/>
                <w:b/>
                <w:bCs/>
                <w:color w:val="000000"/>
                <w:sz w:val="22"/>
                <w:szCs w:val="22"/>
              </w:rPr>
              <w:t>得分系数（%）</w:t>
            </w:r>
          </w:p>
        </w:tc>
        <w:tc>
          <w:tcPr>
            <w:tcW w:w="0" w:type="auto"/>
            <w:tcBorders>
              <w:top w:val="nil"/>
              <w:left w:val="nil"/>
              <w:bottom w:val="single" w:color="auto" w:sz="4" w:space="0"/>
              <w:right w:val="single" w:color="auto" w:sz="4" w:space="0"/>
            </w:tcBorders>
            <w:shd w:val="clear" w:color="auto" w:fill="auto"/>
            <w:noWrap/>
            <w:vAlign w:val="center"/>
          </w:tcPr>
          <w:p>
            <w:pPr>
              <w:jc w:val="center"/>
              <w:rPr>
                <w:rFonts w:hint="default" w:cs="宋体"/>
                <w:b/>
                <w:bCs/>
                <w:color w:val="000000"/>
                <w:sz w:val="22"/>
                <w:szCs w:val="22"/>
              </w:rPr>
            </w:pPr>
            <w:r>
              <w:rPr>
                <w:rFonts w:cs="宋体"/>
                <w:b/>
                <w:bCs/>
                <w:color w:val="000000"/>
                <w:sz w:val="22"/>
                <w:szCs w:val="22"/>
              </w:rPr>
              <w:t>指标权重</w:t>
            </w:r>
          </w:p>
        </w:tc>
        <w:tc>
          <w:tcPr>
            <w:tcW w:w="0" w:type="auto"/>
            <w:tcBorders>
              <w:top w:val="nil"/>
              <w:left w:val="nil"/>
              <w:bottom w:val="single" w:color="auto" w:sz="4" w:space="0"/>
              <w:right w:val="single" w:color="auto" w:sz="4" w:space="0"/>
            </w:tcBorders>
            <w:shd w:val="clear" w:color="auto" w:fill="auto"/>
            <w:noWrap/>
            <w:vAlign w:val="center"/>
          </w:tcPr>
          <w:p>
            <w:pPr>
              <w:jc w:val="center"/>
              <w:rPr>
                <w:rFonts w:hint="default" w:cs="宋体"/>
                <w:b/>
                <w:bCs/>
                <w:color w:val="000000"/>
                <w:sz w:val="22"/>
                <w:szCs w:val="22"/>
              </w:rPr>
            </w:pPr>
            <w:r>
              <w:rPr>
                <w:rFonts w:cs="宋体"/>
                <w:b/>
                <w:bCs/>
                <w:color w:val="000000"/>
                <w:sz w:val="22"/>
                <w:szCs w:val="22"/>
              </w:rPr>
              <w:t>指标得分</w:t>
            </w:r>
          </w:p>
        </w:tc>
        <w:tc>
          <w:tcPr>
            <w:tcW w:w="0" w:type="auto"/>
            <w:tcBorders>
              <w:top w:val="nil"/>
              <w:left w:val="nil"/>
              <w:bottom w:val="single" w:color="auto" w:sz="4" w:space="0"/>
              <w:right w:val="single" w:color="auto" w:sz="4" w:space="0"/>
            </w:tcBorders>
            <w:shd w:val="clear" w:color="auto" w:fill="auto"/>
            <w:noWrap/>
            <w:vAlign w:val="center"/>
          </w:tcPr>
          <w:p>
            <w:pPr>
              <w:jc w:val="center"/>
              <w:rPr>
                <w:rFonts w:hint="default" w:cs="宋体"/>
                <w:b/>
                <w:bCs/>
                <w:color w:val="000000"/>
                <w:sz w:val="22"/>
                <w:szCs w:val="22"/>
              </w:rPr>
            </w:pPr>
            <w:r>
              <w:rPr>
                <w:rFonts w:cs="宋体"/>
                <w:b/>
                <w:bCs/>
                <w:color w:val="000000"/>
                <w:sz w:val="22"/>
                <w:szCs w:val="22"/>
              </w:rPr>
              <w:t>是否核心指标</w:t>
            </w:r>
          </w:p>
        </w:tc>
        <w:tc>
          <w:tcPr>
            <w:tcW w:w="0" w:type="auto"/>
            <w:tcBorders>
              <w:top w:val="nil"/>
              <w:left w:val="nil"/>
              <w:bottom w:val="single" w:color="auto" w:sz="4" w:space="0"/>
              <w:right w:val="single" w:color="auto" w:sz="4" w:space="0"/>
            </w:tcBorders>
            <w:shd w:val="clear" w:color="auto" w:fill="auto"/>
            <w:noWrap/>
            <w:vAlign w:val="center"/>
          </w:tcPr>
          <w:p>
            <w:pPr>
              <w:jc w:val="center"/>
              <w:rPr>
                <w:rFonts w:hint="default" w:cs="宋体"/>
                <w:b/>
                <w:bCs/>
                <w:color w:val="000000"/>
                <w:sz w:val="22"/>
                <w:szCs w:val="22"/>
              </w:rPr>
            </w:pPr>
            <w:r>
              <w:rPr>
                <w:rFonts w:cs="宋体"/>
                <w:b/>
                <w:bCs/>
                <w:color w:val="000000"/>
                <w:sz w:val="22"/>
                <w:szCs w:val="22"/>
              </w:rPr>
              <w:t>说明</w:t>
            </w:r>
          </w:p>
        </w:tc>
      </w:tr>
      <w:tr>
        <w:tblPrEx>
          <w:tblCellMar>
            <w:top w:w="0" w:type="dxa"/>
            <w:left w:w="108" w:type="dxa"/>
            <w:bottom w:w="0" w:type="dxa"/>
            <w:right w:w="108" w:type="dxa"/>
          </w:tblCellMar>
        </w:tblPrEx>
        <w:trPr>
          <w:trHeight w:val="499"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涉及村居</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个</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7</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7</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0</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100</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10</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10</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　</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　</w:t>
            </w:r>
          </w:p>
        </w:tc>
      </w:tr>
      <w:tr>
        <w:tblPrEx>
          <w:tblCellMar>
            <w:top w:w="0" w:type="dxa"/>
            <w:left w:w="108" w:type="dxa"/>
            <w:bottom w:w="0" w:type="dxa"/>
            <w:right w:w="108" w:type="dxa"/>
          </w:tblCellMar>
        </w:tblPrEx>
        <w:trPr>
          <w:trHeight w:val="499"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水利救灾覆盖率</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100</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100</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0</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100</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10</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10</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　</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　</w:t>
            </w:r>
          </w:p>
        </w:tc>
      </w:tr>
      <w:tr>
        <w:tblPrEx>
          <w:tblCellMar>
            <w:top w:w="0" w:type="dxa"/>
            <w:left w:w="108" w:type="dxa"/>
            <w:bottom w:w="0" w:type="dxa"/>
            <w:right w:w="108" w:type="dxa"/>
          </w:tblCellMar>
        </w:tblPrEx>
        <w:trPr>
          <w:trHeight w:val="499"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资金拨付及时性</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100</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100</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0</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100</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20</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20</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　</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　</w:t>
            </w:r>
          </w:p>
        </w:tc>
      </w:tr>
      <w:tr>
        <w:tblPrEx>
          <w:tblCellMar>
            <w:top w:w="0" w:type="dxa"/>
            <w:left w:w="108" w:type="dxa"/>
            <w:bottom w:w="0" w:type="dxa"/>
            <w:right w:w="108" w:type="dxa"/>
          </w:tblCellMar>
        </w:tblPrEx>
        <w:trPr>
          <w:trHeight w:val="499"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保障农业生产</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　</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定性</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好</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1</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0</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100</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20</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20</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　</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　</w:t>
            </w:r>
          </w:p>
        </w:tc>
      </w:tr>
      <w:tr>
        <w:tblPrEx>
          <w:tblCellMar>
            <w:top w:w="0" w:type="dxa"/>
            <w:left w:w="108" w:type="dxa"/>
            <w:bottom w:w="0" w:type="dxa"/>
            <w:right w:w="108" w:type="dxa"/>
          </w:tblCellMar>
        </w:tblPrEx>
        <w:trPr>
          <w:trHeight w:val="499"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服务对象满意度</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97</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97</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0</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100</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10</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10</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　</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　</w:t>
            </w:r>
          </w:p>
        </w:tc>
      </w:tr>
      <w:tr>
        <w:tblPrEx>
          <w:tblCellMar>
            <w:top w:w="0" w:type="dxa"/>
            <w:left w:w="108" w:type="dxa"/>
            <w:bottom w:w="0" w:type="dxa"/>
            <w:right w:w="108" w:type="dxa"/>
          </w:tblCellMar>
        </w:tblPrEx>
        <w:trPr>
          <w:trHeight w:val="499"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项目经费</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万元</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7</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7</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0</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100</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20</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20</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　</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　</w:t>
            </w:r>
          </w:p>
        </w:tc>
      </w:tr>
    </w:tbl>
    <w:p>
      <w:pPr>
        <w:pStyle w:val="14"/>
        <w:spacing w:before="0" w:beforeAutospacing="0"/>
        <w:rPr>
          <w:rFonts w:ascii="方正仿宋_GBK" w:hAnsi="方正仿宋_GBK" w:eastAsia="方正仿宋_GBK" w:cs="方正仿宋_GBK"/>
          <w:sz w:val="28"/>
          <w:szCs w:val="28"/>
          <w:shd w:val="clear" w:color="auto" w:fill="FFFFFF"/>
        </w:rPr>
      </w:pPr>
    </w:p>
    <w:tbl>
      <w:tblPr>
        <w:tblStyle w:val="8"/>
        <w:tblW w:w="0" w:type="auto"/>
        <w:tblInd w:w="96" w:type="dxa"/>
        <w:tblLayout w:type="autofit"/>
        <w:tblCellMar>
          <w:top w:w="0" w:type="dxa"/>
          <w:left w:w="108" w:type="dxa"/>
          <w:bottom w:w="0" w:type="dxa"/>
          <w:right w:w="108" w:type="dxa"/>
        </w:tblCellMar>
      </w:tblPr>
      <w:tblGrid>
        <w:gridCol w:w="1150"/>
        <w:gridCol w:w="936"/>
        <w:gridCol w:w="936"/>
        <w:gridCol w:w="808"/>
        <w:gridCol w:w="641"/>
        <w:gridCol w:w="684"/>
        <w:gridCol w:w="766"/>
        <w:gridCol w:w="595"/>
        <w:gridCol w:w="554"/>
        <w:gridCol w:w="725"/>
        <w:gridCol w:w="640"/>
      </w:tblGrid>
      <w:tr>
        <w:tblPrEx>
          <w:tblCellMar>
            <w:top w:w="0" w:type="dxa"/>
            <w:left w:w="108" w:type="dxa"/>
            <w:bottom w:w="0" w:type="dxa"/>
            <w:right w:w="108" w:type="dxa"/>
          </w:tblCellMar>
        </w:tblPrEx>
        <w:trPr>
          <w:trHeight w:val="799" w:hRule="atLeast"/>
        </w:trPr>
        <w:tc>
          <w:tcPr>
            <w:tcW w:w="0" w:type="auto"/>
            <w:gridSpan w:val="11"/>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default" w:ascii="微软雅黑" w:hAnsi="微软雅黑" w:eastAsia="微软雅黑" w:cs="宋体"/>
                <w:b/>
                <w:bCs/>
                <w:color w:val="000000"/>
                <w:sz w:val="40"/>
                <w:szCs w:val="40"/>
              </w:rPr>
            </w:pPr>
            <w:r>
              <w:rPr>
                <w:rFonts w:ascii="微软雅黑" w:hAnsi="微软雅黑" w:eastAsia="微软雅黑" w:cs="宋体"/>
                <w:b/>
                <w:bCs/>
                <w:color w:val="000000"/>
                <w:sz w:val="40"/>
                <w:szCs w:val="40"/>
              </w:rPr>
              <w:t>2023年度二级项目绩效自评表</w:t>
            </w:r>
          </w:p>
        </w:tc>
      </w:tr>
      <w:tr>
        <w:tblPrEx>
          <w:tblCellMar>
            <w:top w:w="0" w:type="dxa"/>
            <w:left w:w="108" w:type="dxa"/>
            <w:bottom w:w="0" w:type="dxa"/>
            <w:right w:w="108" w:type="dxa"/>
          </w:tblCellMar>
        </w:tblPrEx>
        <w:trPr>
          <w:trHeight w:val="499" w:hRule="atLeast"/>
        </w:trPr>
        <w:tc>
          <w:tcPr>
            <w:tcW w:w="0" w:type="auto"/>
            <w:gridSpan w:val="11"/>
            <w:tcBorders>
              <w:top w:val="single" w:color="auto" w:sz="4" w:space="0"/>
              <w:left w:val="single" w:color="auto" w:sz="4" w:space="0"/>
              <w:bottom w:val="single" w:color="auto" w:sz="4" w:space="0"/>
              <w:right w:val="single" w:color="auto" w:sz="4" w:space="0"/>
            </w:tcBorders>
            <w:shd w:val="clear" w:color="auto" w:fill="auto"/>
            <w:noWrap/>
            <w:vAlign w:val="center"/>
          </w:tcPr>
          <w:p>
            <w:pPr>
              <w:ind w:firstLine="221" w:firstLineChars="100"/>
              <w:jc w:val="right"/>
              <w:rPr>
                <w:rFonts w:hint="default" w:cs="宋体"/>
                <w:b/>
                <w:bCs/>
                <w:color w:val="DA3232"/>
                <w:sz w:val="22"/>
                <w:szCs w:val="22"/>
              </w:rPr>
            </w:pPr>
            <w:r>
              <w:rPr>
                <w:rFonts w:cs="宋体"/>
                <w:b/>
                <w:bCs/>
                <w:color w:val="DA3232"/>
                <w:sz w:val="22"/>
                <w:szCs w:val="22"/>
              </w:rPr>
              <w:t>状态：绩效审核已审</w:t>
            </w:r>
          </w:p>
        </w:tc>
      </w:tr>
      <w:tr>
        <w:tblPrEx>
          <w:tblCellMar>
            <w:top w:w="0" w:type="dxa"/>
            <w:left w:w="108" w:type="dxa"/>
            <w:bottom w:w="0" w:type="dxa"/>
            <w:right w:w="108" w:type="dxa"/>
          </w:tblCellMar>
        </w:tblPrEx>
        <w:trPr>
          <w:trHeight w:val="499"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pPr>
              <w:jc w:val="right"/>
              <w:rPr>
                <w:rFonts w:hint="default" w:cs="宋体"/>
                <w:b/>
                <w:bCs/>
                <w:color w:val="000000"/>
                <w:sz w:val="22"/>
                <w:szCs w:val="22"/>
              </w:rPr>
            </w:pPr>
            <w:r>
              <w:rPr>
                <w:rFonts w:cs="宋体"/>
                <w:b/>
                <w:bCs/>
                <w:color w:val="000000"/>
                <w:sz w:val="22"/>
                <w:szCs w:val="22"/>
              </w:rPr>
              <w:t>项目名称：</w:t>
            </w:r>
          </w:p>
        </w:tc>
        <w:tc>
          <w:tcPr>
            <w:tcW w:w="0" w:type="auto"/>
            <w:gridSpan w:val="2"/>
            <w:tcBorders>
              <w:top w:val="single" w:color="auto" w:sz="4" w:space="0"/>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高校毕业生“三支一扶”计划补助资金</w:t>
            </w:r>
          </w:p>
        </w:tc>
        <w:tc>
          <w:tcPr>
            <w:tcW w:w="0" w:type="auto"/>
            <w:tcBorders>
              <w:top w:val="nil"/>
              <w:left w:val="nil"/>
              <w:bottom w:val="single" w:color="auto" w:sz="4" w:space="0"/>
              <w:right w:val="single" w:color="auto" w:sz="4" w:space="0"/>
            </w:tcBorders>
            <w:shd w:val="clear" w:color="auto" w:fill="auto"/>
            <w:noWrap/>
            <w:vAlign w:val="center"/>
          </w:tcPr>
          <w:p>
            <w:pPr>
              <w:jc w:val="right"/>
              <w:rPr>
                <w:rFonts w:hint="default" w:cs="宋体"/>
                <w:b/>
                <w:bCs/>
                <w:color w:val="000000"/>
                <w:sz w:val="22"/>
                <w:szCs w:val="22"/>
              </w:rPr>
            </w:pPr>
            <w:r>
              <w:rPr>
                <w:rFonts w:cs="宋体"/>
                <w:b/>
                <w:bCs/>
                <w:color w:val="000000"/>
                <w:sz w:val="22"/>
                <w:szCs w:val="22"/>
              </w:rPr>
              <w:t>项目编码：</w:t>
            </w:r>
          </w:p>
        </w:tc>
        <w:tc>
          <w:tcPr>
            <w:tcW w:w="0" w:type="auto"/>
            <w:gridSpan w:val="2"/>
            <w:tcBorders>
              <w:top w:val="single" w:color="auto" w:sz="4" w:space="0"/>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50023122T000002048719</w:t>
            </w:r>
          </w:p>
        </w:tc>
        <w:tc>
          <w:tcPr>
            <w:tcW w:w="0" w:type="auto"/>
            <w:tcBorders>
              <w:top w:val="nil"/>
              <w:left w:val="nil"/>
              <w:bottom w:val="single" w:color="auto" w:sz="4" w:space="0"/>
              <w:right w:val="single" w:color="auto" w:sz="4" w:space="0"/>
            </w:tcBorders>
            <w:shd w:val="clear" w:color="auto" w:fill="auto"/>
            <w:noWrap/>
            <w:vAlign w:val="center"/>
          </w:tcPr>
          <w:p>
            <w:pPr>
              <w:jc w:val="right"/>
              <w:rPr>
                <w:rFonts w:hint="default" w:cs="宋体"/>
                <w:b/>
                <w:bCs/>
                <w:color w:val="000000"/>
                <w:sz w:val="22"/>
                <w:szCs w:val="22"/>
              </w:rPr>
            </w:pPr>
            <w:r>
              <w:rPr>
                <w:rFonts w:cs="宋体"/>
                <w:b/>
                <w:bCs/>
                <w:color w:val="000000"/>
                <w:sz w:val="22"/>
                <w:szCs w:val="22"/>
              </w:rPr>
              <w:t>自评总分：</w:t>
            </w:r>
          </w:p>
        </w:tc>
        <w:tc>
          <w:tcPr>
            <w:tcW w:w="0" w:type="auto"/>
            <w:gridSpan w:val="2"/>
            <w:tcBorders>
              <w:top w:val="single" w:color="auto" w:sz="4" w:space="0"/>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100.00</w:t>
            </w:r>
          </w:p>
        </w:tc>
        <w:tc>
          <w:tcPr>
            <w:tcW w:w="0" w:type="auto"/>
            <w:tcBorders>
              <w:top w:val="nil"/>
              <w:left w:val="nil"/>
              <w:bottom w:val="single" w:color="auto" w:sz="4" w:space="0"/>
              <w:right w:val="single" w:color="auto" w:sz="4" w:space="0"/>
            </w:tcBorders>
            <w:shd w:val="clear" w:color="auto" w:fill="auto"/>
            <w:noWrap/>
            <w:vAlign w:val="center"/>
          </w:tcPr>
          <w:p>
            <w:pPr>
              <w:jc w:val="right"/>
              <w:rPr>
                <w:rFonts w:hint="default" w:cs="宋体"/>
                <w:b/>
                <w:bCs/>
                <w:color w:val="000000"/>
                <w:sz w:val="22"/>
                <w:szCs w:val="22"/>
              </w:rPr>
            </w:pPr>
            <w:r>
              <w:rPr>
                <w:rFonts w:cs="宋体"/>
                <w:b/>
                <w:bCs/>
                <w:color w:val="000000"/>
                <w:sz w:val="22"/>
                <w:szCs w:val="22"/>
              </w:rPr>
              <w:t>　</w:t>
            </w:r>
          </w:p>
        </w:tc>
        <w:tc>
          <w:tcPr>
            <w:tcW w:w="0" w:type="auto"/>
            <w:tcBorders>
              <w:top w:val="nil"/>
              <w:left w:val="nil"/>
              <w:bottom w:val="single" w:color="auto" w:sz="4" w:space="0"/>
              <w:right w:val="single" w:color="auto" w:sz="4" w:space="0"/>
            </w:tcBorders>
            <w:shd w:val="clear" w:color="auto" w:fill="auto"/>
            <w:vAlign w:val="center"/>
          </w:tcPr>
          <w:p>
            <w:pPr>
              <w:rPr>
                <w:rFonts w:hint="default" w:cs="宋体"/>
                <w:color w:val="000000"/>
                <w:sz w:val="22"/>
                <w:szCs w:val="22"/>
              </w:rPr>
            </w:pPr>
            <w:r>
              <w:rPr>
                <w:rFonts w:cs="宋体"/>
                <w:color w:val="000000"/>
                <w:sz w:val="22"/>
                <w:szCs w:val="22"/>
              </w:rPr>
              <w:t>　</w:t>
            </w:r>
          </w:p>
        </w:tc>
      </w:tr>
      <w:tr>
        <w:tblPrEx>
          <w:tblCellMar>
            <w:top w:w="0" w:type="dxa"/>
            <w:left w:w="108" w:type="dxa"/>
            <w:bottom w:w="0" w:type="dxa"/>
            <w:right w:w="108" w:type="dxa"/>
          </w:tblCellMar>
        </w:tblPrEx>
        <w:trPr>
          <w:trHeight w:val="499"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pPr>
              <w:jc w:val="right"/>
              <w:rPr>
                <w:rFonts w:hint="default" w:cs="宋体"/>
                <w:b/>
                <w:bCs/>
                <w:color w:val="000000"/>
                <w:sz w:val="22"/>
                <w:szCs w:val="22"/>
              </w:rPr>
            </w:pPr>
            <w:r>
              <w:rPr>
                <w:rFonts w:cs="宋体"/>
                <w:b/>
                <w:bCs/>
                <w:color w:val="000000"/>
                <w:sz w:val="22"/>
                <w:szCs w:val="22"/>
              </w:rPr>
              <w:t>项目主管部门：</w:t>
            </w:r>
          </w:p>
        </w:tc>
        <w:tc>
          <w:tcPr>
            <w:tcW w:w="0" w:type="auto"/>
            <w:gridSpan w:val="2"/>
            <w:tcBorders>
              <w:top w:val="single" w:color="auto" w:sz="4" w:space="0"/>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716-垫江县五洞镇人民政府</w:t>
            </w:r>
          </w:p>
        </w:tc>
        <w:tc>
          <w:tcPr>
            <w:tcW w:w="0" w:type="auto"/>
            <w:tcBorders>
              <w:top w:val="nil"/>
              <w:left w:val="nil"/>
              <w:bottom w:val="single" w:color="auto" w:sz="4" w:space="0"/>
              <w:right w:val="single" w:color="auto" w:sz="4" w:space="0"/>
            </w:tcBorders>
            <w:shd w:val="clear" w:color="auto" w:fill="auto"/>
            <w:noWrap/>
            <w:vAlign w:val="center"/>
          </w:tcPr>
          <w:p>
            <w:pPr>
              <w:jc w:val="right"/>
              <w:rPr>
                <w:rFonts w:hint="default" w:cs="宋体"/>
                <w:b/>
                <w:bCs/>
                <w:color w:val="000000"/>
                <w:sz w:val="22"/>
                <w:szCs w:val="22"/>
              </w:rPr>
            </w:pPr>
            <w:r>
              <w:rPr>
                <w:rFonts w:cs="宋体"/>
                <w:b/>
                <w:bCs/>
                <w:color w:val="000000"/>
                <w:sz w:val="22"/>
                <w:szCs w:val="22"/>
              </w:rPr>
              <w:t>财政归口处室：</w:t>
            </w:r>
          </w:p>
        </w:tc>
        <w:tc>
          <w:tcPr>
            <w:tcW w:w="0" w:type="auto"/>
            <w:gridSpan w:val="2"/>
            <w:tcBorders>
              <w:top w:val="single" w:color="auto" w:sz="4" w:space="0"/>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014-会计管理核算中心</w:t>
            </w:r>
          </w:p>
        </w:tc>
        <w:tc>
          <w:tcPr>
            <w:tcW w:w="0" w:type="auto"/>
            <w:tcBorders>
              <w:top w:val="nil"/>
              <w:left w:val="nil"/>
              <w:bottom w:val="single" w:color="auto" w:sz="4" w:space="0"/>
              <w:right w:val="single" w:color="auto" w:sz="4" w:space="0"/>
            </w:tcBorders>
            <w:shd w:val="clear" w:color="auto" w:fill="auto"/>
            <w:noWrap/>
            <w:vAlign w:val="center"/>
          </w:tcPr>
          <w:p>
            <w:pPr>
              <w:jc w:val="right"/>
              <w:rPr>
                <w:rFonts w:hint="default" w:cs="宋体"/>
                <w:b/>
                <w:bCs/>
                <w:color w:val="000000"/>
                <w:sz w:val="22"/>
                <w:szCs w:val="22"/>
              </w:rPr>
            </w:pPr>
            <w:r>
              <w:rPr>
                <w:rFonts w:cs="宋体"/>
                <w:b/>
                <w:bCs/>
                <w:color w:val="000000"/>
                <w:sz w:val="22"/>
                <w:szCs w:val="22"/>
              </w:rPr>
              <w:t>部门联系人：</w:t>
            </w:r>
          </w:p>
        </w:tc>
        <w:tc>
          <w:tcPr>
            <w:tcW w:w="0" w:type="auto"/>
            <w:gridSpan w:val="2"/>
            <w:tcBorders>
              <w:top w:val="single" w:color="auto" w:sz="4" w:space="0"/>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杨晓梅</w:t>
            </w:r>
          </w:p>
        </w:tc>
        <w:tc>
          <w:tcPr>
            <w:tcW w:w="0" w:type="auto"/>
            <w:tcBorders>
              <w:top w:val="nil"/>
              <w:left w:val="nil"/>
              <w:bottom w:val="single" w:color="auto" w:sz="4" w:space="0"/>
              <w:right w:val="single" w:color="auto" w:sz="4" w:space="0"/>
            </w:tcBorders>
            <w:shd w:val="clear" w:color="auto" w:fill="auto"/>
            <w:noWrap/>
            <w:vAlign w:val="center"/>
          </w:tcPr>
          <w:p>
            <w:pPr>
              <w:jc w:val="right"/>
              <w:rPr>
                <w:rFonts w:hint="default" w:cs="宋体"/>
                <w:b/>
                <w:bCs/>
                <w:color w:val="000000"/>
                <w:sz w:val="22"/>
                <w:szCs w:val="22"/>
              </w:rPr>
            </w:pPr>
            <w:r>
              <w:rPr>
                <w:rFonts w:cs="宋体"/>
                <w:b/>
                <w:bCs/>
                <w:color w:val="000000"/>
                <w:sz w:val="22"/>
                <w:szCs w:val="22"/>
              </w:rPr>
              <w:t>联系电话：</w:t>
            </w:r>
          </w:p>
        </w:tc>
        <w:tc>
          <w:tcPr>
            <w:tcW w:w="0" w:type="auto"/>
            <w:tcBorders>
              <w:top w:val="nil"/>
              <w:left w:val="nil"/>
              <w:bottom w:val="single" w:color="auto" w:sz="4" w:space="0"/>
              <w:right w:val="single" w:color="auto" w:sz="4" w:space="0"/>
            </w:tcBorders>
            <w:shd w:val="clear" w:color="auto" w:fill="auto"/>
            <w:vAlign w:val="center"/>
          </w:tcPr>
          <w:p>
            <w:pPr>
              <w:rPr>
                <w:rFonts w:hint="default" w:cs="宋体"/>
                <w:color w:val="000000"/>
                <w:sz w:val="22"/>
                <w:szCs w:val="22"/>
              </w:rPr>
            </w:pPr>
            <w:r>
              <w:rPr>
                <w:rFonts w:cs="宋体"/>
                <w:color w:val="000000"/>
                <w:sz w:val="22"/>
                <w:szCs w:val="22"/>
              </w:rPr>
              <w:t>74562700</w:t>
            </w:r>
          </w:p>
        </w:tc>
      </w:tr>
      <w:tr>
        <w:tblPrEx>
          <w:tblCellMar>
            <w:top w:w="0" w:type="dxa"/>
            <w:left w:w="108" w:type="dxa"/>
            <w:bottom w:w="0" w:type="dxa"/>
            <w:right w:w="108" w:type="dxa"/>
          </w:tblCellMar>
        </w:tblPrEx>
        <w:trPr>
          <w:trHeight w:val="600" w:hRule="atLeast"/>
        </w:trPr>
        <w:tc>
          <w:tcPr>
            <w:tcW w:w="0" w:type="auto"/>
            <w:gridSpan w:val="11"/>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default" w:ascii="微软雅黑" w:hAnsi="微软雅黑" w:eastAsia="微软雅黑" w:cs="宋体"/>
                <w:b/>
                <w:bCs/>
                <w:color w:val="7F7F7F"/>
                <w:sz w:val="28"/>
                <w:szCs w:val="28"/>
              </w:rPr>
            </w:pPr>
            <w:r>
              <w:rPr>
                <w:rFonts w:ascii="微软雅黑" w:hAnsi="微软雅黑" w:eastAsia="微软雅黑" w:cs="宋体"/>
                <w:b/>
                <w:bCs/>
                <w:color w:val="7F7F7F"/>
                <w:sz w:val="28"/>
                <w:szCs w:val="28"/>
              </w:rPr>
              <w:t>资金情况</w:t>
            </w:r>
          </w:p>
        </w:tc>
      </w:tr>
      <w:tr>
        <w:tblPrEx>
          <w:tblCellMar>
            <w:top w:w="0" w:type="dxa"/>
            <w:left w:w="108" w:type="dxa"/>
            <w:bottom w:w="0" w:type="dxa"/>
            <w:right w:w="108" w:type="dxa"/>
          </w:tblCellMar>
        </w:tblPrEx>
        <w:trPr>
          <w:trHeight w:val="499" w:hRule="atLeast"/>
        </w:trPr>
        <w:tc>
          <w:tcPr>
            <w:tcW w:w="0" w:type="auto"/>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default" w:cs="宋体"/>
                <w:color w:val="000000"/>
                <w:sz w:val="22"/>
                <w:szCs w:val="22"/>
              </w:rPr>
            </w:pPr>
            <w:r>
              <w:rPr>
                <w:rFonts w:cs="宋体"/>
                <w:color w:val="000000"/>
                <w:sz w:val="22"/>
                <w:szCs w:val="22"/>
              </w:rPr>
              <w:t>　</w:t>
            </w:r>
          </w:p>
        </w:tc>
        <w:tc>
          <w:tcPr>
            <w:tcW w:w="0" w:type="auto"/>
            <w:gridSpan w:val="2"/>
            <w:tcBorders>
              <w:top w:val="single" w:color="auto" w:sz="4" w:space="0"/>
              <w:left w:val="nil"/>
              <w:bottom w:val="single" w:color="auto" w:sz="4" w:space="0"/>
              <w:right w:val="single" w:color="auto" w:sz="4" w:space="0"/>
            </w:tcBorders>
            <w:shd w:val="clear" w:color="auto" w:fill="auto"/>
            <w:noWrap/>
            <w:vAlign w:val="center"/>
          </w:tcPr>
          <w:p>
            <w:pPr>
              <w:jc w:val="center"/>
              <w:rPr>
                <w:rFonts w:hint="default" w:cs="宋体"/>
                <w:b/>
                <w:bCs/>
                <w:color w:val="000000"/>
                <w:sz w:val="22"/>
                <w:szCs w:val="22"/>
              </w:rPr>
            </w:pPr>
            <w:r>
              <w:rPr>
                <w:rFonts w:cs="宋体"/>
                <w:b/>
                <w:bCs/>
                <w:color w:val="000000"/>
                <w:sz w:val="22"/>
                <w:szCs w:val="22"/>
              </w:rPr>
              <w:t>年初预算数</w:t>
            </w:r>
          </w:p>
        </w:tc>
        <w:tc>
          <w:tcPr>
            <w:tcW w:w="0" w:type="auto"/>
            <w:gridSpan w:val="2"/>
            <w:tcBorders>
              <w:top w:val="single" w:color="auto" w:sz="4" w:space="0"/>
              <w:left w:val="nil"/>
              <w:bottom w:val="single" w:color="auto" w:sz="4" w:space="0"/>
              <w:right w:val="single" w:color="auto" w:sz="4" w:space="0"/>
            </w:tcBorders>
            <w:shd w:val="clear" w:color="auto" w:fill="auto"/>
            <w:noWrap/>
            <w:vAlign w:val="center"/>
          </w:tcPr>
          <w:p>
            <w:pPr>
              <w:jc w:val="center"/>
              <w:rPr>
                <w:rFonts w:hint="default" w:cs="宋体"/>
                <w:b/>
                <w:bCs/>
                <w:color w:val="000000"/>
                <w:sz w:val="22"/>
                <w:szCs w:val="22"/>
              </w:rPr>
            </w:pPr>
            <w:r>
              <w:rPr>
                <w:rFonts w:cs="宋体"/>
                <w:b/>
                <w:bCs/>
                <w:color w:val="000000"/>
                <w:sz w:val="22"/>
                <w:szCs w:val="22"/>
              </w:rPr>
              <w:t>全年（调整）预算数</w:t>
            </w:r>
          </w:p>
        </w:tc>
        <w:tc>
          <w:tcPr>
            <w:tcW w:w="0" w:type="auto"/>
            <w:gridSpan w:val="2"/>
            <w:tcBorders>
              <w:top w:val="single" w:color="auto" w:sz="4" w:space="0"/>
              <w:left w:val="nil"/>
              <w:bottom w:val="single" w:color="auto" w:sz="4" w:space="0"/>
              <w:right w:val="single" w:color="auto" w:sz="4" w:space="0"/>
            </w:tcBorders>
            <w:shd w:val="clear" w:color="auto" w:fill="auto"/>
            <w:noWrap/>
            <w:vAlign w:val="center"/>
          </w:tcPr>
          <w:p>
            <w:pPr>
              <w:jc w:val="center"/>
              <w:rPr>
                <w:rFonts w:hint="default" w:cs="宋体"/>
                <w:b/>
                <w:bCs/>
                <w:color w:val="000000"/>
                <w:sz w:val="22"/>
                <w:szCs w:val="22"/>
              </w:rPr>
            </w:pPr>
            <w:r>
              <w:rPr>
                <w:rFonts w:cs="宋体"/>
                <w:b/>
                <w:bCs/>
                <w:color w:val="000000"/>
                <w:sz w:val="22"/>
                <w:szCs w:val="22"/>
              </w:rPr>
              <w:t>全年执行数</w:t>
            </w:r>
          </w:p>
        </w:tc>
        <w:tc>
          <w:tcPr>
            <w:tcW w:w="0" w:type="auto"/>
            <w:tcBorders>
              <w:top w:val="nil"/>
              <w:left w:val="nil"/>
              <w:bottom w:val="single" w:color="auto" w:sz="4" w:space="0"/>
              <w:right w:val="single" w:color="auto" w:sz="4" w:space="0"/>
            </w:tcBorders>
            <w:shd w:val="clear" w:color="auto" w:fill="auto"/>
            <w:noWrap/>
            <w:vAlign w:val="center"/>
          </w:tcPr>
          <w:p>
            <w:pPr>
              <w:jc w:val="center"/>
              <w:rPr>
                <w:rFonts w:hint="default" w:cs="宋体"/>
                <w:b/>
                <w:bCs/>
                <w:color w:val="000000"/>
                <w:sz w:val="22"/>
                <w:szCs w:val="22"/>
              </w:rPr>
            </w:pPr>
            <w:r>
              <w:rPr>
                <w:rFonts w:cs="宋体"/>
                <w:b/>
                <w:bCs/>
                <w:color w:val="000000"/>
                <w:sz w:val="22"/>
                <w:szCs w:val="22"/>
              </w:rPr>
              <w:t>执行率</w:t>
            </w:r>
          </w:p>
        </w:tc>
        <w:tc>
          <w:tcPr>
            <w:tcW w:w="0" w:type="auto"/>
            <w:tcBorders>
              <w:top w:val="nil"/>
              <w:left w:val="nil"/>
              <w:bottom w:val="single" w:color="auto" w:sz="4" w:space="0"/>
              <w:right w:val="single" w:color="auto" w:sz="4" w:space="0"/>
            </w:tcBorders>
            <w:shd w:val="clear" w:color="auto" w:fill="auto"/>
            <w:noWrap/>
            <w:vAlign w:val="center"/>
          </w:tcPr>
          <w:p>
            <w:pPr>
              <w:rPr>
                <w:rFonts w:hint="default" w:cs="宋体"/>
                <w:b/>
                <w:bCs/>
                <w:color w:val="000000"/>
                <w:sz w:val="22"/>
                <w:szCs w:val="22"/>
              </w:rPr>
            </w:pPr>
            <w:r>
              <w:rPr>
                <w:rFonts w:cs="宋体"/>
                <w:b/>
                <w:bCs/>
                <w:color w:val="000000"/>
                <w:sz w:val="22"/>
                <w:szCs w:val="22"/>
              </w:rPr>
              <w:t>执行率权重</w:t>
            </w:r>
          </w:p>
        </w:tc>
        <w:tc>
          <w:tcPr>
            <w:tcW w:w="0" w:type="auto"/>
            <w:tcBorders>
              <w:top w:val="nil"/>
              <w:left w:val="nil"/>
              <w:bottom w:val="single" w:color="auto" w:sz="4" w:space="0"/>
              <w:right w:val="single" w:color="auto" w:sz="4" w:space="0"/>
            </w:tcBorders>
            <w:shd w:val="clear" w:color="auto" w:fill="auto"/>
            <w:noWrap/>
            <w:vAlign w:val="center"/>
          </w:tcPr>
          <w:p>
            <w:pPr>
              <w:jc w:val="center"/>
              <w:rPr>
                <w:rFonts w:hint="default" w:cs="宋体"/>
                <w:b/>
                <w:bCs/>
                <w:color w:val="000000"/>
                <w:sz w:val="22"/>
                <w:szCs w:val="22"/>
              </w:rPr>
            </w:pPr>
            <w:r>
              <w:rPr>
                <w:rFonts w:cs="宋体"/>
                <w:b/>
                <w:bCs/>
                <w:color w:val="000000"/>
                <w:sz w:val="22"/>
                <w:szCs w:val="22"/>
              </w:rPr>
              <w:t>执行率得分</w:t>
            </w:r>
          </w:p>
        </w:tc>
      </w:tr>
      <w:tr>
        <w:tblPrEx>
          <w:tblCellMar>
            <w:top w:w="0" w:type="dxa"/>
            <w:left w:w="108" w:type="dxa"/>
            <w:bottom w:w="0" w:type="dxa"/>
            <w:right w:w="108" w:type="dxa"/>
          </w:tblCellMar>
        </w:tblPrEx>
        <w:trPr>
          <w:trHeight w:val="499" w:hRule="atLeast"/>
        </w:trPr>
        <w:tc>
          <w:tcPr>
            <w:tcW w:w="0" w:type="auto"/>
            <w:tcBorders>
              <w:top w:val="nil"/>
              <w:left w:val="single" w:color="auto" w:sz="4" w:space="0"/>
              <w:bottom w:val="single" w:color="auto" w:sz="4" w:space="0"/>
              <w:right w:val="nil"/>
            </w:tcBorders>
            <w:shd w:val="clear" w:color="auto" w:fill="auto"/>
            <w:vAlign w:val="center"/>
          </w:tcPr>
          <w:p>
            <w:pPr>
              <w:rPr>
                <w:rFonts w:hint="default" w:cs="宋体"/>
                <w:color w:val="000000"/>
                <w:sz w:val="22"/>
                <w:szCs w:val="22"/>
              </w:rPr>
            </w:pPr>
            <w:r>
              <w:rPr>
                <w:rFonts w:cs="宋体"/>
                <w:color w:val="000000"/>
                <w:sz w:val="22"/>
                <w:szCs w:val="22"/>
              </w:rPr>
              <w:t>年度总金额</w:t>
            </w:r>
          </w:p>
        </w:tc>
        <w:tc>
          <w:tcPr>
            <w:tcW w:w="0" w:type="auto"/>
            <w:tcBorders>
              <w:top w:val="nil"/>
              <w:left w:val="nil"/>
              <w:bottom w:val="single" w:color="auto" w:sz="4" w:space="0"/>
              <w:right w:val="single" w:color="auto" w:sz="4" w:space="0"/>
            </w:tcBorders>
            <w:shd w:val="clear" w:color="auto" w:fill="auto"/>
            <w:noWrap/>
            <w:vAlign w:val="center"/>
          </w:tcPr>
          <w:p>
            <w:pPr>
              <w:rPr>
                <w:rFonts w:hint="default" w:cs="宋体"/>
                <w:color w:val="000000"/>
                <w:sz w:val="22"/>
                <w:szCs w:val="22"/>
              </w:rPr>
            </w:pPr>
            <w:r>
              <w:rPr>
                <w:rFonts w:cs="宋体"/>
                <w:color w:val="000000"/>
                <w:sz w:val="22"/>
                <w:szCs w:val="22"/>
              </w:rPr>
              <w:t>　</w:t>
            </w:r>
          </w:p>
        </w:tc>
        <w:tc>
          <w:tcPr>
            <w:tcW w:w="0" w:type="auto"/>
            <w:tcBorders>
              <w:top w:val="nil"/>
              <w:left w:val="nil"/>
              <w:bottom w:val="single" w:color="auto" w:sz="4" w:space="0"/>
              <w:right w:val="nil"/>
            </w:tcBorders>
            <w:shd w:val="clear" w:color="auto" w:fill="auto"/>
            <w:noWrap/>
            <w:vAlign w:val="center"/>
          </w:tcPr>
          <w:p>
            <w:pPr>
              <w:rPr>
                <w:rFonts w:hint="default" w:cs="宋体"/>
                <w:color w:val="000000"/>
                <w:sz w:val="22"/>
                <w:szCs w:val="22"/>
              </w:rPr>
            </w:pPr>
            <w:r>
              <w:rPr>
                <w:rFonts w:cs="宋体"/>
                <w:color w:val="000000"/>
                <w:sz w:val="22"/>
                <w:szCs w:val="22"/>
              </w:rPr>
              <w:t>　</w:t>
            </w:r>
          </w:p>
        </w:tc>
        <w:tc>
          <w:tcPr>
            <w:tcW w:w="0" w:type="auto"/>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22"/>
                <w:szCs w:val="22"/>
              </w:rPr>
            </w:pPr>
            <w:r>
              <w:rPr>
                <w:rFonts w:cs="宋体"/>
                <w:color w:val="000000"/>
                <w:sz w:val="22"/>
                <w:szCs w:val="22"/>
              </w:rPr>
              <w:t xml:space="preserve">33,000.00 </w:t>
            </w:r>
          </w:p>
        </w:tc>
        <w:tc>
          <w:tcPr>
            <w:tcW w:w="0" w:type="auto"/>
            <w:tcBorders>
              <w:top w:val="nil"/>
              <w:left w:val="nil"/>
              <w:bottom w:val="single" w:color="auto" w:sz="4" w:space="0"/>
              <w:right w:val="nil"/>
            </w:tcBorders>
            <w:shd w:val="clear" w:color="auto" w:fill="auto"/>
            <w:noWrap/>
            <w:vAlign w:val="center"/>
          </w:tcPr>
          <w:p>
            <w:pPr>
              <w:rPr>
                <w:rFonts w:hint="default" w:cs="宋体"/>
                <w:color w:val="000000"/>
                <w:sz w:val="22"/>
                <w:szCs w:val="22"/>
              </w:rPr>
            </w:pPr>
            <w:r>
              <w:rPr>
                <w:rFonts w:cs="宋体"/>
                <w:color w:val="000000"/>
                <w:sz w:val="22"/>
                <w:szCs w:val="22"/>
              </w:rPr>
              <w:t>　</w:t>
            </w:r>
          </w:p>
        </w:tc>
        <w:tc>
          <w:tcPr>
            <w:tcW w:w="0" w:type="auto"/>
            <w:tcBorders>
              <w:top w:val="nil"/>
              <w:left w:val="nil"/>
              <w:bottom w:val="single" w:color="auto" w:sz="4" w:space="0"/>
              <w:right w:val="single" w:color="auto" w:sz="4" w:space="0"/>
            </w:tcBorders>
            <w:shd w:val="clear" w:color="auto" w:fill="auto"/>
            <w:vAlign w:val="center"/>
          </w:tcPr>
          <w:p>
            <w:pPr>
              <w:jc w:val="right"/>
              <w:rPr>
                <w:rFonts w:hint="default" w:cs="宋体"/>
                <w:color w:val="000000"/>
                <w:sz w:val="22"/>
                <w:szCs w:val="22"/>
              </w:rPr>
            </w:pPr>
            <w:r>
              <w:rPr>
                <w:rFonts w:cs="宋体"/>
                <w:color w:val="000000"/>
                <w:sz w:val="22"/>
                <w:szCs w:val="22"/>
              </w:rPr>
              <w:t xml:space="preserve">33,000.00 </w:t>
            </w:r>
          </w:p>
        </w:tc>
        <w:tc>
          <w:tcPr>
            <w:tcW w:w="0" w:type="auto"/>
            <w:tcBorders>
              <w:top w:val="nil"/>
              <w:left w:val="nil"/>
              <w:bottom w:val="single" w:color="auto" w:sz="4" w:space="0"/>
              <w:right w:val="nil"/>
            </w:tcBorders>
            <w:shd w:val="clear" w:color="auto" w:fill="auto"/>
            <w:noWrap/>
            <w:vAlign w:val="center"/>
          </w:tcPr>
          <w:p>
            <w:pPr>
              <w:rPr>
                <w:rFonts w:hint="default" w:cs="宋体"/>
                <w:color w:val="000000"/>
                <w:sz w:val="22"/>
                <w:szCs w:val="22"/>
              </w:rPr>
            </w:pPr>
            <w:r>
              <w:rPr>
                <w:rFonts w:cs="宋体"/>
                <w:color w:val="000000"/>
                <w:sz w:val="22"/>
                <w:szCs w:val="22"/>
              </w:rPr>
              <w:t>　</w:t>
            </w:r>
          </w:p>
        </w:tc>
        <w:tc>
          <w:tcPr>
            <w:tcW w:w="0" w:type="auto"/>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22"/>
                <w:szCs w:val="22"/>
              </w:rPr>
            </w:pPr>
            <w:r>
              <w:rPr>
                <w:rFonts w:cs="宋体"/>
                <w:color w:val="000000"/>
                <w:sz w:val="22"/>
                <w:szCs w:val="22"/>
              </w:rPr>
              <w:t xml:space="preserve">33,000.00 </w:t>
            </w:r>
          </w:p>
        </w:tc>
        <w:tc>
          <w:tcPr>
            <w:tcW w:w="0" w:type="auto"/>
            <w:tcBorders>
              <w:top w:val="nil"/>
              <w:left w:val="nil"/>
              <w:bottom w:val="single" w:color="auto" w:sz="4" w:space="0"/>
              <w:right w:val="single" w:color="auto" w:sz="4" w:space="0"/>
            </w:tcBorders>
            <w:shd w:val="clear" w:color="auto" w:fill="auto"/>
            <w:noWrap/>
            <w:vAlign w:val="center"/>
          </w:tcPr>
          <w:p>
            <w:pPr>
              <w:rPr>
                <w:rFonts w:hint="default" w:cs="宋体"/>
                <w:color w:val="000000"/>
                <w:sz w:val="22"/>
                <w:szCs w:val="22"/>
              </w:rPr>
            </w:pPr>
            <w:r>
              <w:rPr>
                <w:rFonts w:cs="宋体"/>
                <w:color w:val="000000"/>
                <w:sz w:val="22"/>
                <w:szCs w:val="22"/>
              </w:rPr>
              <w:t>　</w:t>
            </w:r>
          </w:p>
        </w:tc>
        <w:tc>
          <w:tcPr>
            <w:tcW w:w="0" w:type="auto"/>
            <w:tcBorders>
              <w:top w:val="nil"/>
              <w:left w:val="nil"/>
              <w:bottom w:val="single" w:color="auto" w:sz="4" w:space="0"/>
              <w:right w:val="single" w:color="auto" w:sz="4" w:space="0"/>
            </w:tcBorders>
            <w:shd w:val="clear" w:color="auto" w:fill="auto"/>
            <w:noWrap/>
            <w:vAlign w:val="center"/>
          </w:tcPr>
          <w:p>
            <w:pPr>
              <w:rPr>
                <w:rFonts w:hint="default" w:cs="宋体"/>
                <w:color w:val="000000"/>
                <w:sz w:val="22"/>
                <w:szCs w:val="22"/>
              </w:rPr>
            </w:pPr>
            <w:r>
              <w:rPr>
                <w:rFonts w:cs="宋体"/>
                <w:color w:val="000000"/>
                <w:sz w:val="22"/>
                <w:szCs w:val="22"/>
              </w:rPr>
              <w:t>　</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sz w:val="22"/>
                <w:szCs w:val="22"/>
              </w:rPr>
            </w:pPr>
            <w:r>
              <w:rPr>
                <w:rFonts w:cs="宋体"/>
                <w:sz w:val="22"/>
                <w:szCs w:val="22"/>
              </w:rPr>
              <w:t>　</w:t>
            </w:r>
          </w:p>
        </w:tc>
      </w:tr>
      <w:tr>
        <w:tblPrEx>
          <w:tblCellMar>
            <w:top w:w="0" w:type="dxa"/>
            <w:left w:w="108" w:type="dxa"/>
            <w:bottom w:w="0" w:type="dxa"/>
            <w:right w:w="108" w:type="dxa"/>
          </w:tblCellMar>
        </w:tblPrEx>
        <w:trPr>
          <w:trHeight w:val="499" w:hRule="atLeast"/>
        </w:trPr>
        <w:tc>
          <w:tcPr>
            <w:tcW w:w="0" w:type="auto"/>
            <w:tcBorders>
              <w:top w:val="nil"/>
              <w:left w:val="single" w:color="auto" w:sz="4" w:space="0"/>
              <w:bottom w:val="single" w:color="auto" w:sz="4" w:space="0"/>
              <w:right w:val="nil"/>
            </w:tcBorders>
            <w:shd w:val="clear" w:color="auto" w:fill="auto"/>
            <w:vAlign w:val="center"/>
          </w:tcPr>
          <w:p>
            <w:pPr>
              <w:rPr>
                <w:rFonts w:hint="default" w:cs="宋体"/>
                <w:color w:val="000000"/>
                <w:sz w:val="22"/>
                <w:szCs w:val="22"/>
              </w:rPr>
            </w:pPr>
            <w:r>
              <w:rPr>
                <w:rFonts w:cs="宋体"/>
                <w:color w:val="000000"/>
                <w:sz w:val="22"/>
                <w:szCs w:val="22"/>
              </w:rPr>
              <w:t>其中：财政拨款</w:t>
            </w:r>
          </w:p>
        </w:tc>
        <w:tc>
          <w:tcPr>
            <w:tcW w:w="0" w:type="auto"/>
            <w:tcBorders>
              <w:top w:val="nil"/>
              <w:left w:val="nil"/>
              <w:bottom w:val="single" w:color="auto" w:sz="4" w:space="0"/>
              <w:right w:val="single" w:color="auto" w:sz="4" w:space="0"/>
            </w:tcBorders>
            <w:shd w:val="clear" w:color="auto" w:fill="auto"/>
            <w:noWrap/>
            <w:vAlign w:val="center"/>
          </w:tcPr>
          <w:p>
            <w:pPr>
              <w:rPr>
                <w:rFonts w:hint="default" w:cs="宋体"/>
                <w:color w:val="000000"/>
                <w:sz w:val="22"/>
                <w:szCs w:val="22"/>
              </w:rPr>
            </w:pPr>
            <w:r>
              <w:rPr>
                <w:rFonts w:cs="宋体"/>
                <w:color w:val="000000"/>
                <w:sz w:val="22"/>
                <w:szCs w:val="22"/>
              </w:rPr>
              <w:t>　</w:t>
            </w:r>
          </w:p>
        </w:tc>
        <w:tc>
          <w:tcPr>
            <w:tcW w:w="0" w:type="auto"/>
            <w:tcBorders>
              <w:top w:val="nil"/>
              <w:left w:val="nil"/>
              <w:bottom w:val="single" w:color="auto" w:sz="4" w:space="0"/>
              <w:right w:val="nil"/>
            </w:tcBorders>
            <w:shd w:val="clear" w:color="auto" w:fill="auto"/>
            <w:noWrap/>
            <w:vAlign w:val="center"/>
          </w:tcPr>
          <w:p>
            <w:pPr>
              <w:rPr>
                <w:rFonts w:hint="default" w:cs="宋体"/>
                <w:color w:val="000000"/>
                <w:sz w:val="22"/>
                <w:szCs w:val="22"/>
              </w:rPr>
            </w:pPr>
            <w:r>
              <w:rPr>
                <w:rFonts w:cs="宋体"/>
                <w:color w:val="000000"/>
                <w:sz w:val="22"/>
                <w:szCs w:val="22"/>
              </w:rPr>
              <w:t>　</w:t>
            </w:r>
          </w:p>
        </w:tc>
        <w:tc>
          <w:tcPr>
            <w:tcW w:w="0" w:type="auto"/>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22"/>
                <w:szCs w:val="22"/>
              </w:rPr>
            </w:pPr>
            <w:r>
              <w:rPr>
                <w:rFonts w:cs="宋体"/>
                <w:color w:val="000000"/>
                <w:sz w:val="22"/>
                <w:szCs w:val="22"/>
              </w:rPr>
              <w:t xml:space="preserve">33,000.00 </w:t>
            </w:r>
          </w:p>
        </w:tc>
        <w:tc>
          <w:tcPr>
            <w:tcW w:w="0" w:type="auto"/>
            <w:tcBorders>
              <w:top w:val="nil"/>
              <w:left w:val="nil"/>
              <w:bottom w:val="single" w:color="auto" w:sz="4" w:space="0"/>
              <w:right w:val="nil"/>
            </w:tcBorders>
            <w:shd w:val="clear" w:color="auto" w:fill="auto"/>
            <w:noWrap/>
            <w:vAlign w:val="center"/>
          </w:tcPr>
          <w:p>
            <w:pPr>
              <w:rPr>
                <w:rFonts w:hint="default" w:cs="宋体"/>
                <w:color w:val="000000"/>
                <w:sz w:val="22"/>
                <w:szCs w:val="22"/>
              </w:rPr>
            </w:pPr>
            <w:r>
              <w:rPr>
                <w:rFonts w:cs="宋体"/>
                <w:color w:val="000000"/>
                <w:sz w:val="22"/>
                <w:szCs w:val="22"/>
              </w:rPr>
              <w:t>　</w:t>
            </w:r>
          </w:p>
        </w:tc>
        <w:tc>
          <w:tcPr>
            <w:tcW w:w="0" w:type="auto"/>
            <w:tcBorders>
              <w:top w:val="nil"/>
              <w:left w:val="nil"/>
              <w:bottom w:val="single" w:color="auto" w:sz="4" w:space="0"/>
              <w:right w:val="single" w:color="auto" w:sz="4" w:space="0"/>
            </w:tcBorders>
            <w:shd w:val="clear" w:color="auto" w:fill="auto"/>
            <w:vAlign w:val="center"/>
          </w:tcPr>
          <w:p>
            <w:pPr>
              <w:jc w:val="right"/>
              <w:rPr>
                <w:rFonts w:hint="default" w:cs="宋体"/>
                <w:color w:val="000000"/>
                <w:sz w:val="22"/>
                <w:szCs w:val="22"/>
              </w:rPr>
            </w:pPr>
            <w:r>
              <w:rPr>
                <w:rFonts w:cs="宋体"/>
                <w:color w:val="000000"/>
                <w:sz w:val="22"/>
                <w:szCs w:val="22"/>
              </w:rPr>
              <w:t xml:space="preserve">33,000.00 </w:t>
            </w:r>
          </w:p>
        </w:tc>
        <w:tc>
          <w:tcPr>
            <w:tcW w:w="0" w:type="auto"/>
            <w:tcBorders>
              <w:top w:val="nil"/>
              <w:left w:val="nil"/>
              <w:bottom w:val="single" w:color="auto" w:sz="4" w:space="0"/>
              <w:right w:val="nil"/>
            </w:tcBorders>
            <w:shd w:val="clear" w:color="auto" w:fill="auto"/>
            <w:noWrap/>
            <w:vAlign w:val="center"/>
          </w:tcPr>
          <w:p>
            <w:pPr>
              <w:rPr>
                <w:rFonts w:hint="default" w:cs="宋体"/>
                <w:color w:val="000000"/>
                <w:sz w:val="22"/>
                <w:szCs w:val="22"/>
              </w:rPr>
            </w:pPr>
            <w:r>
              <w:rPr>
                <w:rFonts w:cs="宋体"/>
                <w:color w:val="000000"/>
                <w:sz w:val="22"/>
                <w:szCs w:val="22"/>
              </w:rPr>
              <w:t>　</w:t>
            </w:r>
          </w:p>
        </w:tc>
        <w:tc>
          <w:tcPr>
            <w:tcW w:w="0" w:type="auto"/>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22"/>
                <w:szCs w:val="22"/>
              </w:rPr>
            </w:pPr>
            <w:r>
              <w:rPr>
                <w:rFonts w:cs="宋体"/>
                <w:color w:val="000000"/>
                <w:sz w:val="22"/>
                <w:szCs w:val="22"/>
              </w:rPr>
              <w:t xml:space="preserve">33,000.00 </w:t>
            </w:r>
          </w:p>
        </w:tc>
        <w:tc>
          <w:tcPr>
            <w:tcW w:w="0" w:type="auto"/>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22"/>
                <w:szCs w:val="22"/>
              </w:rPr>
            </w:pPr>
            <w:r>
              <w:rPr>
                <w:rFonts w:cs="宋体"/>
                <w:color w:val="000000"/>
                <w:sz w:val="22"/>
                <w:szCs w:val="22"/>
              </w:rPr>
              <w:t>100</w:t>
            </w:r>
          </w:p>
        </w:tc>
        <w:tc>
          <w:tcPr>
            <w:tcW w:w="0" w:type="auto"/>
            <w:tcBorders>
              <w:top w:val="nil"/>
              <w:left w:val="nil"/>
              <w:bottom w:val="single" w:color="auto" w:sz="4" w:space="0"/>
              <w:right w:val="single" w:color="auto" w:sz="4" w:space="0"/>
            </w:tcBorders>
            <w:shd w:val="clear" w:color="auto" w:fill="auto"/>
            <w:noWrap/>
            <w:vAlign w:val="center"/>
          </w:tcPr>
          <w:p>
            <w:pPr>
              <w:rPr>
                <w:rFonts w:hint="default" w:cs="宋体"/>
                <w:color w:val="000000"/>
                <w:sz w:val="22"/>
                <w:szCs w:val="22"/>
              </w:rPr>
            </w:pPr>
            <w:r>
              <w:rPr>
                <w:rFonts w:cs="宋体"/>
                <w:color w:val="000000"/>
                <w:sz w:val="22"/>
                <w:szCs w:val="22"/>
              </w:rPr>
              <w:t>10.00</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sz w:val="22"/>
                <w:szCs w:val="22"/>
              </w:rPr>
            </w:pPr>
            <w:r>
              <w:rPr>
                <w:rFonts w:cs="宋体"/>
                <w:sz w:val="22"/>
                <w:szCs w:val="22"/>
              </w:rPr>
              <w:t xml:space="preserve">10.00 </w:t>
            </w:r>
          </w:p>
        </w:tc>
      </w:tr>
      <w:tr>
        <w:tblPrEx>
          <w:tblCellMar>
            <w:top w:w="0" w:type="dxa"/>
            <w:left w:w="108" w:type="dxa"/>
            <w:bottom w:w="0" w:type="dxa"/>
            <w:right w:w="108" w:type="dxa"/>
          </w:tblCellMar>
        </w:tblPrEx>
        <w:trPr>
          <w:trHeight w:val="499" w:hRule="atLeast"/>
        </w:trPr>
        <w:tc>
          <w:tcPr>
            <w:tcW w:w="0" w:type="auto"/>
            <w:tcBorders>
              <w:top w:val="nil"/>
              <w:left w:val="single" w:color="auto" w:sz="4" w:space="0"/>
              <w:bottom w:val="single" w:color="auto" w:sz="4" w:space="0"/>
              <w:right w:val="nil"/>
            </w:tcBorders>
            <w:shd w:val="clear" w:color="auto" w:fill="auto"/>
            <w:vAlign w:val="center"/>
          </w:tcPr>
          <w:p>
            <w:pPr>
              <w:rPr>
                <w:rFonts w:hint="default" w:cs="宋体"/>
                <w:color w:val="000000"/>
                <w:sz w:val="22"/>
                <w:szCs w:val="22"/>
              </w:rPr>
            </w:pPr>
            <w:r>
              <w:rPr>
                <w:rFonts w:cs="宋体"/>
                <w:color w:val="000000"/>
                <w:sz w:val="22"/>
                <w:szCs w:val="22"/>
              </w:rPr>
              <w:t>一般公共预算</w:t>
            </w:r>
          </w:p>
        </w:tc>
        <w:tc>
          <w:tcPr>
            <w:tcW w:w="0" w:type="auto"/>
            <w:tcBorders>
              <w:top w:val="nil"/>
              <w:left w:val="nil"/>
              <w:bottom w:val="single" w:color="auto" w:sz="4" w:space="0"/>
              <w:right w:val="single" w:color="auto" w:sz="4" w:space="0"/>
            </w:tcBorders>
            <w:shd w:val="clear" w:color="auto" w:fill="auto"/>
            <w:noWrap/>
            <w:vAlign w:val="center"/>
          </w:tcPr>
          <w:p>
            <w:pPr>
              <w:rPr>
                <w:rFonts w:hint="default" w:cs="宋体"/>
                <w:color w:val="000000"/>
                <w:sz w:val="22"/>
                <w:szCs w:val="22"/>
              </w:rPr>
            </w:pPr>
            <w:r>
              <w:rPr>
                <w:rFonts w:cs="宋体"/>
                <w:color w:val="000000"/>
                <w:sz w:val="22"/>
                <w:szCs w:val="22"/>
              </w:rPr>
              <w:t>　</w:t>
            </w:r>
          </w:p>
        </w:tc>
        <w:tc>
          <w:tcPr>
            <w:tcW w:w="0" w:type="auto"/>
            <w:tcBorders>
              <w:top w:val="nil"/>
              <w:left w:val="nil"/>
              <w:bottom w:val="single" w:color="auto" w:sz="4" w:space="0"/>
              <w:right w:val="nil"/>
            </w:tcBorders>
            <w:shd w:val="clear" w:color="auto" w:fill="auto"/>
            <w:noWrap/>
            <w:vAlign w:val="center"/>
          </w:tcPr>
          <w:p>
            <w:pPr>
              <w:rPr>
                <w:rFonts w:hint="default" w:cs="宋体"/>
                <w:color w:val="000000"/>
                <w:sz w:val="22"/>
                <w:szCs w:val="22"/>
              </w:rPr>
            </w:pPr>
            <w:r>
              <w:rPr>
                <w:rFonts w:cs="宋体"/>
                <w:color w:val="000000"/>
                <w:sz w:val="22"/>
                <w:szCs w:val="22"/>
              </w:rPr>
              <w:t>　</w:t>
            </w:r>
          </w:p>
        </w:tc>
        <w:tc>
          <w:tcPr>
            <w:tcW w:w="0" w:type="auto"/>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22"/>
                <w:szCs w:val="22"/>
              </w:rPr>
            </w:pPr>
            <w:r>
              <w:rPr>
                <w:rFonts w:cs="宋体"/>
                <w:color w:val="000000"/>
                <w:sz w:val="22"/>
                <w:szCs w:val="22"/>
              </w:rPr>
              <w:t xml:space="preserve">33,000.00 </w:t>
            </w:r>
          </w:p>
        </w:tc>
        <w:tc>
          <w:tcPr>
            <w:tcW w:w="0" w:type="auto"/>
            <w:tcBorders>
              <w:top w:val="nil"/>
              <w:left w:val="nil"/>
              <w:bottom w:val="single" w:color="auto" w:sz="4" w:space="0"/>
              <w:right w:val="nil"/>
            </w:tcBorders>
            <w:shd w:val="clear" w:color="auto" w:fill="auto"/>
            <w:noWrap/>
            <w:vAlign w:val="center"/>
          </w:tcPr>
          <w:p>
            <w:pPr>
              <w:rPr>
                <w:rFonts w:hint="default" w:cs="宋体"/>
                <w:color w:val="000000"/>
                <w:sz w:val="22"/>
                <w:szCs w:val="22"/>
              </w:rPr>
            </w:pPr>
            <w:r>
              <w:rPr>
                <w:rFonts w:cs="宋体"/>
                <w:color w:val="000000"/>
                <w:sz w:val="22"/>
                <w:szCs w:val="22"/>
              </w:rPr>
              <w:t>　</w:t>
            </w:r>
          </w:p>
        </w:tc>
        <w:tc>
          <w:tcPr>
            <w:tcW w:w="0" w:type="auto"/>
            <w:tcBorders>
              <w:top w:val="nil"/>
              <w:left w:val="nil"/>
              <w:bottom w:val="single" w:color="auto" w:sz="4" w:space="0"/>
              <w:right w:val="single" w:color="auto" w:sz="4" w:space="0"/>
            </w:tcBorders>
            <w:shd w:val="clear" w:color="auto" w:fill="auto"/>
            <w:vAlign w:val="center"/>
          </w:tcPr>
          <w:p>
            <w:pPr>
              <w:jc w:val="right"/>
              <w:rPr>
                <w:rFonts w:hint="default" w:cs="宋体"/>
                <w:color w:val="000000"/>
                <w:sz w:val="22"/>
                <w:szCs w:val="22"/>
              </w:rPr>
            </w:pPr>
            <w:r>
              <w:rPr>
                <w:rFonts w:cs="宋体"/>
                <w:color w:val="000000"/>
                <w:sz w:val="22"/>
                <w:szCs w:val="22"/>
              </w:rPr>
              <w:t xml:space="preserve">33,000.00 </w:t>
            </w:r>
          </w:p>
        </w:tc>
        <w:tc>
          <w:tcPr>
            <w:tcW w:w="0" w:type="auto"/>
            <w:tcBorders>
              <w:top w:val="nil"/>
              <w:left w:val="nil"/>
              <w:bottom w:val="single" w:color="auto" w:sz="4" w:space="0"/>
              <w:right w:val="nil"/>
            </w:tcBorders>
            <w:shd w:val="clear" w:color="auto" w:fill="auto"/>
            <w:noWrap/>
            <w:vAlign w:val="center"/>
          </w:tcPr>
          <w:p>
            <w:pPr>
              <w:rPr>
                <w:rFonts w:hint="default" w:cs="宋体"/>
                <w:color w:val="000000"/>
                <w:sz w:val="22"/>
                <w:szCs w:val="22"/>
              </w:rPr>
            </w:pPr>
            <w:r>
              <w:rPr>
                <w:rFonts w:cs="宋体"/>
                <w:color w:val="000000"/>
                <w:sz w:val="22"/>
                <w:szCs w:val="22"/>
              </w:rPr>
              <w:t>　</w:t>
            </w:r>
          </w:p>
        </w:tc>
        <w:tc>
          <w:tcPr>
            <w:tcW w:w="0" w:type="auto"/>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22"/>
                <w:szCs w:val="22"/>
              </w:rPr>
            </w:pPr>
            <w:r>
              <w:rPr>
                <w:rFonts w:cs="宋体"/>
                <w:color w:val="000000"/>
                <w:sz w:val="22"/>
                <w:szCs w:val="22"/>
              </w:rPr>
              <w:t xml:space="preserve">33,000.00 </w:t>
            </w:r>
          </w:p>
        </w:tc>
        <w:tc>
          <w:tcPr>
            <w:tcW w:w="0" w:type="auto"/>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22"/>
                <w:szCs w:val="22"/>
              </w:rPr>
            </w:pPr>
            <w:r>
              <w:rPr>
                <w:rFonts w:cs="宋体"/>
                <w:color w:val="000000"/>
                <w:sz w:val="22"/>
                <w:szCs w:val="22"/>
              </w:rPr>
              <w:t>100</w:t>
            </w:r>
          </w:p>
        </w:tc>
        <w:tc>
          <w:tcPr>
            <w:tcW w:w="0" w:type="auto"/>
            <w:tcBorders>
              <w:top w:val="nil"/>
              <w:left w:val="nil"/>
              <w:bottom w:val="single" w:color="auto" w:sz="4" w:space="0"/>
              <w:right w:val="single" w:color="auto" w:sz="4" w:space="0"/>
            </w:tcBorders>
            <w:shd w:val="clear" w:color="auto" w:fill="auto"/>
            <w:noWrap/>
            <w:vAlign w:val="center"/>
          </w:tcPr>
          <w:p>
            <w:pPr>
              <w:rPr>
                <w:rFonts w:hint="default" w:cs="宋体"/>
                <w:color w:val="000000"/>
                <w:sz w:val="22"/>
                <w:szCs w:val="22"/>
              </w:rPr>
            </w:pPr>
            <w:r>
              <w:rPr>
                <w:rFonts w:cs="宋体"/>
                <w:color w:val="000000"/>
                <w:sz w:val="22"/>
                <w:szCs w:val="22"/>
              </w:rPr>
              <w:t>　</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sz w:val="22"/>
                <w:szCs w:val="22"/>
              </w:rPr>
            </w:pPr>
            <w:r>
              <w:rPr>
                <w:rFonts w:cs="宋体"/>
                <w:sz w:val="22"/>
                <w:szCs w:val="22"/>
              </w:rPr>
              <w:t>　</w:t>
            </w:r>
          </w:p>
        </w:tc>
      </w:tr>
      <w:tr>
        <w:tblPrEx>
          <w:tblCellMar>
            <w:top w:w="0" w:type="dxa"/>
            <w:left w:w="108" w:type="dxa"/>
            <w:bottom w:w="0" w:type="dxa"/>
            <w:right w:w="108" w:type="dxa"/>
          </w:tblCellMar>
        </w:tblPrEx>
        <w:trPr>
          <w:trHeight w:val="600" w:hRule="atLeast"/>
        </w:trPr>
        <w:tc>
          <w:tcPr>
            <w:tcW w:w="0" w:type="auto"/>
            <w:gridSpan w:val="11"/>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default" w:ascii="微软雅黑" w:hAnsi="微软雅黑" w:eastAsia="微软雅黑" w:cs="宋体"/>
                <w:b/>
                <w:bCs/>
                <w:color w:val="7F7F7F"/>
                <w:sz w:val="28"/>
                <w:szCs w:val="28"/>
              </w:rPr>
            </w:pPr>
            <w:r>
              <w:rPr>
                <w:rFonts w:ascii="微软雅黑" w:hAnsi="微软雅黑" w:eastAsia="微软雅黑" w:cs="宋体"/>
                <w:b/>
                <w:bCs/>
                <w:color w:val="7F7F7F"/>
                <w:sz w:val="28"/>
                <w:szCs w:val="28"/>
              </w:rPr>
              <w:t>绩效目标</w:t>
            </w:r>
          </w:p>
        </w:tc>
      </w:tr>
      <w:tr>
        <w:tblPrEx>
          <w:tblCellMar>
            <w:top w:w="0" w:type="dxa"/>
            <w:left w:w="108" w:type="dxa"/>
            <w:bottom w:w="0" w:type="dxa"/>
            <w:right w:w="108" w:type="dxa"/>
          </w:tblCellMar>
        </w:tblPrEx>
        <w:trPr>
          <w:trHeight w:val="499" w:hRule="atLeast"/>
        </w:trPr>
        <w:tc>
          <w:tcPr>
            <w:tcW w:w="0" w:type="auto"/>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default" w:cs="宋体"/>
                <w:b/>
                <w:bCs/>
                <w:color w:val="000000"/>
                <w:sz w:val="22"/>
                <w:szCs w:val="22"/>
              </w:rPr>
            </w:pPr>
            <w:r>
              <w:rPr>
                <w:rFonts w:cs="宋体"/>
                <w:b/>
                <w:bCs/>
                <w:color w:val="000000"/>
                <w:sz w:val="22"/>
                <w:szCs w:val="22"/>
              </w:rPr>
              <w:t>年初绩效目标</w:t>
            </w:r>
          </w:p>
        </w:tc>
        <w:tc>
          <w:tcPr>
            <w:tcW w:w="0" w:type="auto"/>
            <w:gridSpan w:val="4"/>
            <w:tcBorders>
              <w:top w:val="single" w:color="auto" w:sz="4" w:space="0"/>
              <w:left w:val="nil"/>
              <w:bottom w:val="single" w:color="auto" w:sz="4" w:space="0"/>
              <w:right w:val="single" w:color="auto" w:sz="4" w:space="0"/>
            </w:tcBorders>
            <w:shd w:val="clear" w:color="auto" w:fill="auto"/>
            <w:noWrap/>
            <w:vAlign w:val="center"/>
          </w:tcPr>
          <w:p>
            <w:pPr>
              <w:jc w:val="center"/>
              <w:rPr>
                <w:rFonts w:hint="default" w:cs="宋体"/>
                <w:b/>
                <w:bCs/>
                <w:color w:val="000000"/>
                <w:sz w:val="22"/>
                <w:szCs w:val="22"/>
              </w:rPr>
            </w:pPr>
            <w:r>
              <w:rPr>
                <w:rFonts w:cs="宋体"/>
                <w:b/>
                <w:bCs/>
                <w:color w:val="000000"/>
                <w:sz w:val="22"/>
                <w:szCs w:val="22"/>
              </w:rPr>
              <w:t>全年（调整）绩效目标</w:t>
            </w:r>
          </w:p>
        </w:tc>
        <w:tc>
          <w:tcPr>
            <w:tcW w:w="0" w:type="auto"/>
            <w:gridSpan w:val="3"/>
            <w:tcBorders>
              <w:top w:val="single" w:color="auto" w:sz="4" w:space="0"/>
              <w:left w:val="nil"/>
              <w:bottom w:val="single" w:color="auto" w:sz="4" w:space="0"/>
              <w:right w:val="single" w:color="auto" w:sz="4" w:space="0"/>
            </w:tcBorders>
            <w:shd w:val="clear" w:color="auto" w:fill="auto"/>
            <w:noWrap/>
            <w:vAlign w:val="center"/>
          </w:tcPr>
          <w:p>
            <w:pPr>
              <w:jc w:val="center"/>
              <w:rPr>
                <w:rFonts w:hint="default" w:cs="宋体"/>
                <w:b/>
                <w:bCs/>
                <w:color w:val="000000"/>
                <w:sz w:val="22"/>
                <w:szCs w:val="22"/>
              </w:rPr>
            </w:pPr>
            <w:r>
              <w:rPr>
                <w:rFonts w:cs="宋体"/>
                <w:b/>
                <w:bCs/>
                <w:color w:val="000000"/>
                <w:sz w:val="22"/>
                <w:szCs w:val="22"/>
              </w:rPr>
              <w:t>全年目标实际完成情况</w:t>
            </w:r>
          </w:p>
        </w:tc>
      </w:tr>
      <w:tr>
        <w:tblPrEx>
          <w:tblCellMar>
            <w:top w:w="0" w:type="dxa"/>
            <w:left w:w="108" w:type="dxa"/>
            <w:bottom w:w="0" w:type="dxa"/>
            <w:right w:w="108" w:type="dxa"/>
          </w:tblCellMar>
        </w:tblPrEx>
        <w:trPr>
          <w:trHeight w:val="1602" w:hRule="atLeast"/>
        </w:trPr>
        <w:tc>
          <w:tcPr>
            <w:tcW w:w="0" w:type="auto"/>
            <w:gridSpan w:val="4"/>
            <w:tcBorders>
              <w:top w:val="single" w:color="auto" w:sz="4" w:space="0"/>
              <w:left w:val="single" w:color="auto" w:sz="4" w:space="0"/>
              <w:bottom w:val="single" w:color="auto" w:sz="4" w:space="0"/>
              <w:right w:val="single" w:color="auto" w:sz="4" w:space="0"/>
            </w:tcBorders>
            <w:shd w:val="clear" w:color="auto" w:fill="auto"/>
          </w:tcPr>
          <w:p>
            <w:pPr>
              <w:rPr>
                <w:rFonts w:hint="default" w:cs="宋体"/>
                <w:color w:val="000000"/>
                <w:sz w:val="22"/>
                <w:szCs w:val="22"/>
              </w:rPr>
            </w:pPr>
            <w:r>
              <w:rPr>
                <w:rFonts w:cs="宋体"/>
                <w:color w:val="000000"/>
                <w:sz w:val="22"/>
                <w:szCs w:val="22"/>
              </w:rPr>
              <w:t>保障三支一扶人员工资经费</w:t>
            </w:r>
          </w:p>
        </w:tc>
        <w:tc>
          <w:tcPr>
            <w:tcW w:w="0" w:type="auto"/>
            <w:gridSpan w:val="4"/>
            <w:tcBorders>
              <w:top w:val="single" w:color="auto" w:sz="4" w:space="0"/>
              <w:left w:val="nil"/>
              <w:bottom w:val="single" w:color="auto" w:sz="4" w:space="0"/>
              <w:right w:val="single" w:color="auto" w:sz="4" w:space="0"/>
            </w:tcBorders>
            <w:shd w:val="clear" w:color="auto" w:fill="auto"/>
          </w:tcPr>
          <w:p>
            <w:pPr>
              <w:rPr>
                <w:rFonts w:hint="default" w:cs="宋体"/>
                <w:color w:val="000000"/>
                <w:sz w:val="22"/>
                <w:szCs w:val="22"/>
              </w:rPr>
            </w:pPr>
            <w:r>
              <w:rPr>
                <w:rFonts w:cs="宋体"/>
                <w:color w:val="000000"/>
                <w:sz w:val="22"/>
                <w:szCs w:val="22"/>
              </w:rPr>
              <w:t>保障三支一扶人员工资经费</w:t>
            </w:r>
          </w:p>
        </w:tc>
        <w:tc>
          <w:tcPr>
            <w:tcW w:w="0" w:type="auto"/>
            <w:gridSpan w:val="3"/>
            <w:tcBorders>
              <w:top w:val="single" w:color="auto" w:sz="4" w:space="0"/>
              <w:left w:val="nil"/>
              <w:bottom w:val="single" w:color="auto" w:sz="4" w:space="0"/>
              <w:right w:val="single" w:color="auto" w:sz="4" w:space="0"/>
            </w:tcBorders>
            <w:shd w:val="clear" w:color="auto" w:fill="auto"/>
          </w:tcPr>
          <w:p>
            <w:pPr>
              <w:rPr>
                <w:rFonts w:hint="default" w:cs="宋体"/>
                <w:color w:val="000000"/>
                <w:sz w:val="22"/>
                <w:szCs w:val="22"/>
              </w:rPr>
            </w:pPr>
            <w:r>
              <w:rPr>
                <w:rFonts w:cs="宋体"/>
                <w:color w:val="000000"/>
                <w:sz w:val="22"/>
                <w:szCs w:val="22"/>
              </w:rPr>
              <w:t>已完成</w:t>
            </w:r>
          </w:p>
        </w:tc>
      </w:tr>
      <w:tr>
        <w:tblPrEx>
          <w:tblCellMar>
            <w:top w:w="0" w:type="dxa"/>
            <w:left w:w="108" w:type="dxa"/>
            <w:bottom w:w="0" w:type="dxa"/>
            <w:right w:w="108" w:type="dxa"/>
          </w:tblCellMar>
        </w:tblPrEx>
        <w:trPr>
          <w:trHeight w:val="600" w:hRule="atLeast"/>
        </w:trPr>
        <w:tc>
          <w:tcPr>
            <w:tcW w:w="0" w:type="auto"/>
            <w:gridSpan w:val="11"/>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default" w:ascii="微软雅黑" w:hAnsi="微软雅黑" w:eastAsia="微软雅黑" w:cs="宋体"/>
                <w:b/>
                <w:bCs/>
                <w:color w:val="7F7F7F"/>
                <w:sz w:val="28"/>
                <w:szCs w:val="28"/>
              </w:rPr>
            </w:pPr>
            <w:r>
              <w:rPr>
                <w:rFonts w:ascii="微软雅黑" w:hAnsi="微软雅黑" w:eastAsia="微软雅黑" w:cs="宋体"/>
                <w:b/>
                <w:bCs/>
                <w:color w:val="7F7F7F"/>
                <w:sz w:val="28"/>
                <w:szCs w:val="28"/>
              </w:rPr>
              <w:t>绩效指标</w:t>
            </w:r>
          </w:p>
        </w:tc>
      </w:tr>
      <w:tr>
        <w:tblPrEx>
          <w:tblCellMar>
            <w:top w:w="0" w:type="dxa"/>
            <w:left w:w="108" w:type="dxa"/>
            <w:bottom w:w="0" w:type="dxa"/>
            <w:right w:w="108" w:type="dxa"/>
          </w:tblCellMar>
        </w:tblPrEx>
        <w:trPr>
          <w:trHeight w:val="499"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pPr>
              <w:jc w:val="center"/>
              <w:rPr>
                <w:rFonts w:hint="default" w:cs="宋体"/>
                <w:b/>
                <w:bCs/>
                <w:color w:val="000000"/>
                <w:sz w:val="22"/>
                <w:szCs w:val="22"/>
              </w:rPr>
            </w:pPr>
            <w:r>
              <w:rPr>
                <w:rFonts w:cs="宋体"/>
                <w:b/>
                <w:bCs/>
                <w:color w:val="000000"/>
                <w:sz w:val="22"/>
                <w:szCs w:val="22"/>
              </w:rPr>
              <w:t>指标名称</w:t>
            </w:r>
          </w:p>
        </w:tc>
        <w:tc>
          <w:tcPr>
            <w:tcW w:w="0" w:type="auto"/>
            <w:tcBorders>
              <w:top w:val="nil"/>
              <w:left w:val="nil"/>
              <w:bottom w:val="single" w:color="auto" w:sz="4" w:space="0"/>
              <w:right w:val="single" w:color="auto" w:sz="4" w:space="0"/>
            </w:tcBorders>
            <w:shd w:val="clear" w:color="auto" w:fill="auto"/>
            <w:noWrap/>
            <w:vAlign w:val="center"/>
          </w:tcPr>
          <w:p>
            <w:pPr>
              <w:jc w:val="center"/>
              <w:rPr>
                <w:rFonts w:hint="default" w:cs="宋体"/>
                <w:b/>
                <w:bCs/>
                <w:color w:val="000000"/>
                <w:sz w:val="22"/>
                <w:szCs w:val="22"/>
              </w:rPr>
            </w:pPr>
            <w:r>
              <w:rPr>
                <w:rFonts w:cs="宋体"/>
                <w:b/>
                <w:bCs/>
                <w:color w:val="000000"/>
                <w:sz w:val="22"/>
                <w:szCs w:val="22"/>
              </w:rPr>
              <w:t>计量单位</w:t>
            </w:r>
          </w:p>
        </w:tc>
        <w:tc>
          <w:tcPr>
            <w:tcW w:w="0" w:type="auto"/>
            <w:tcBorders>
              <w:top w:val="nil"/>
              <w:left w:val="nil"/>
              <w:bottom w:val="single" w:color="auto" w:sz="4" w:space="0"/>
              <w:right w:val="single" w:color="auto" w:sz="4" w:space="0"/>
            </w:tcBorders>
            <w:shd w:val="clear" w:color="auto" w:fill="auto"/>
            <w:noWrap/>
            <w:vAlign w:val="center"/>
          </w:tcPr>
          <w:p>
            <w:pPr>
              <w:jc w:val="center"/>
              <w:rPr>
                <w:rFonts w:hint="default" w:cs="宋体"/>
                <w:b/>
                <w:bCs/>
                <w:color w:val="000000"/>
                <w:sz w:val="22"/>
                <w:szCs w:val="22"/>
              </w:rPr>
            </w:pPr>
            <w:r>
              <w:rPr>
                <w:rFonts w:cs="宋体"/>
                <w:b/>
                <w:bCs/>
                <w:color w:val="000000"/>
                <w:sz w:val="22"/>
                <w:szCs w:val="22"/>
              </w:rPr>
              <w:t>指标性质</w:t>
            </w:r>
          </w:p>
        </w:tc>
        <w:tc>
          <w:tcPr>
            <w:tcW w:w="0" w:type="auto"/>
            <w:tcBorders>
              <w:top w:val="nil"/>
              <w:left w:val="nil"/>
              <w:bottom w:val="single" w:color="auto" w:sz="4" w:space="0"/>
              <w:right w:val="single" w:color="auto" w:sz="4" w:space="0"/>
            </w:tcBorders>
            <w:shd w:val="clear" w:color="auto" w:fill="auto"/>
            <w:noWrap/>
            <w:vAlign w:val="center"/>
          </w:tcPr>
          <w:p>
            <w:pPr>
              <w:jc w:val="center"/>
              <w:rPr>
                <w:rFonts w:hint="default" w:cs="宋体"/>
                <w:b/>
                <w:bCs/>
                <w:color w:val="000000"/>
                <w:sz w:val="22"/>
                <w:szCs w:val="22"/>
              </w:rPr>
            </w:pPr>
            <w:r>
              <w:rPr>
                <w:rFonts w:cs="宋体"/>
                <w:b/>
                <w:bCs/>
                <w:color w:val="000000"/>
                <w:sz w:val="22"/>
                <w:szCs w:val="22"/>
              </w:rPr>
              <w:t>指标值</w:t>
            </w:r>
          </w:p>
        </w:tc>
        <w:tc>
          <w:tcPr>
            <w:tcW w:w="0" w:type="auto"/>
            <w:tcBorders>
              <w:top w:val="nil"/>
              <w:left w:val="nil"/>
              <w:bottom w:val="single" w:color="auto" w:sz="4" w:space="0"/>
              <w:right w:val="single" w:color="auto" w:sz="4" w:space="0"/>
            </w:tcBorders>
            <w:shd w:val="clear" w:color="auto" w:fill="auto"/>
            <w:noWrap/>
            <w:vAlign w:val="center"/>
          </w:tcPr>
          <w:p>
            <w:pPr>
              <w:jc w:val="center"/>
              <w:rPr>
                <w:rFonts w:hint="default" w:cs="宋体"/>
                <w:b/>
                <w:bCs/>
                <w:color w:val="000000"/>
                <w:sz w:val="22"/>
                <w:szCs w:val="22"/>
              </w:rPr>
            </w:pPr>
            <w:r>
              <w:rPr>
                <w:rFonts w:cs="宋体"/>
                <w:b/>
                <w:bCs/>
                <w:color w:val="000000"/>
                <w:sz w:val="22"/>
                <w:szCs w:val="22"/>
              </w:rPr>
              <w:t>全年完成值</w:t>
            </w:r>
          </w:p>
        </w:tc>
        <w:tc>
          <w:tcPr>
            <w:tcW w:w="0" w:type="auto"/>
            <w:tcBorders>
              <w:top w:val="nil"/>
              <w:left w:val="nil"/>
              <w:bottom w:val="single" w:color="auto" w:sz="4" w:space="0"/>
              <w:right w:val="single" w:color="auto" w:sz="4" w:space="0"/>
            </w:tcBorders>
            <w:shd w:val="clear" w:color="auto" w:fill="auto"/>
            <w:noWrap/>
            <w:vAlign w:val="center"/>
          </w:tcPr>
          <w:p>
            <w:pPr>
              <w:jc w:val="center"/>
              <w:rPr>
                <w:rFonts w:hint="default" w:cs="宋体"/>
                <w:b/>
                <w:bCs/>
                <w:color w:val="000000"/>
                <w:sz w:val="22"/>
                <w:szCs w:val="22"/>
              </w:rPr>
            </w:pPr>
            <w:r>
              <w:rPr>
                <w:rFonts w:cs="宋体"/>
                <w:b/>
                <w:bCs/>
                <w:color w:val="000000"/>
                <w:sz w:val="22"/>
                <w:szCs w:val="22"/>
              </w:rPr>
              <w:t>偏离度（%）</w:t>
            </w:r>
          </w:p>
        </w:tc>
        <w:tc>
          <w:tcPr>
            <w:tcW w:w="0" w:type="auto"/>
            <w:tcBorders>
              <w:top w:val="nil"/>
              <w:left w:val="nil"/>
              <w:bottom w:val="single" w:color="auto" w:sz="4" w:space="0"/>
              <w:right w:val="single" w:color="auto" w:sz="4" w:space="0"/>
            </w:tcBorders>
            <w:shd w:val="clear" w:color="auto" w:fill="auto"/>
            <w:noWrap/>
            <w:vAlign w:val="center"/>
          </w:tcPr>
          <w:p>
            <w:pPr>
              <w:jc w:val="center"/>
              <w:rPr>
                <w:rFonts w:hint="default" w:cs="宋体"/>
                <w:b/>
                <w:bCs/>
                <w:color w:val="000000"/>
                <w:sz w:val="22"/>
                <w:szCs w:val="22"/>
              </w:rPr>
            </w:pPr>
            <w:r>
              <w:rPr>
                <w:rFonts w:cs="宋体"/>
                <w:b/>
                <w:bCs/>
                <w:color w:val="000000"/>
                <w:sz w:val="22"/>
                <w:szCs w:val="22"/>
              </w:rPr>
              <w:t>得分系数（%）</w:t>
            </w:r>
          </w:p>
        </w:tc>
        <w:tc>
          <w:tcPr>
            <w:tcW w:w="0" w:type="auto"/>
            <w:tcBorders>
              <w:top w:val="nil"/>
              <w:left w:val="nil"/>
              <w:bottom w:val="single" w:color="auto" w:sz="4" w:space="0"/>
              <w:right w:val="single" w:color="auto" w:sz="4" w:space="0"/>
            </w:tcBorders>
            <w:shd w:val="clear" w:color="auto" w:fill="auto"/>
            <w:noWrap/>
            <w:vAlign w:val="center"/>
          </w:tcPr>
          <w:p>
            <w:pPr>
              <w:jc w:val="center"/>
              <w:rPr>
                <w:rFonts w:hint="default" w:cs="宋体"/>
                <w:b/>
                <w:bCs/>
                <w:color w:val="000000"/>
                <w:sz w:val="22"/>
                <w:szCs w:val="22"/>
              </w:rPr>
            </w:pPr>
            <w:r>
              <w:rPr>
                <w:rFonts w:cs="宋体"/>
                <w:b/>
                <w:bCs/>
                <w:color w:val="000000"/>
                <w:sz w:val="22"/>
                <w:szCs w:val="22"/>
              </w:rPr>
              <w:t>指标权重</w:t>
            </w:r>
          </w:p>
        </w:tc>
        <w:tc>
          <w:tcPr>
            <w:tcW w:w="0" w:type="auto"/>
            <w:tcBorders>
              <w:top w:val="nil"/>
              <w:left w:val="nil"/>
              <w:bottom w:val="single" w:color="auto" w:sz="4" w:space="0"/>
              <w:right w:val="single" w:color="auto" w:sz="4" w:space="0"/>
            </w:tcBorders>
            <w:shd w:val="clear" w:color="auto" w:fill="auto"/>
            <w:noWrap/>
            <w:vAlign w:val="center"/>
          </w:tcPr>
          <w:p>
            <w:pPr>
              <w:jc w:val="center"/>
              <w:rPr>
                <w:rFonts w:hint="default" w:cs="宋体"/>
                <w:b/>
                <w:bCs/>
                <w:color w:val="000000"/>
                <w:sz w:val="22"/>
                <w:szCs w:val="22"/>
              </w:rPr>
            </w:pPr>
            <w:r>
              <w:rPr>
                <w:rFonts w:cs="宋体"/>
                <w:b/>
                <w:bCs/>
                <w:color w:val="000000"/>
                <w:sz w:val="22"/>
                <w:szCs w:val="22"/>
              </w:rPr>
              <w:t>指标得分</w:t>
            </w:r>
          </w:p>
        </w:tc>
        <w:tc>
          <w:tcPr>
            <w:tcW w:w="0" w:type="auto"/>
            <w:tcBorders>
              <w:top w:val="nil"/>
              <w:left w:val="nil"/>
              <w:bottom w:val="single" w:color="auto" w:sz="4" w:space="0"/>
              <w:right w:val="single" w:color="auto" w:sz="4" w:space="0"/>
            </w:tcBorders>
            <w:shd w:val="clear" w:color="auto" w:fill="auto"/>
            <w:noWrap/>
            <w:vAlign w:val="center"/>
          </w:tcPr>
          <w:p>
            <w:pPr>
              <w:jc w:val="center"/>
              <w:rPr>
                <w:rFonts w:hint="default" w:cs="宋体"/>
                <w:b/>
                <w:bCs/>
                <w:color w:val="000000"/>
                <w:sz w:val="22"/>
                <w:szCs w:val="22"/>
              </w:rPr>
            </w:pPr>
            <w:r>
              <w:rPr>
                <w:rFonts w:cs="宋体"/>
                <w:b/>
                <w:bCs/>
                <w:color w:val="000000"/>
                <w:sz w:val="22"/>
                <w:szCs w:val="22"/>
              </w:rPr>
              <w:t>是否核心指标</w:t>
            </w:r>
          </w:p>
        </w:tc>
        <w:tc>
          <w:tcPr>
            <w:tcW w:w="0" w:type="auto"/>
            <w:tcBorders>
              <w:top w:val="nil"/>
              <w:left w:val="nil"/>
              <w:bottom w:val="single" w:color="auto" w:sz="4" w:space="0"/>
              <w:right w:val="single" w:color="auto" w:sz="4" w:space="0"/>
            </w:tcBorders>
            <w:shd w:val="clear" w:color="auto" w:fill="auto"/>
            <w:noWrap/>
            <w:vAlign w:val="center"/>
          </w:tcPr>
          <w:p>
            <w:pPr>
              <w:jc w:val="center"/>
              <w:rPr>
                <w:rFonts w:hint="default" w:cs="宋体"/>
                <w:b/>
                <w:bCs/>
                <w:color w:val="000000"/>
                <w:sz w:val="22"/>
                <w:szCs w:val="22"/>
              </w:rPr>
            </w:pPr>
            <w:r>
              <w:rPr>
                <w:rFonts w:cs="宋体"/>
                <w:b/>
                <w:bCs/>
                <w:color w:val="000000"/>
                <w:sz w:val="22"/>
                <w:szCs w:val="22"/>
              </w:rPr>
              <w:t>说明</w:t>
            </w:r>
          </w:p>
        </w:tc>
      </w:tr>
      <w:tr>
        <w:tblPrEx>
          <w:tblCellMar>
            <w:top w:w="0" w:type="dxa"/>
            <w:left w:w="108" w:type="dxa"/>
            <w:bottom w:w="0" w:type="dxa"/>
            <w:right w:w="108" w:type="dxa"/>
          </w:tblCellMar>
        </w:tblPrEx>
        <w:trPr>
          <w:trHeight w:val="499"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三支一扶人员数量</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人</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1</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1</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0</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100</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20</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20</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　</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　</w:t>
            </w:r>
          </w:p>
        </w:tc>
      </w:tr>
      <w:tr>
        <w:tblPrEx>
          <w:tblCellMar>
            <w:top w:w="0" w:type="dxa"/>
            <w:left w:w="108" w:type="dxa"/>
            <w:bottom w:w="0" w:type="dxa"/>
            <w:right w:w="108" w:type="dxa"/>
          </w:tblCellMar>
        </w:tblPrEx>
        <w:trPr>
          <w:trHeight w:val="499"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经费发放及时性</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100</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100</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0</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100</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20</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20</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　</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　</w:t>
            </w:r>
          </w:p>
        </w:tc>
      </w:tr>
      <w:tr>
        <w:tblPrEx>
          <w:tblCellMar>
            <w:top w:w="0" w:type="dxa"/>
            <w:left w:w="108" w:type="dxa"/>
            <w:bottom w:w="0" w:type="dxa"/>
            <w:right w:w="108" w:type="dxa"/>
          </w:tblCellMar>
        </w:tblPrEx>
        <w:trPr>
          <w:trHeight w:val="499"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保障三支一扶人员工作</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　</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定性</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好</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1</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0</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100</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20</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20</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　</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　</w:t>
            </w:r>
          </w:p>
        </w:tc>
      </w:tr>
      <w:tr>
        <w:tblPrEx>
          <w:tblCellMar>
            <w:top w:w="0" w:type="dxa"/>
            <w:left w:w="108" w:type="dxa"/>
            <w:bottom w:w="0" w:type="dxa"/>
            <w:right w:w="108" w:type="dxa"/>
          </w:tblCellMar>
        </w:tblPrEx>
        <w:trPr>
          <w:trHeight w:val="499"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服务对象满意度</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97</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97</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0</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100</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10</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10</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　</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　</w:t>
            </w:r>
          </w:p>
        </w:tc>
      </w:tr>
      <w:tr>
        <w:tblPrEx>
          <w:tblCellMar>
            <w:top w:w="0" w:type="dxa"/>
            <w:left w:w="108" w:type="dxa"/>
            <w:bottom w:w="0" w:type="dxa"/>
            <w:right w:w="108" w:type="dxa"/>
          </w:tblCellMar>
        </w:tblPrEx>
        <w:trPr>
          <w:trHeight w:val="499"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工作经费</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万元</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3.3</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3.3</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0</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100</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20</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20</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　</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　</w:t>
            </w:r>
          </w:p>
        </w:tc>
      </w:tr>
    </w:tbl>
    <w:p>
      <w:pPr>
        <w:pStyle w:val="14"/>
        <w:spacing w:before="0" w:beforeAutospacing="0" w:after="0" w:afterAutospacing="0" w:line="600" w:lineRule="exact"/>
        <w:ind w:firstLine="643" w:firstLineChars="200"/>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（二）单位绩效评价情况</w:t>
      </w:r>
    </w:p>
    <w:p>
      <w:pPr>
        <w:pStyle w:val="14"/>
        <w:spacing w:before="0" w:beforeAutospacing="0" w:after="0" w:afterAutospacing="0" w:line="600" w:lineRule="exact"/>
        <w:ind w:firstLine="640" w:firstLineChars="200"/>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我单位未组织开展绩效评价。</w:t>
      </w:r>
    </w:p>
    <w:p>
      <w:pPr>
        <w:pStyle w:val="14"/>
        <w:spacing w:before="0" w:beforeAutospacing="0" w:after="0" w:afterAutospacing="0" w:line="600" w:lineRule="exact"/>
        <w:ind w:firstLine="643" w:firstLineChars="200"/>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（三）财政绩效评价情况</w:t>
      </w:r>
    </w:p>
    <w:p>
      <w:pPr>
        <w:pStyle w:val="14"/>
        <w:spacing w:before="0" w:beforeAutospacing="0" w:after="0" w:afterAutospacing="0" w:line="600" w:lineRule="exact"/>
        <w:ind w:firstLine="640" w:firstLineChars="200"/>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县财政局未委托第三方对我单位开展绩效评价。</w:t>
      </w:r>
    </w:p>
    <w:p>
      <w:pPr>
        <w:pStyle w:val="14"/>
        <w:spacing w:before="0" w:beforeAutospacing="0" w:after="0" w:afterAutospacing="0" w:line="600" w:lineRule="exact"/>
        <w:ind w:firstLine="643" w:firstLineChars="200"/>
        <w:rPr>
          <w:rStyle w:val="11"/>
          <w:rFonts w:ascii="黑体" w:hAnsi="黑体" w:eastAsia="黑体" w:cs="黑体"/>
          <w:sz w:val="32"/>
          <w:szCs w:val="32"/>
          <w:shd w:val="clear" w:color="auto" w:fill="FFFFFF"/>
        </w:rPr>
      </w:pPr>
      <w:r>
        <w:rPr>
          <w:rStyle w:val="11"/>
          <w:rFonts w:ascii="黑体" w:hAnsi="黑体" w:eastAsia="黑体" w:cs="黑体"/>
          <w:sz w:val="32"/>
          <w:szCs w:val="32"/>
          <w:shd w:val="clear" w:color="auto" w:fill="FFFFFF"/>
        </w:rPr>
        <w:t>六、专业名词解释</w:t>
      </w:r>
    </w:p>
    <w:p>
      <w:pPr>
        <w:pStyle w:val="14"/>
        <w:spacing w:before="0" w:beforeAutospacing="0" w:after="0" w:afterAutospacing="0" w:line="600" w:lineRule="exact"/>
        <w:ind w:firstLine="643" w:firstLineChars="200"/>
        <w:rPr>
          <w:rFonts w:ascii="方正仿宋_GBK" w:hAnsi="方正仿宋_GBK" w:eastAsia="方正仿宋_GBK" w:cs="方正仿宋_GBK"/>
          <w:sz w:val="32"/>
          <w:szCs w:val="32"/>
          <w:shd w:val="clear" w:color="auto" w:fill="FFFFFF"/>
        </w:rPr>
      </w:pPr>
      <w:r>
        <w:rPr>
          <w:rFonts w:ascii="楷体" w:hAnsi="楷体" w:eastAsia="楷体" w:cs="楷体"/>
          <w:b/>
          <w:bCs/>
          <w:sz w:val="32"/>
          <w:szCs w:val="32"/>
          <w:shd w:val="clear" w:color="auto" w:fill="FFFFFF"/>
        </w:rPr>
        <w:t>（一）财政拨款收入：</w:t>
      </w:r>
      <w:r>
        <w:rPr>
          <w:rFonts w:ascii="方正仿宋_GBK" w:hAnsi="方正仿宋_GBK" w:eastAsia="方正仿宋_GBK" w:cs="方正仿宋_GBK"/>
          <w:sz w:val="32"/>
          <w:szCs w:val="32"/>
          <w:shd w:val="clear" w:color="auto" w:fill="FFFFFF"/>
        </w:rPr>
        <w:t>指本年度从本级财政部门取得的财政拨款，包括一般公共预算财政拨款和政府性基金预算财政拨款。</w:t>
      </w:r>
    </w:p>
    <w:p>
      <w:pPr>
        <w:pStyle w:val="14"/>
        <w:spacing w:before="0" w:beforeAutospacing="0" w:after="0" w:afterAutospacing="0" w:line="600" w:lineRule="exact"/>
        <w:ind w:firstLine="643" w:firstLineChars="200"/>
        <w:rPr>
          <w:rFonts w:ascii="方正仿宋_GBK" w:hAnsi="方正仿宋_GBK" w:eastAsia="方正仿宋_GBK" w:cs="方正仿宋_GBK"/>
          <w:sz w:val="32"/>
          <w:szCs w:val="32"/>
          <w:shd w:val="clear" w:color="auto" w:fill="FFFFFF"/>
        </w:rPr>
      </w:pPr>
      <w:r>
        <w:rPr>
          <w:rStyle w:val="11"/>
          <w:rFonts w:ascii="楷体" w:hAnsi="楷体" w:eastAsia="楷体" w:cs="楷体"/>
          <w:sz w:val="32"/>
          <w:szCs w:val="32"/>
          <w:shd w:val="clear" w:color="auto" w:fill="FFFFFF"/>
        </w:rPr>
        <w:t>（二）事业收入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指事业单位开展专业业务活动及其辅助活动取得的现金流入；事业单位收到的财政专户实际核拨的教育收费等资金在此反映。</w:t>
      </w:r>
    </w:p>
    <w:p>
      <w:pPr>
        <w:pStyle w:val="14"/>
        <w:spacing w:before="0" w:beforeAutospacing="0" w:after="0" w:afterAutospacing="0" w:line="600" w:lineRule="exact"/>
        <w:ind w:firstLine="643" w:firstLineChars="200"/>
        <w:rPr>
          <w:rFonts w:ascii="方正仿宋_GBK" w:hAnsi="方正仿宋_GBK" w:eastAsia="方正仿宋_GBK" w:cs="方正仿宋_GBK"/>
          <w:sz w:val="32"/>
          <w:szCs w:val="32"/>
          <w:shd w:val="clear" w:color="auto" w:fill="FFFFFF"/>
        </w:rPr>
      </w:pPr>
      <w:r>
        <w:rPr>
          <w:rStyle w:val="11"/>
          <w:rFonts w:ascii="楷体" w:hAnsi="楷体" w:eastAsia="楷体" w:cs="楷体"/>
          <w:sz w:val="32"/>
          <w:szCs w:val="32"/>
          <w:shd w:val="clear" w:color="auto" w:fill="FFFFFF"/>
        </w:rPr>
        <w:t>（三）经营收入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指事业单位在专业业务活动及其辅助活动之外开展非独立核算经营活动取得的现金流入。</w:t>
      </w:r>
    </w:p>
    <w:p>
      <w:pPr>
        <w:pStyle w:val="14"/>
        <w:spacing w:before="0" w:beforeAutospacing="0" w:after="0" w:afterAutospacing="0" w:line="600" w:lineRule="exact"/>
        <w:ind w:firstLine="643" w:firstLineChars="200"/>
        <w:rPr>
          <w:rFonts w:ascii="方正仿宋_GBK" w:hAnsi="方正仿宋_GBK" w:eastAsia="方正仿宋_GBK" w:cs="方正仿宋_GBK"/>
          <w:sz w:val="32"/>
          <w:szCs w:val="32"/>
          <w:shd w:val="clear" w:color="auto" w:fill="FFFFFF"/>
        </w:rPr>
      </w:pPr>
      <w:r>
        <w:rPr>
          <w:rStyle w:val="11"/>
          <w:rFonts w:ascii="楷体" w:hAnsi="楷体" w:eastAsia="楷体" w:cs="楷体"/>
          <w:sz w:val="32"/>
          <w:szCs w:val="32"/>
          <w:shd w:val="clear" w:color="auto" w:fill="FFFFFF"/>
        </w:rPr>
        <w:t>（四）其他收入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14"/>
        <w:spacing w:before="0" w:beforeAutospacing="0" w:after="0" w:afterAutospacing="0" w:line="600" w:lineRule="exact"/>
        <w:ind w:firstLine="643" w:firstLineChars="200"/>
        <w:rPr>
          <w:rFonts w:ascii="方正仿宋_GBK" w:hAnsi="方正仿宋_GBK" w:eastAsia="方正仿宋_GBK" w:cs="方正仿宋_GBK"/>
          <w:sz w:val="32"/>
          <w:szCs w:val="32"/>
          <w:shd w:val="clear" w:color="auto" w:fill="FFFFFF"/>
        </w:rPr>
      </w:pPr>
      <w:r>
        <w:rPr>
          <w:rStyle w:val="11"/>
          <w:rFonts w:ascii="楷体" w:hAnsi="楷体" w:eastAsia="楷体" w:cs="楷体"/>
          <w:sz w:val="32"/>
          <w:szCs w:val="32"/>
          <w:shd w:val="clear" w:color="auto" w:fill="FFFFFF"/>
        </w:rPr>
        <w:t>（五）使用非财政拨款结余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pPr>
        <w:pStyle w:val="14"/>
        <w:spacing w:before="0" w:beforeAutospacing="0" w:after="0" w:afterAutospacing="0" w:line="600" w:lineRule="exact"/>
        <w:ind w:firstLine="643" w:firstLineChars="200"/>
        <w:rPr>
          <w:rFonts w:ascii="方正仿宋_GBK" w:hAnsi="方正仿宋_GBK" w:eastAsia="方正仿宋_GBK" w:cs="方正仿宋_GBK"/>
          <w:sz w:val="32"/>
          <w:szCs w:val="32"/>
          <w:shd w:val="clear" w:color="auto" w:fill="FFFFFF"/>
        </w:rPr>
      </w:pPr>
      <w:r>
        <w:rPr>
          <w:rStyle w:val="11"/>
          <w:rFonts w:ascii="楷体" w:hAnsi="楷体" w:eastAsia="楷体" w:cs="楷体"/>
          <w:sz w:val="32"/>
          <w:szCs w:val="32"/>
          <w:shd w:val="clear" w:color="auto" w:fill="FFFFFF"/>
        </w:rPr>
        <w:t>（六）年初结转和结余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指单位上年结转本年使用的基本支出结转、项目支出结转和结余、经营结余。</w:t>
      </w:r>
    </w:p>
    <w:p>
      <w:pPr>
        <w:pStyle w:val="14"/>
        <w:spacing w:before="0" w:beforeAutospacing="0" w:after="0" w:afterAutospacing="0" w:line="600" w:lineRule="exact"/>
        <w:ind w:firstLine="643" w:firstLineChars="200"/>
        <w:rPr>
          <w:rFonts w:ascii="方正仿宋_GBK" w:hAnsi="方正仿宋_GBK" w:eastAsia="方正仿宋_GBK" w:cs="方正仿宋_GBK"/>
          <w:sz w:val="32"/>
          <w:szCs w:val="32"/>
          <w:shd w:val="clear" w:color="auto" w:fill="FFFFFF"/>
        </w:rPr>
      </w:pPr>
      <w:r>
        <w:rPr>
          <w:rStyle w:val="11"/>
          <w:rFonts w:ascii="楷体" w:hAnsi="楷体" w:eastAsia="楷体" w:cs="楷体"/>
          <w:sz w:val="32"/>
          <w:szCs w:val="32"/>
          <w:shd w:val="clear" w:color="auto" w:fill="FFFFFF"/>
        </w:rPr>
        <w:t>（七）结余分配</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指单位按照国家有关规定，缴纳所得税、提取专用基金、转入非财政拨款结余等当年结余的分配情况。</w:t>
      </w:r>
    </w:p>
    <w:p>
      <w:pPr>
        <w:pStyle w:val="14"/>
        <w:spacing w:before="0" w:beforeAutospacing="0" w:after="0" w:afterAutospacing="0" w:line="600" w:lineRule="exact"/>
        <w:ind w:firstLine="643" w:firstLineChars="200"/>
        <w:rPr>
          <w:rFonts w:ascii="方正仿宋_GBK" w:hAnsi="方正仿宋_GBK" w:eastAsia="方正仿宋_GBK" w:cs="方正仿宋_GBK"/>
          <w:sz w:val="32"/>
          <w:szCs w:val="32"/>
          <w:shd w:val="clear" w:color="auto" w:fill="FFFFFF"/>
        </w:rPr>
      </w:pPr>
      <w:r>
        <w:rPr>
          <w:rStyle w:val="11"/>
          <w:rFonts w:ascii="楷体" w:hAnsi="楷体" w:eastAsia="楷体" w:cs="楷体"/>
          <w:sz w:val="32"/>
          <w:szCs w:val="32"/>
          <w:shd w:val="clear" w:color="auto" w:fill="FFFFFF"/>
        </w:rPr>
        <w:t>（八）年末结转和结余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指单位结转下年的基本支出结转、项目支出结转和结余、经营结余。</w:t>
      </w:r>
    </w:p>
    <w:p>
      <w:pPr>
        <w:pStyle w:val="14"/>
        <w:spacing w:before="0" w:beforeAutospacing="0" w:after="0" w:afterAutospacing="0" w:line="600" w:lineRule="exact"/>
        <w:ind w:firstLine="643" w:firstLineChars="200"/>
        <w:rPr>
          <w:rFonts w:ascii="方正仿宋_GBK" w:hAnsi="方正仿宋_GBK" w:eastAsia="方正仿宋_GBK" w:cs="方正仿宋_GBK"/>
          <w:sz w:val="32"/>
          <w:szCs w:val="32"/>
          <w:shd w:val="clear" w:color="auto" w:fill="FFFFFF"/>
        </w:rPr>
      </w:pPr>
      <w:r>
        <w:rPr>
          <w:rStyle w:val="11"/>
          <w:rFonts w:ascii="楷体" w:hAnsi="楷体" w:eastAsia="楷体" w:cs="楷体"/>
          <w:sz w:val="32"/>
          <w:szCs w:val="32"/>
          <w:shd w:val="clear" w:color="auto" w:fill="FFFFFF"/>
        </w:rPr>
        <w:t>（九）基本支出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14"/>
        <w:spacing w:before="0" w:beforeAutospacing="0" w:after="0" w:afterAutospacing="0" w:line="600" w:lineRule="exact"/>
        <w:ind w:firstLine="643" w:firstLineChars="200"/>
        <w:rPr>
          <w:rFonts w:ascii="方正仿宋_GBK" w:hAnsi="方正仿宋_GBK" w:eastAsia="方正仿宋_GBK" w:cs="方正仿宋_GBK"/>
          <w:sz w:val="32"/>
          <w:szCs w:val="32"/>
          <w:shd w:val="clear" w:color="auto" w:fill="FFFFFF"/>
        </w:rPr>
      </w:pPr>
      <w:r>
        <w:rPr>
          <w:rStyle w:val="11"/>
          <w:rFonts w:ascii="楷体" w:hAnsi="楷体" w:eastAsia="楷体" w:cs="楷体"/>
          <w:sz w:val="32"/>
          <w:szCs w:val="32"/>
          <w:shd w:val="clear" w:color="auto" w:fill="FFFFFF"/>
        </w:rPr>
        <w:t>（十）项目支出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指在基本支出之外为完成特定行政任务和事业发展目标所发生的支出。</w:t>
      </w:r>
    </w:p>
    <w:p>
      <w:pPr>
        <w:pStyle w:val="14"/>
        <w:spacing w:before="0" w:beforeAutospacing="0" w:after="0" w:afterAutospacing="0" w:line="600" w:lineRule="exact"/>
        <w:ind w:firstLine="643" w:firstLineChars="200"/>
        <w:rPr>
          <w:rFonts w:ascii="方正仿宋_GBK" w:hAnsi="方正仿宋_GBK" w:eastAsia="方正仿宋_GBK" w:cs="方正仿宋_GBK"/>
          <w:sz w:val="32"/>
          <w:szCs w:val="32"/>
          <w:shd w:val="clear" w:color="auto" w:fill="FFFFFF"/>
        </w:rPr>
      </w:pPr>
      <w:r>
        <w:rPr>
          <w:rStyle w:val="11"/>
          <w:rFonts w:ascii="楷体" w:hAnsi="楷体" w:eastAsia="楷体" w:cs="楷体"/>
          <w:sz w:val="32"/>
          <w:szCs w:val="32"/>
          <w:shd w:val="clear" w:color="auto" w:fill="FFFFFF"/>
        </w:rPr>
        <w:t>（十一）经营支出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指事业单位在专业业务活动及其辅助活动之外开展非独立核算经营活动发生的支出。</w:t>
      </w:r>
    </w:p>
    <w:p>
      <w:pPr>
        <w:pStyle w:val="14"/>
        <w:spacing w:before="0" w:beforeAutospacing="0" w:after="0" w:afterAutospacing="0" w:line="600" w:lineRule="exact"/>
        <w:ind w:firstLine="643" w:firstLineChars="200"/>
        <w:rPr>
          <w:rFonts w:ascii="方正仿宋_GBK" w:hAnsi="方正仿宋_GBK" w:eastAsia="方正仿宋_GBK" w:cs="方正仿宋_GBK"/>
          <w:sz w:val="32"/>
          <w:szCs w:val="32"/>
          <w:shd w:val="clear" w:color="auto" w:fill="FFFFFF"/>
        </w:rPr>
      </w:pPr>
      <w:r>
        <w:rPr>
          <w:rStyle w:val="11"/>
          <w:rFonts w:ascii="楷体" w:hAnsi="楷体" w:eastAsia="楷体" w:cs="楷体"/>
          <w:sz w:val="32"/>
          <w:szCs w:val="32"/>
          <w:shd w:val="clear" w:color="auto" w:fill="FFFFFF"/>
        </w:rPr>
        <w:t>（十二）“三公”经费</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14"/>
        <w:spacing w:before="0" w:beforeAutospacing="0" w:after="0" w:afterAutospacing="0" w:line="600" w:lineRule="exact"/>
        <w:ind w:firstLine="643" w:firstLineChars="200"/>
        <w:rPr>
          <w:rFonts w:ascii="方正仿宋_GBK" w:hAnsi="方正仿宋_GBK" w:eastAsia="方正仿宋_GBK" w:cs="方正仿宋_GBK"/>
          <w:sz w:val="32"/>
          <w:szCs w:val="32"/>
          <w:shd w:val="clear" w:color="auto" w:fill="FFFFFF"/>
        </w:rPr>
      </w:pPr>
      <w:r>
        <w:rPr>
          <w:rStyle w:val="11"/>
          <w:rFonts w:ascii="楷体" w:hAnsi="楷体" w:eastAsia="楷体" w:cs="楷体"/>
          <w:sz w:val="32"/>
          <w:szCs w:val="32"/>
          <w:shd w:val="clear" w:color="auto" w:fill="FFFFFF"/>
        </w:rPr>
        <w:t>（十三）机关运行经费</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14"/>
        <w:spacing w:before="0" w:beforeAutospacing="0" w:after="0" w:afterAutospacing="0" w:line="600" w:lineRule="exact"/>
        <w:ind w:firstLine="643" w:firstLineChars="200"/>
        <w:rPr>
          <w:rFonts w:ascii="方正仿宋_GBK" w:hAnsi="方正仿宋_GBK" w:eastAsia="方正仿宋_GBK" w:cs="方正仿宋_GBK"/>
          <w:sz w:val="32"/>
          <w:szCs w:val="32"/>
          <w:shd w:val="clear" w:color="auto" w:fill="FFFFFF"/>
        </w:rPr>
      </w:pPr>
      <w:r>
        <w:rPr>
          <w:rStyle w:val="11"/>
          <w:rFonts w:ascii="楷体" w:hAnsi="楷体" w:eastAsia="楷体" w:cs="楷体"/>
          <w:sz w:val="32"/>
          <w:szCs w:val="32"/>
          <w:shd w:val="clear" w:color="auto" w:fill="FFFFFF"/>
        </w:rPr>
        <w:t>（十四）工资福利支出（支出经济分类科目类级）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反映单位开支的在职职工和编制外长期聘用人员的各类劳动报酬，以及为上述人员缴纳的各项社会保险费等。</w:t>
      </w:r>
    </w:p>
    <w:p>
      <w:pPr>
        <w:pStyle w:val="14"/>
        <w:spacing w:before="0" w:beforeAutospacing="0" w:after="0" w:afterAutospacing="0" w:line="600" w:lineRule="exact"/>
        <w:ind w:firstLine="643" w:firstLineChars="200"/>
        <w:rPr>
          <w:rFonts w:ascii="方正仿宋_GBK" w:hAnsi="方正仿宋_GBK" w:eastAsia="方正仿宋_GBK" w:cs="方正仿宋_GBK"/>
          <w:sz w:val="32"/>
          <w:szCs w:val="32"/>
          <w:shd w:val="clear" w:color="auto" w:fill="FFFFFF"/>
        </w:rPr>
      </w:pPr>
      <w:r>
        <w:rPr>
          <w:rStyle w:val="11"/>
          <w:rFonts w:ascii="楷体" w:hAnsi="楷体" w:eastAsia="楷体" w:cs="楷体"/>
          <w:sz w:val="32"/>
          <w:szCs w:val="32"/>
          <w:shd w:val="clear" w:color="auto" w:fill="FFFFFF"/>
        </w:rPr>
        <w:t>（十五）商品和服务支出（支出经济分类科目类级）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反映单位购买商品和服务的支出（不包括用于购置固定资产的支出、战略性和应急储备支出）。</w:t>
      </w:r>
    </w:p>
    <w:p>
      <w:pPr>
        <w:pStyle w:val="14"/>
        <w:spacing w:before="0" w:beforeAutospacing="0" w:after="0" w:afterAutospacing="0" w:line="600" w:lineRule="exact"/>
        <w:ind w:firstLine="643" w:firstLineChars="200"/>
        <w:rPr>
          <w:rFonts w:ascii="方正仿宋_GBK" w:hAnsi="方正仿宋_GBK" w:eastAsia="方正仿宋_GBK" w:cs="方正仿宋_GBK"/>
          <w:sz w:val="32"/>
          <w:szCs w:val="32"/>
          <w:shd w:val="clear" w:color="auto" w:fill="FFFFFF"/>
        </w:rPr>
      </w:pPr>
      <w:r>
        <w:rPr>
          <w:rStyle w:val="11"/>
          <w:rFonts w:ascii="楷体" w:hAnsi="楷体" w:eastAsia="楷体" w:cs="楷体"/>
          <w:sz w:val="32"/>
          <w:szCs w:val="32"/>
          <w:shd w:val="clear" w:color="auto" w:fill="FFFFFF"/>
        </w:rPr>
        <w:t>（十六）对个人和家庭的补助（支出经济分类科目类级）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反映用于对个人和家庭的补助支出。</w:t>
      </w:r>
    </w:p>
    <w:p>
      <w:pPr>
        <w:pStyle w:val="14"/>
        <w:spacing w:before="0" w:beforeAutospacing="0" w:after="0" w:afterAutospacing="0" w:line="600" w:lineRule="exact"/>
        <w:ind w:firstLine="643" w:firstLineChars="200"/>
        <w:rPr>
          <w:rFonts w:ascii="方正仿宋_GBK" w:hAnsi="方正仿宋_GBK" w:eastAsia="方正仿宋_GBK" w:cs="方正仿宋_GBK"/>
          <w:sz w:val="32"/>
          <w:szCs w:val="32"/>
          <w:shd w:val="clear" w:color="auto" w:fill="FFFFFF"/>
        </w:rPr>
      </w:pPr>
      <w:r>
        <w:rPr>
          <w:rStyle w:val="11"/>
          <w:rFonts w:ascii="楷体" w:hAnsi="楷体" w:eastAsia="楷体" w:cs="楷体"/>
          <w:sz w:val="32"/>
          <w:szCs w:val="32"/>
          <w:shd w:val="clear" w:color="auto" w:fill="FFFFFF"/>
        </w:rPr>
        <w:t>（十七）其他资本性支出（支出经济分类科目类级）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pPr>
        <w:pStyle w:val="14"/>
        <w:spacing w:before="0" w:beforeAutospacing="0" w:after="0" w:afterAutospacing="0" w:line="600" w:lineRule="exact"/>
        <w:ind w:firstLine="643" w:firstLineChars="200"/>
        <w:rPr>
          <w:rStyle w:val="11"/>
          <w:rFonts w:ascii="黑体" w:hAnsi="黑体" w:eastAsia="黑体" w:cs="黑体"/>
          <w:sz w:val="32"/>
          <w:szCs w:val="32"/>
          <w:shd w:val="clear" w:color="auto" w:fill="FFFFFF"/>
        </w:rPr>
      </w:pPr>
      <w:r>
        <w:rPr>
          <w:rStyle w:val="11"/>
          <w:rFonts w:ascii="黑体" w:hAnsi="黑体" w:eastAsia="黑体" w:cs="黑体"/>
          <w:sz w:val="32"/>
          <w:szCs w:val="32"/>
          <w:shd w:val="clear" w:color="auto" w:fill="FFFFFF"/>
        </w:rPr>
        <w:t>七、决算公开联系方式及信息反馈渠道</w:t>
      </w:r>
    </w:p>
    <w:p>
      <w:pPr>
        <w:pStyle w:val="14"/>
        <w:spacing w:before="0" w:beforeAutospacing="0" w:after="0" w:afterAutospacing="0" w:line="600" w:lineRule="exact"/>
        <w:ind w:firstLine="640" w:firstLineChars="200"/>
        <w:rPr>
          <w:rStyle w:val="11"/>
          <w:rFonts w:ascii="方正仿宋_GBK" w:hAnsi="方正仿宋_GBK" w:eastAsia="方正仿宋_GBK" w:cs="方正仿宋_GBK"/>
          <w:b w:val="0"/>
          <w:sz w:val="32"/>
          <w:szCs w:val="32"/>
          <w:shd w:val="clear" w:color="auto" w:fill="FFFFFF"/>
        </w:rPr>
      </w:pPr>
      <w:r>
        <w:rPr>
          <w:rFonts w:hint="eastAsia" w:ascii="方正仿宋_GBK" w:hAnsi="方正仿宋_GBK" w:eastAsia="方正仿宋_GBK" w:cs="方正仿宋_GBK"/>
          <w:sz w:val="32"/>
          <w:szCs w:val="32"/>
          <w:shd w:val="clear" w:color="auto" w:fill="FFFFFF"/>
        </w:rPr>
        <w:t>本部门</w:t>
      </w:r>
      <w:r>
        <w:rPr>
          <w:rFonts w:ascii="方正仿宋_GBK" w:hAnsi="方正仿宋_GBK" w:eastAsia="方正仿宋_GBK" w:cs="方正仿宋_GBK"/>
          <w:sz w:val="32"/>
          <w:szCs w:val="32"/>
          <w:shd w:val="clear" w:color="auto" w:fill="FFFFFF"/>
        </w:rPr>
        <w:t>决算公开信息反馈和联系方式：023-74562700。</w:t>
      </w:r>
    </w:p>
    <w:p>
      <w:pPr>
        <w:pStyle w:val="13"/>
        <w:autoSpaceDE w:val="0"/>
        <w:spacing w:line="600" w:lineRule="exact"/>
        <w:ind w:firstLine="0" w:firstLineChars="0"/>
        <w:rPr>
          <w:rStyle w:val="11"/>
          <w:rFonts w:ascii="方正仿宋_GBK" w:hAnsi="方正仿宋_GBK" w:eastAsia="方正仿宋_GBK" w:cs="方正仿宋_GBK"/>
          <w:sz w:val="32"/>
          <w:szCs w:val="32"/>
          <w:shd w:val="clear" w:color="auto" w:fill="FFFF00"/>
        </w:rPr>
        <w:sectPr>
          <w:footerReference r:id="rId3" w:type="default"/>
          <w:pgSz w:w="11915" w:h="16840"/>
          <w:pgMar w:top="1440" w:right="1800" w:bottom="1440" w:left="1800" w:header="851" w:footer="992" w:gutter="0"/>
          <w:pgNumType w:fmt="numberInDash"/>
          <w:cols w:space="720" w:num="1"/>
          <w:docGrid w:type="lines" w:linePitch="312" w:charSpace="0"/>
        </w:sectPr>
      </w:pPr>
    </w:p>
    <w:p>
      <w:pPr>
        <w:rPr>
          <w:rFonts w:hint="default" w:cs="宋体"/>
          <w:sz w:val="21"/>
          <w:szCs w:val="21"/>
        </w:rPr>
      </w:pPr>
    </w:p>
    <w:tbl>
      <w:tblPr>
        <w:tblStyle w:val="8"/>
        <w:tblW w:w="22292" w:type="dxa"/>
        <w:tblInd w:w="0" w:type="dxa"/>
        <w:tblLayout w:type="fixed"/>
        <w:tblCellMar>
          <w:top w:w="0" w:type="dxa"/>
          <w:left w:w="0" w:type="dxa"/>
          <w:bottom w:w="0" w:type="dxa"/>
          <w:right w:w="0" w:type="dxa"/>
        </w:tblCellMar>
      </w:tblPr>
      <w:tblGrid>
        <w:gridCol w:w="6581"/>
        <w:gridCol w:w="4358"/>
        <w:gridCol w:w="7536"/>
        <w:gridCol w:w="3817"/>
      </w:tblGrid>
      <w:tr>
        <w:tblPrEx>
          <w:tblCellMar>
            <w:top w:w="0" w:type="dxa"/>
            <w:left w:w="0" w:type="dxa"/>
            <w:bottom w:w="0" w:type="dxa"/>
            <w:right w:w="0" w:type="dxa"/>
          </w:tblCellMar>
        </w:tblPrEx>
        <w:trPr>
          <w:trHeight w:val="565" w:hRule="atLeast"/>
        </w:trPr>
        <w:tc>
          <w:tcPr>
            <w:tcW w:w="22292" w:type="dxa"/>
            <w:gridSpan w:val="4"/>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40"/>
                <w:szCs w:val="40"/>
              </w:rPr>
            </w:pPr>
            <w:r>
              <w:rPr>
                <w:rFonts w:cs="宋体"/>
                <w:b/>
                <w:color w:val="000000"/>
                <w:sz w:val="44"/>
                <w:szCs w:val="44"/>
              </w:rPr>
              <w:t>收入支出决算总表</w:t>
            </w:r>
          </w:p>
        </w:tc>
      </w:tr>
      <w:tr>
        <w:tblPrEx>
          <w:tblCellMar>
            <w:top w:w="0" w:type="dxa"/>
            <w:left w:w="0" w:type="dxa"/>
            <w:bottom w:w="0" w:type="dxa"/>
            <w:right w:w="0" w:type="dxa"/>
          </w:tblCellMar>
        </w:tblPrEx>
        <w:trPr>
          <w:trHeight w:val="289" w:hRule="atLeast"/>
        </w:trPr>
        <w:tc>
          <w:tcPr>
            <w:tcW w:w="6581"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4358" w:type="dxa"/>
            <w:tcBorders>
              <w:top w:val="nil"/>
              <w:left w:val="nil"/>
              <w:bottom w:val="nil"/>
              <w:right w:val="nil"/>
            </w:tcBorders>
            <w:shd w:val="clear" w:color="auto" w:fill="auto"/>
            <w:noWrap/>
            <w:tcMar>
              <w:top w:w="15" w:type="dxa"/>
              <w:left w:w="15" w:type="dxa"/>
              <w:right w:w="15" w:type="dxa"/>
            </w:tcMar>
            <w:vAlign w:val="bottom"/>
          </w:tcPr>
          <w:p>
            <w:pPr>
              <w:jc w:val="right"/>
              <w:rPr>
                <w:rFonts w:hint="default" w:ascii="Arial" w:hAnsi="Arial" w:cs="Arial"/>
                <w:color w:val="000000"/>
                <w:sz w:val="20"/>
                <w:szCs w:val="20"/>
              </w:rPr>
            </w:pPr>
          </w:p>
        </w:tc>
        <w:tc>
          <w:tcPr>
            <w:tcW w:w="7536"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3817"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rPr>
            </w:pPr>
            <w:r>
              <w:rPr>
                <w:rFonts w:cs="宋体"/>
                <w:color w:val="000000"/>
              </w:rPr>
              <w:t>公开01表</w:t>
            </w:r>
          </w:p>
        </w:tc>
      </w:tr>
      <w:tr>
        <w:tblPrEx>
          <w:tblCellMar>
            <w:top w:w="0" w:type="dxa"/>
            <w:left w:w="0" w:type="dxa"/>
            <w:bottom w:w="0" w:type="dxa"/>
            <w:right w:w="0" w:type="dxa"/>
          </w:tblCellMar>
        </w:tblPrEx>
        <w:trPr>
          <w:trHeight w:val="289" w:hRule="atLeast"/>
        </w:trPr>
        <w:tc>
          <w:tcPr>
            <w:tcW w:w="6581" w:type="dxa"/>
            <w:tcBorders>
              <w:top w:val="nil"/>
              <w:left w:val="nil"/>
              <w:bottom w:val="nil"/>
              <w:right w:val="nil"/>
            </w:tcBorders>
            <w:shd w:val="clear" w:color="auto" w:fill="auto"/>
            <w:noWrap/>
            <w:tcMar>
              <w:top w:w="15" w:type="dxa"/>
              <w:left w:w="15" w:type="dxa"/>
              <w:right w:w="15" w:type="dxa"/>
            </w:tcMar>
            <w:vAlign w:val="bottom"/>
          </w:tcPr>
          <w:p>
            <w:pPr>
              <w:textAlignment w:val="bottom"/>
              <w:rPr>
                <w:rFonts w:hint="default" w:cs="宋体"/>
                <w:color w:val="000000"/>
              </w:rPr>
            </w:pPr>
            <w:r>
              <w:rPr>
                <w:rFonts w:cs="宋体"/>
              </w:rPr>
              <w:t>公开部门：垫江县五洞镇人民政府</w:t>
            </w:r>
          </w:p>
        </w:tc>
        <w:tc>
          <w:tcPr>
            <w:tcW w:w="4358" w:type="dxa"/>
            <w:tcBorders>
              <w:top w:val="nil"/>
              <w:left w:val="nil"/>
              <w:bottom w:val="nil"/>
              <w:right w:val="nil"/>
            </w:tcBorders>
            <w:shd w:val="clear" w:color="auto" w:fill="auto"/>
            <w:noWrap/>
            <w:tcMar>
              <w:top w:w="15" w:type="dxa"/>
              <w:left w:w="15" w:type="dxa"/>
              <w:right w:w="15" w:type="dxa"/>
            </w:tcMar>
            <w:vAlign w:val="bottom"/>
          </w:tcPr>
          <w:p>
            <w:pPr>
              <w:jc w:val="right"/>
              <w:rPr>
                <w:rFonts w:hint="default" w:ascii="Arial" w:hAnsi="Arial" w:cs="Arial"/>
                <w:color w:val="000000"/>
                <w:sz w:val="22"/>
                <w:szCs w:val="22"/>
              </w:rPr>
            </w:pPr>
          </w:p>
        </w:tc>
        <w:tc>
          <w:tcPr>
            <w:tcW w:w="7536"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p>
        </w:tc>
        <w:tc>
          <w:tcPr>
            <w:tcW w:w="3817"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rPr>
            </w:pPr>
            <w:r>
              <w:rPr>
                <w:rFonts w:cs="宋体"/>
                <w:color w:val="000000"/>
              </w:rPr>
              <w:t>单位：</w:t>
            </w:r>
            <w:r>
              <w:rPr>
                <w:rFonts w:cs="宋体"/>
              </w:rPr>
              <w:t>万元</w:t>
            </w:r>
          </w:p>
        </w:tc>
      </w:tr>
      <w:tr>
        <w:tblPrEx>
          <w:tblCellMar>
            <w:top w:w="0" w:type="dxa"/>
            <w:left w:w="0" w:type="dxa"/>
            <w:bottom w:w="0" w:type="dxa"/>
            <w:right w:w="0" w:type="dxa"/>
          </w:tblCellMar>
        </w:tblPrEx>
        <w:trPr>
          <w:trHeight w:val="298" w:hRule="atLeast"/>
        </w:trPr>
        <w:tc>
          <w:tcPr>
            <w:tcW w:w="10939" w:type="dxa"/>
            <w:gridSpan w:val="2"/>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收入</w:t>
            </w:r>
          </w:p>
        </w:tc>
        <w:tc>
          <w:tcPr>
            <w:tcW w:w="11353" w:type="dxa"/>
            <w:gridSpan w:val="2"/>
            <w:tcBorders>
              <w:top w:val="single" w:color="000000" w:sz="4" w:space="0"/>
              <w:left w:val="nil"/>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支出</w:t>
            </w: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项目</w:t>
            </w:r>
          </w:p>
        </w:tc>
        <w:tc>
          <w:tcPr>
            <w:tcW w:w="4358"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决算数</w:t>
            </w: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功能分类科目</w:t>
            </w:r>
          </w:p>
        </w:tc>
        <w:tc>
          <w:tcPr>
            <w:tcW w:w="3817"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决算数</w:t>
            </w: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一、一般公共预算财政拨款收入</w:t>
            </w: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2,928.89</w:t>
            </w: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一、一般公共服务支出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959.73</w:t>
            </w: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二、政府性基金预算财政拨款收入</w:t>
            </w: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0.20</w:t>
            </w: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二、外交支出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三、国有资本经营预算财政拨款收入</w:t>
            </w: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0.03</w:t>
            </w: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三、国防支出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四、上级补助收入</w:t>
            </w: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四、公共安全支出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25.54</w:t>
            </w: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五、事业收入</w:t>
            </w: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五、教育支出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六、经营收入</w:t>
            </w: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六、科学技术支出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0.35</w:t>
            </w: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七、附属单位上缴收入</w:t>
            </w: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七、文化旅游体育与传媒支出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109.98</w:t>
            </w: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八、其他收入</w:t>
            </w:r>
          </w:p>
        </w:tc>
        <w:tc>
          <w:tcPr>
            <w:tcW w:w="4358" w:type="dxa"/>
            <w:tcBorders>
              <w:top w:val="nil"/>
              <w:left w:val="nil"/>
              <w:bottom w:val="nil"/>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八、社会保障和就业支出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431.83</w:t>
            </w: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4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right"/>
              <w:rPr>
                <w:rFonts w:hint="default" w:ascii="Arial" w:hAnsi="Arial" w:cs="Arial"/>
                <w:color w:val="000000"/>
                <w:sz w:val="20"/>
                <w:szCs w:val="20"/>
              </w:rPr>
            </w:pP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九、卫生健康支出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68.32</w:t>
            </w: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4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right"/>
              <w:rPr>
                <w:rFonts w:hint="default" w:ascii="Arial" w:hAnsi="Arial" w:cs="Arial"/>
                <w:color w:val="000000"/>
                <w:sz w:val="20"/>
                <w:szCs w:val="20"/>
              </w:rPr>
            </w:pP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十、节能环保支出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5.00</w:t>
            </w: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4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right"/>
              <w:rPr>
                <w:rFonts w:hint="default" w:ascii="Arial" w:hAnsi="Arial" w:cs="Arial"/>
                <w:color w:val="000000"/>
                <w:sz w:val="20"/>
                <w:szCs w:val="20"/>
              </w:rPr>
            </w:pP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十一、城乡社区支出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147.05</w:t>
            </w: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4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right"/>
              <w:rPr>
                <w:rFonts w:hint="default" w:ascii="Arial" w:hAnsi="Arial" w:cs="Arial"/>
                <w:color w:val="000000"/>
                <w:sz w:val="20"/>
                <w:szCs w:val="20"/>
              </w:rPr>
            </w:pP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十二、农林水支出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664.90</w:t>
            </w: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4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sz w:val="22"/>
                <w:szCs w:val="22"/>
              </w:rPr>
            </w:pP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十三、交通运输支出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125.82</w:t>
            </w: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sz w:val="22"/>
                <w:szCs w:val="22"/>
              </w:rPr>
            </w:pP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十四、资源勘探工业信息等支出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267.51</w:t>
            </w: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sz w:val="22"/>
                <w:szCs w:val="22"/>
              </w:rPr>
            </w:pP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十五、商业服务业等支出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sz w:val="22"/>
                <w:szCs w:val="22"/>
              </w:rPr>
            </w:pP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十六、金融支出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sz w:val="22"/>
                <w:szCs w:val="22"/>
              </w:rPr>
            </w:pP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十七、援助其他地区支出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sz w:val="22"/>
                <w:szCs w:val="22"/>
              </w:rPr>
            </w:pP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十八、自然资源海洋气象等支出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sz w:val="22"/>
                <w:szCs w:val="22"/>
              </w:rPr>
            </w:pP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十九、住房保障支出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101.30</w:t>
            </w: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sz w:val="22"/>
                <w:szCs w:val="22"/>
              </w:rPr>
            </w:pP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二十、粮油物资储备支出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sz w:val="22"/>
                <w:szCs w:val="22"/>
              </w:rPr>
            </w:pP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二十一、国有资本经营预算支出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0.03</w:t>
            </w: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sz w:val="22"/>
                <w:szCs w:val="22"/>
              </w:rPr>
            </w:pP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二十二、灾害防治及应急管理支出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39.68</w:t>
            </w: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sz w:val="22"/>
                <w:szCs w:val="22"/>
              </w:rPr>
            </w:pP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二十三、其他支出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rPr>
                <w:rFonts w:hint="default" w:cs="宋体"/>
                <w:b/>
                <w:color w:val="000000"/>
                <w:sz w:val="22"/>
                <w:szCs w:val="22"/>
              </w:rPr>
            </w:pP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sz w:val="22"/>
                <w:szCs w:val="22"/>
              </w:rPr>
            </w:pP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二十四、债务还本支出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sz w:val="22"/>
                <w:szCs w:val="22"/>
              </w:rPr>
            </w:pP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二十五、债务付息支出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sz w:val="22"/>
                <w:szCs w:val="22"/>
              </w:rPr>
            </w:pP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二十六、抗疫特别国债安排的支出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本年收入合计</w:t>
            </w: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2,929.12</w:t>
            </w: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本年支出合计</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2,947.02</w:t>
            </w: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使用非财政拨款结余和专用结余</w:t>
            </w: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结余分配</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年初结转和结余</w:t>
            </w: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17.91</w:t>
            </w: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年末结转和结余</w:t>
            </w:r>
          </w:p>
        </w:tc>
        <w:tc>
          <w:tcPr>
            <w:tcW w:w="3817" w:type="dxa"/>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r>
      <w:tr>
        <w:tblPrEx>
          <w:tblCellMar>
            <w:top w:w="0" w:type="dxa"/>
            <w:left w:w="0" w:type="dxa"/>
            <w:bottom w:w="0" w:type="dxa"/>
            <w:right w:w="0" w:type="dxa"/>
          </w:tblCellMar>
        </w:tblPrEx>
        <w:trPr>
          <w:trHeight w:val="307"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总计</w:t>
            </w:r>
          </w:p>
        </w:tc>
        <w:tc>
          <w:tcPr>
            <w:tcW w:w="4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2,947.02</w:t>
            </w:r>
          </w:p>
        </w:tc>
        <w:tc>
          <w:tcPr>
            <w:tcW w:w="7536" w:type="dxa"/>
            <w:tcBorders>
              <w:top w:val="nil"/>
              <w:left w:val="nil"/>
              <w:bottom w:val="single" w:color="000000" w:sz="4" w:space="0"/>
              <w:right w:val="single" w:color="auto" w:sz="4" w:space="0"/>
            </w:tcBorders>
            <w:shd w:val="clear" w:color="FFFFFF" w:fill="C0C0C0"/>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总计</w:t>
            </w:r>
          </w:p>
        </w:tc>
        <w:tc>
          <w:tcPr>
            <w:tcW w:w="381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1"/>
                <w:szCs w:val="21"/>
              </w:rPr>
              <w:t>2,947.02</w:t>
            </w:r>
          </w:p>
        </w:tc>
      </w:tr>
    </w:tbl>
    <w:p>
      <w:pPr>
        <w:rPr>
          <w:rFonts w:hint="default" w:cs="宋体"/>
          <w:sz w:val="21"/>
          <w:szCs w:val="21"/>
        </w:rPr>
      </w:pPr>
      <w:r>
        <w:rPr>
          <w:rFonts w:cs="宋体"/>
          <w:sz w:val="21"/>
          <w:szCs w:val="21"/>
        </w:rPr>
        <w:t>备注：1.本表反映部门本年度的总收支和年末结转结余情况。</w:t>
      </w:r>
      <w:r>
        <w:rPr>
          <w:rFonts w:cs="宋体"/>
          <w:sz w:val="21"/>
          <w:szCs w:val="21"/>
        </w:rPr>
        <w:br w:type="textWrapping"/>
      </w:r>
      <w:r>
        <w:rPr>
          <w:rFonts w:cs="宋体"/>
          <w:sz w:val="21"/>
          <w:szCs w:val="21"/>
        </w:rPr>
        <w:t xml:space="preserve">      2.本套报表金额单位转换时可能存在尾数误差。</w:t>
      </w:r>
      <w:r>
        <w:rPr>
          <w:rFonts w:cs="宋体"/>
          <w:sz w:val="21"/>
          <w:szCs w:val="21"/>
        </w:rPr>
        <w:br w:type="textWrapping"/>
      </w:r>
      <w:r>
        <w:rPr>
          <w:rFonts w:cs="宋体"/>
          <w:sz w:val="21"/>
          <w:szCs w:val="21"/>
        </w:rPr>
        <w:br w:type="textWrapping"/>
      </w:r>
    </w:p>
    <w:p>
      <w:pPr>
        <w:rPr>
          <w:rFonts w:hint="default" w:cs="宋体"/>
          <w:sz w:val="21"/>
          <w:szCs w:val="21"/>
        </w:rPr>
      </w:pPr>
      <w:r>
        <w:rPr>
          <w:rFonts w:cs="宋体"/>
          <w:sz w:val="21"/>
          <w:szCs w:val="21"/>
        </w:rPr>
        <w:br w:type="page"/>
      </w:r>
    </w:p>
    <w:p>
      <w:pPr>
        <w:rPr>
          <w:rFonts w:hint="default" w:cs="宋体"/>
          <w:sz w:val="21"/>
          <w:szCs w:val="21"/>
        </w:rPr>
      </w:pPr>
    </w:p>
    <w:tbl>
      <w:tblPr>
        <w:tblStyle w:val="8"/>
        <w:tblW w:w="22220" w:type="dxa"/>
        <w:tblInd w:w="0" w:type="dxa"/>
        <w:tblLayout w:type="fixed"/>
        <w:tblCellMar>
          <w:top w:w="0" w:type="dxa"/>
          <w:left w:w="0" w:type="dxa"/>
          <w:bottom w:w="0" w:type="dxa"/>
          <w:right w:w="0" w:type="dxa"/>
        </w:tblCellMar>
      </w:tblPr>
      <w:tblGrid>
        <w:gridCol w:w="1941"/>
        <w:gridCol w:w="3317"/>
        <w:gridCol w:w="2412"/>
        <w:gridCol w:w="2399"/>
        <w:gridCol w:w="1963"/>
        <w:gridCol w:w="1963"/>
        <w:gridCol w:w="1963"/>
        <w:gridCol w:w="1963"/>
        <w:gridCol w:w="1963"/>
        <w:gridCol w:w="2336"/>
      </w:tblGrid>
      <w:tr>
        <w:tblPrEx>
          <w:tblCellMar>
            <w:top w:w="0" w:type="dxa"/>
            <w:left w:w="0" w:type="dxa"/>
            <w:bottom w:w="0" w:type="dxa"/>
            <w:right w:w="0" w:type="dxa"/>
          </w:tblCellMar>
        </w:tblPrEx>
        <w:trPr>
          <w:trHeight w:val="641" w:hRule="atLeast"/>
        </w:trPr>
        <w:tc>
          <w:tcPr>
            <w:tcW w:w="22220" w:type="dxa"/>
            <w:gridSpan w:val="10"/>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40"/>
                <w:szCs w:val="40"/>
              </w:rPr>
            </w:pPr>
            <w:r>
              <w:rPr>
                <w:rFonts w:cs="宋体"/>
                <w:b/>
                <w:color w:val="000000"/>
                <w:sz w:val="44"/>
                <w:szCs w:val="44"/>
              </w:rPr>
              <w:t>收入决算表</w:t>
            </w:r>
          </w:p>
        </w:tc>
      </w:tr>
      <w:tr>
        <w:tblPrEx>
          <w:tblCellMar>
            <w:top w:w="0" w:type="dxa"/>
            <w:left w:w="0" w:type="dxa"/>
            <w:bottom w:w="0" w:type="dxa"/>
            <w:right w:w="0" w:type="dxa"/>
          </w:tblCellMar>
        </w:tblPrEx>
        <w:trPr>
          <w:trHeight w:val="328" w:hRule="atLeast"/>
        </w:trPr>
        <w:tc>
          <w:tcPr>
            <w:tcW w:w="5258" w:type="dxa"/>
            <w:gridSpan w:val="2"/>
            <w:vMerge w:val="restart"/>
            <w:tcBorders>
              <w:top w:val="nil"/>
              <w:left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r>
              <w:rPr>
                <w:rFonts w:cs="宋体"/>
              </w:rPr>
              <w:t>公开部门：垫江县五洞镇人民政府</w:t>
            </w:r>
          </w:p>
        </w:tc>
        <w:tc>
          <w:tcPr>
            <w:tcW w:w="2412"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2399"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1963"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1963"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1963"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1963"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1963"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2336"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rPr>
            </w:pPr>
            <w:r>
              <w:rPr>
                <w:rFonts w:cs="宋体"/>
                <w:color w:val="000000"/>
              </w:rPr>
              <w:t>公开02表</w:t>
            </w:r>
          </w:p>
        </w:tc>
      </w:tr>
      <w:tr>
        <w:tblPrEx>
          <w:tblCellMar>
            <w:top w:w="0" w:type="dxa"/>
            <w:left w:w="0" w:type="dxa"/>
            <w:bottom w:w="0" w:type="dxa"/>
            <w:right w:w="0" w:type="dxa"/>
          </w:tblCellMar>
        </w:tblPrEx>
        <w:trPr>
          <w:trHeight w:val="328" w:hRule="atLeast"/>
        </w:trPr>
        <w:tc>
          <w:tcPr>
            <w:tcW w:w="5258" w:type="dxa"/>
            <w:gridSpan w:val="2"/>
            <w:vMerge w:val="continue"/>
            <w:tcBorders>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p>
        </w:tc>
        <w:tc>
          <w:tcPr>
            <w:tcW w:w="2412"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p>
        </w:tc>
        <w:tc>
          <w:tcPr>
            <w:tcW w:w="2399"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p>
        </w:tc>
        <w:tc>
          <w:tcPr>
            <w:tcW w:w="1963"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p>
        </w:tc>
        <w:tc>
          <w:tcPr>
            <w:tcW w:w="1963"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p>
        </w:tc>
        <w:tc>
          <w:tcPr>
            <w:tcW w:w="1963"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p>
        </w:tc>
        <w:tc>
          <w:tcPr>
            <w:tcW w:w="1963"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p>
        </w:tc>
        <w:tc>
          <w:tcPr>
            <w:tcW w:w="1963"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p>
        </w:tc>
        <w:tc>
          <w:tcPr>
            <w:tcW w:w="2336"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rPr>
            </w:pPr>
            <w:r>
              <w:rPr>
                <w:rFonts w:cs="宋体"/>
                <w:color w:val="000000"/>
              </w:rPr>
              <w:t>单位：</w:t>
            </w:r>
            <w:r>
              <w:rPr>
                <w:rFonts w:cs="宋体"/>
              </w:rPr>
              <w:t>万元</w:t>
            </w:r>
          </w:p>
        </w:tc>
      </w:tr>
      <w:tr>
        <w:tblPrEx>
          <w:tblCellMar>
            <w:top w:w="0" w:type="dxa"/>
            <w:left w:w="0" w:type="dxa"/>
            <w:bottom w:w="0" w:type="dxa"/>
            <w:right w:w="0" w:type="dxa"/>
          </w:tblCellMar>
        </w:tblPrEx>
        <w:trPr>
          <w:trHeight w:val="431" w:hRule="atLeast"/>
        </w:trPr>
        <w:tc>
          <w:tcPr>
            <w:tcW w:w="5258" w:type="dxa"/>
            <w:gridSpan w:val="2"/>
            <w:tcBorders>
              <w:top w:val="single" w:color="000000" w:sz="4" w:space="0"/>
              <w:left w:val="single" w:color="000000" w:sz="4" w:space="0"/>
              <w:bottom w:val="single" w:color="000000" w:sz="4" w:space="0"/>
              <w:right w:val="nil"/>
            </w:tcBorders>
            <w:shd w:val="clear" w:color="auto" w:fill="D0CECE"/>
            <w:noWrap/>
            <w:tcMar>
              <w:top w:w="15" w:type="dxa"/>
              <w:left w:w="15" w:type="dxa"/>
              <w:right w:w="15" w:type="dxa"/>
            </w:tcMar>
            <w:vAlign w:val="bottom"/>
          </w:tcPr>
          <w:p>
            <w:pPr>
              <w:jc w:val="center"/>
              <w:textAlignment w:val="bottom"/>
              <w:rPr>
                <w:rFonts w:hint="default" w:cs="宋体"/>
                <w:b/>
                <w:color w:val="000000"/>
                <w:sz w:val="22"/>
                <w:szCs w:val="22"/>
              </w:rPr>
            </w:pPr>
            <w:r>
              <w:rPr>
                <w:rFonts w:cs="宋体"/>
                <w:b/>
                <w:color w:val="000000"/>
                <w:sz w:val="22"/>
                <w:szCs w:val="22"/>
              </w:rPr>
              <w:t>项目</w:t>
            </w:r>
          </w:p>
        </w:tc>
        <w:tc>
          <w:tcPr>
            <w:tcW w:w="2412"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本年收入合计</w:t>
            </w:r>
          </w:p>
        </w:tc>
        <w:tc>
          <w:tcPr>
            <w:tcW w:w="2399"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财政拨款收入</w:t>
            </w:r>
          </w:p>
        </w:tc>
        <w:tc>
          <w:tcPr>
            <w:tcW w:w="1963"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上级补助收入</w:t>
            </w:r>
          </w:p>
        </w:tc>
        <w:tc>
          <w:tcPr>
            <w:tcW w:w="3926" w:type="dxa"/>
            <w:gridSpan w:val="2"/>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bottom"/>
          </w:tcPr>
          <w:p>
            <w:pPr>
              <w:jc w:val="center"/>
              <w:textAlignment w:val="bottom"/>
              <w:rPr>
                <w:rFonts w:hint="default" w:cs="宋体"/>
                <w:b/>
                <w:color w:val="000000"/>
                <w:sz w:val="22"/>
                <w:szCs w:val="22"/>
              </w:rPr>
            </w:pPr>
            <w:r>
              <w:rPr>
                <w:rFonts w:cs="宋体"/>
                <w:b/>
                <w:color w:val="000000"/>
                <w:sz w:val="22"/>
                <w:szCs w:val="22"/>
              </w:rPr>
              <w:t>事业收入</w:t>
            </w:r>
          </w:p>
        </w:tc>
        <w:tc>
          <w:tcPr>
            <w:tcW w:w="1963"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经营收入</w:t>
            </w:r>
          </w:p>
        </w:tc>
        <w:tc>
          <w:tcPr>
            <w:tcW w:w="1963"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附属单位上缴收入</w:t>
            </w:r>
          </w:p>
        </w:tc>
        <w:tc>
          <w:tcPr>
            <w:tcW w:w="2336"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其他收入</w:t>
            </w:r>
          </w:p>
        </w:tc>
      </w:tr>
      <w:tr>
        <w:tblPrEx>
          <w:tblCellMar>
            <w:top w:w="0" w:type="dxa"/>
            <w:left w:w="0" w:type="dxa"/>
            <w:bottom w:w="0" w:type="dxa"/>
            <w:right w:w="0" w:type="dxa"/>
          </w:tblCellMar>
        </w:tblPrEx>
        <w:trPr>
          <w:trHeight w:val="334" w:hRule="atLeast"/>
        </w:trPr>
        <w:tc>
          <w:tcPr>
            <w:tcW w:w="1941" w:type="dxa"/>
            <w:vMerge w:val="restar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功能分类科目编码</w:t>
            </w:r>
          </w:p>
        </w:tc>
        <w:tc>
          <w:tcPr>
            <w:tcW w:w="3317" w:type="dxa"/>
            <w:vMerge w:val="restart"/>
            <w:tcBorders>
              <w:top w:val="nil"/>
              <w:left w:val="nil"/>
              <w:bottom w:val="single" w:color="000000" w:sz="4" w:space="0"/>
              <w:right w:val="nil"/>
            </w:tcBorders>
            <w:shd w:val="clear" w:color="FFFFFF" w:fill="C0C0C0"/>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项目（按“项”级功能分类科目）</w:t>
            </w:r>
          </w:p>
        </w:tc>
        <w:tc>
          <w:tcPr>
            <w:tcW w:w="2412"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399"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1963"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小计</w:t>
            </w:r>
          </w:p>
        </w:tc>
        <w:tc>
          <w:tcPr>
            <w:tcW w:w="1963"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其中：教育收费</w:t>
            </w: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336"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r>
      <w:tr>
        <w:tblPrEx>
          <w:tblCellMar>
            <w:top w:w="0" w:type="dxa"/>
            <w:left w:w="0" w:type="dxa"/>
            <w:bottom w:w="0" w:type="dxa"/>
            <w:right w:w="0" w:type="dxa"/>
          </w:tblCellMar>
        </w:tblPrEx>
        <w:trPr>
          <w:trHeight w:val="334" w:hRule="atLeast"/>
        </w:trPr>
        <w:tc>
          <w:tcPr>
            <w:tcW w:w="1941" w:type="dxa"/>
            <w:vMerge w:val="continue"/>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rPr>
                <w:rFonts w:hint="default" w:cs="宋体"/>
                <w:b/>
                <w:color w:val="000000"/>
                <w:sz w:val="22"/>
                <w:szCs w:val="22"/>
              </w:rPr>
            </w:pPr>
          </w:p>
        </w:tc>
        <w:tc>
          <w:tcPr>
            <w:tcW w:w="3317" w:type="dxa"/>
            <w:vMerge w:val="continue"/>
            <w:tcBorders>
              <w:top w:val="nil"/>
              <w:left w:val="nil"/>
              <w:bottom w:val="single" w:color="000000" w:sz="4" w:space="0"/>
              <w:right w:val="nil"/>
            </w:tcBorders>
            <w:shd w:val="clear" w:color="FFFFFF" w:fill="C0C0C0"/>
            <w:noWrap/>
            <w:tcMar>
              <w:top w:w="15" w:type="dxa"/>
              <w:left w:w="15" w:type="dxa"/>
              <w:right w:w="15" w:type="dxa"/>
            </w:tcMar>
            <w:vAlign w:val="center"/>
          </w:tcPr>
          <w:p>
            <w:pPr>
              <w:jc w:val="center"/>
              <w:rPr>
                <w:rFonts w:hint="default" w:cs="宋体"/>
                <w:b/>
                <w:color w:val="000000"/>
                <w:sz w:val="22"/>
                <w:szCs w:val="22"/>
              </w:rPr>
            </w:pPr>
          </w:p>
        </w:tc>
        <w:tc>
          <w:tcPr>
            <w:tcW w:w="2412"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399"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336"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r>
      <w:tr>
        <w:tblPrEx>
          <w:tblCellMar>
            <w:top w:w="0" w:type="dxa"/>
            <w:left w:w="0" w:type="dxa"/>
            <w:bottom w:w="0" w:type="dxa"/>
            <w:right w:w="0" w:type="dxa"/>
          </w:tblCellMar>
        </w:tblPrEx>
        <w:trPr>
          <w:trHeight w:val="334" w:hRule="atLeast"/>
        </w:trPr>
        <w:tc>
          <w:tcPr>
            <w:tcW w:w="1941" w:type="dxa"/>
            <w:vMerge w:val="continue"/>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rPr>
                <w:rFonts w:hint="default" w:cs="宋体"/>
                <w:b/>
                <w:color w:val="000000"/>
                <w:sz w:val="22"/>
                <w:szCs w:val="22"/>
              </w:rPr>
            </w:pPr>
          </w:p>
        </w:tc>
        <w:tc>
          <w:tcPr>
            <w:tcW w:w="3317" w:type="dxa"/>
            <w:vMerge w:val="continue"/>
            <w:tcBorders>
              <w:top w:val="nil"/>
              <w:left w:val="nil"/>
              <w:bottom w:val="single" w:color="000000" w:sz="4" w:space="0"/>
              <w:right w:val="nil"/>
            </w:tcBorders>
            <w:shd w:val="clear" w:color="FFFFFF" w:fill="C0C0C0"/>
            <w:noWrap/>
            <w:tcMar>
              <w:top w:w="15" w:type="dxa"/>
              <w:left w:w="15" w:type="dxa"/>
              <w:right w:w="15" w:type="dxa"/>
            </w:tcMar>
            <w:vAlign w:val="center"/>
          </w:tcPr>
          <w:p>
            <w:pPr>
              <w:jc w:val="center"/>
              <w:rPr>
                <w:rFonts w:hint="default" w:cs="宋体"/>
                <w:b/>
                <w:color w:val="000000"/>
                <w:sz w:val="22"/>
                <w:szCs w:val="22"/>
              </w:rPr>
            </w:pPr>
          </w:p>
        </w:tc>
        <w:tc>
          <w:tcPr>
            <w:tcW w:w="2412"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399"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336"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r>
      <w:tr>
        <w:tblPrEx>
          <w:tblCellMar>
            <w:top w:w="0" w:type="dxa"/>
            <w:left w:w="0" w:type="dxa"/>
            <w:bottom w:w="0" w:type="dxa"/>
            <w:right w:w="0" w:type="dxa"/>
          </w:tblCellMar>
        </w:tblPrEx>
        <w:trPr>
          <w:trHeight w:val="334" w:hRule="atLeast"/>
        </w:trPr>
        <w:tc>
          <w:tcPr>
            <w:tcW w:w="1941" w:type="dxa"/>
            <w:vMerge w:val="continue"/>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rPr>
                <w:rFonts w:hint="default" w:cs="宋体"/>
                <w:b/>
                <w:color w:val="000000"/>
                <w:sz w:val="22"/>
                <w:szCs w:val="22"/>
              </w:rPr>
            </w:pPr>
          </w:p>
        </w:tc>
        <w:tc>
          <w:tcPr>
            <w:tcW w:w="3317" w:type="dxa"/>
            <w:vMerge w:val="continue"/>
            <w:tcBorders>
              <w:top w:val="nil"/>
              <w:left w:val="nil"/>
              <w:bottom w:val="single" w:color="000000" w:sz="4" w:space="0"/>
              <w:right w:val="nil"/>
            </w:tcBorders>
            <w:shd w:val="clear" w:color="FFFFFF" w:fill="C0C0C0"/>
            <w:noWrap/>
            <w:tcMar>
              <w:top w:w="15" w:type="dxa"/>
              <w:left w:w="15" w:type="dxa"/>
              <w:right w:w="15" w:type="dxa"/>
            </w:tcMar>
            <w:vAlign w:val="center"/>
          </w:tcPr>
          <w:p>
            <w:pPr>
              <w:jc w:val="center"/>
              <w:rPr>
                <w:rFonts w:hint="default" w:cs="宋体"/>
                <w:b/>
                <w:color w:val="000000"/>
                <w:sz w:val="22"/>
                <w:szCs w:val="22"/>
              </w:rPr>
            </w:pPr>
          </w:p>
        </w:tc>
        <w:tc>
          <w:tcPr>
            <w:tcW w:w="2412"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399"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336"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r>
      <w:tr>
        <w:tblPrEx>
          <w:tblCellMar>
            <w:top w:w="0" w:type="dxa"/>
            <w:left w:w="0" w:type="dxa"/>
            <w:bottom w:w="0" w:type="dxa"/>
            <w:right w:w="0" w:type="dxa"/>
          </w:tblCellMar>
        </w:tblPrEx>
        <w:trPr>
          <w:trHeight w:val="338" w:hRule="atLeast"/>
        </w:trPr>
        <w:tc>
          <w:tcPr>
            <w:tcW w:w="5258" w:type="dxa"/>
            <w:gridSpan w:val="2"/>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合计</w:t>
            </w:r>
          </w:p>
        </w:tc>
        <w:tc>
          <w:tcPr>
            <w:tcW w:w="24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bCs/>
                <w:color w:val="000000"/>
                <w:sz w:val="21"/>
                <w:szCs w:val="21"/>
              </w:rPr>
              <w:t>2,929.12</w:t>
            </w:r>
          </w:p>
        </w:tc>
        <w:tc>
          <w:tcPr>
            <w:tcW w:w="239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bCs/>
                <w:color w:val="000000"/>
                <w:sz w:val="21"/>
                <w:szCs w:val="21"/>
              </w:rPr>
              <w:t>2,929.12</w:t>
            </w:r>
          </w:p>
        </w:tc>
        <w:tc>
          <w:tcPr>
            <w:tcW w:w="19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p>
        </w:tc>
        <w:tc>
          <w:tcPr>
            <w:tcW w:w="19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p>
        </w:tc>
        <w:tc>
          <w:tcPr>
            <w:tcW w:w="19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p>
        </w:tc>
        <w:tc>
          <w:tcPr>
            <w:tcW w:w="19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p>
        </w:tc>
        <w:tc>
          <w:tcPr>
            <w:tcW w:w="19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p>
        </w:tc>
        <w:tc>
          <w:tcPr>
            <w:tcW w:w="23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201</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一般公共服务支出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959.73</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959.73</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20101</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人大事务</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6.57</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6.57</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2010104</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人大会议</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5.28</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5.28</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2010108</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代表工作</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0.67</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0.67</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2010199</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其他人大事务支出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0.62</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0.62</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20102</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政协事务</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1.97</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1.97</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2010202</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一般行政管理事务</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1.97</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1.97</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20103</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政府办公厅（室）及相关机构事务</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880.82</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880.82</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2010301</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行政运行</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648.05</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648.05</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2010302</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一般行政管理事务</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230.81</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230.81</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2010308</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信访事务</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1.96</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1.96</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20105</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统计信息事务</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3.18</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3.18</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2010507</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专项普查活动</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3.18</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3.18</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20113</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商贸事务</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11.08</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11.08</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2011302</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一般行政管理事务</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3.10</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3.10</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2011308</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招商引资</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7.98</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7.98</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20131</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党委办公厅（室）及相关机构事务</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6.41</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6.41</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2013102</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一般行政管理事务</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0.41</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0.41</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2013199</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其他党委办公厅（室）及相关机构事务支出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6.00</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6.00</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20136</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其他共产党事务支出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48.86</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48.86</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2013699</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其他共产党事务支出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48.86</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48.86</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20199</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其他一般公共服务支出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0.84</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0.84</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2019999</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其他一般公共服务支出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0.84</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0.84</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204</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公共安全支出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25.54</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25.54</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20402</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公安</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10.01</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10.01</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2040299</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其他公安支出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10.01</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10.01</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20406</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司法</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1.60</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1.60</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2040602</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一般行政管理事务</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1.60</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1.60</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20499</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其他公共安全支出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13.93</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13.93</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2049999</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其他公共安全支出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13.93</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13.93</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206</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科学技术支出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0.35</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0.35</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20699</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其他科学技术支出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0.35</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0.35</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2069999</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其他科学技术支出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0.35</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0.35</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207</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文化旅游体育与传媒支出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109.98</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109.98</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20701</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文化和旅游</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109.98</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109.98</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2070109</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群众文化</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107.14</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107.14</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2070199</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其他文化和旅游支出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2.84</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2.84</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208</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社会保障和就业支出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431.83</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431.83</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20801</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人力资源和社会保障管理事务</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138.78</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138.78</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2080109</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社会保险经办机构</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0.18</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0.18</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2080150</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事业运行</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125.55</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125.55</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2080199</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其他人力资源和社会保障管理事务支出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13.05</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13.05</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20805</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行政事业单位养老支出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218.01</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218.01</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2080505</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机关事业单位基本养老保险缴费支出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97.48</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97.48</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2080506</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机关事业单位职业年金缴费支出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38.96</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38.96</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2080599</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其他行政事业单位养老支出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81.57</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81.57</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20808</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抚恤</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2.47</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2.47</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2080899</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其他优抚支出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2.47</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2.47</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20810</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社会福利</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2.95</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2.95</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2081006</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养老服务</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2.95</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2.95</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20811</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残疾人事业</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3.23</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3.23</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2081105</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残疾人就业</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1.00</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1.00</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2081199</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其他残疾人事业支出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2.23</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2.23</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20820</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临时救助</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2.00</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2.00</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2082001</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临时救助支出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2.00</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2.00</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20825</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其他生活救助</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3.45</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3.45</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2082501</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其他城市生活救助</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3.45</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3.45</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20828</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退役军人管理事务</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60.04</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60.04</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2082850</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事业运行</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55.68</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55.68</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2082899</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其他退役军人事务管理支出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4.36</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4.36</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20899</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其他社会保障和就业支出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0.89</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0.89</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2089999</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其他社会保障和就业支出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0.89</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0.89</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210</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卫生健康支出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68.32</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68.32</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21004</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公共卫生</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10.41</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10.41</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2100410</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突发公共卫生事件应急处理</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10.41</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10.41</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21007</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计划生育事务</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0.18</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0.18</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2100799</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其他计划生育事务支出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0.18</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0.18</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21011</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行政事业单位医疗</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55.03</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55.03</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2101101</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行政单位医疗</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33.21</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33.21</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2101102</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事业单位医疗</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21.82</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21.82</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21015</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医疗保障管理事务</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2.04</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2.04</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2101506</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医疗保障经办事务</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2.04</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2.04</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21099</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其他卫生健康支出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0.66</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0.66</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2109999</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其他卫生健康支出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0.66</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0.66</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211</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节能环保支出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5.00</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5.00</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21104</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自然生态保护</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5.00</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5.00</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2110499</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其他自然生态保护支出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5.00</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5.00</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212</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城乡社区支出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147.05</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147.05</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21201</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城乡社区管理事务</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107.31</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107.31</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2120104</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城管执法</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107.31</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107.31</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21203</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城乡社区公共设施</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5.89</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5.89</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2120303</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小城镇基础设施建设</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5.89</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5.89</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21205</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城乡社区环境卫生</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33.64</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33.64</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2120501</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城乡社区环境卫生</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33.64</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33.64</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21208</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国有土地使用权出让收入安排的支出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0.20</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0.20</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2120899</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其他国有土地使用权出让收入安排的支出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0.20</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0.20</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213</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农林水支出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664.90</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664.90</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21301</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农业农村</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200.32</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200.32</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2130104</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事业运行</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133.52</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133.52</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2130108</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病虫害控制</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1.86</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1.86</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2130135</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农业资源保护修复与利用</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64.60</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64.60</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2130199</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其他农业农村支出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0.35</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0.35</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21302</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林业和草原</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36.93</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36.93</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2130205</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森林资源培育</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35.58</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35.58</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2130234</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林业草原防灾减灾</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1.35</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1.35</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21303</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水利</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38.99</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38.99</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2130314</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防汛</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7.00</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7.00</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2130315</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抗旱</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31.99</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31.99</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21305</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巩固脱贫攻坚成果衔接乡村振兴</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5.94</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5.94</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2130599</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其他巩固</w:t>
            </w:r>
            <w:r>
              <w:rPr>
                <w:rFonts w:hint="eastAsia" w:cs="宋体"/>
                <w:color w:val="000000"/>
                <w:sz w:val="21"/>
                <w:szCs w:val="21"/>
                <w:lang w:eastAsia="zh-CN"/>
              </w:rPr>
              <w:t>拓展</w:t>
            </w:r>
            <w:r>
              <w:rPr>
                <w:rFonts w:cs="宋体"/>
                <w:color w:val="000000"/>
                <w:sz w:val="21"/>
                <w:szCs w:val="21"/>
              </w:rPr>
              <w:t>脱贫攻坚成果衔接乡村振兴支出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5.94</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5.94</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21307</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农村综合改革</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382.72</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382.72</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2130701</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对村级公益事业建设的补助</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126.00</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126.00</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2130705</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对村民委员会和村党支部的补助</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256.72</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256.72</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214</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交通运输支出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125.82</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125.82</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21401</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公路水路运输</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125.82</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125.82</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2140106</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公路养护</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125.82</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125.82</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215</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资源勘探工业信息等支出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267.51</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267.51</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21508</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支持中小企业发展和管理支出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267.51</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267.51</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2150899</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其他支持中小企业发展和管理支出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267.51</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267.51</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221</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住房保障支出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101.30</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101.30</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22101</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保障性安居工程支出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8.70</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8.70</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2210105</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农村危房改造</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8.70</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8.70</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22102</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住房改革支出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92.60</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92.60</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2210201</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住房公积金</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92.60</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92.60</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223</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国有资本经营预算支出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0.03</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0.03</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22301</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解决历史遗留问题及改革成本支出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0.03</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0.03</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2230105</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国有企业退休人员社会化管理补助支出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0.03</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0.03</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224</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灾害防治及应急管理支出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21.77</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21.77</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22401</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应急管理事务</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1.59</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1.59</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2240108</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应急救援</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1.59</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1.59</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22402</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消防救援事务</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1.80</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1.80</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2240204</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消防应急救援</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1.80</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1.80</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22406</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自然灾害防治</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9.40</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9.40</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2240601</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地质灾害防治</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9.40</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9.40</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22407</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自然灾害救灾及恢复重建支出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8.98</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8.98</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2240703</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自然灾害救灾补助</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8.98</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8.98</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bl>
    <w:p>
      <w:pPr>
        <w:ind w:left="630" w:hanging="630" w:hangingChars="300"/>
        <w:rPr>
          <w:rFonts w:hint="default" w:cs="宋体"/>
          <w:sz w:val="21"/>
          <w:szCs w:val="21"/>
        </w:rPr>
      </w:pPr>
      <w:r>
        <w:rPr>
          <w:rFonts w:cs="宋体"/>
          <w:sz w:val="21"/>
          <w:szCs w:val="21"/>
        </w:rPr>
        <w:t>备注：1.本表反映部门本年度取得的各项收入情况。</w:t>
      </w:r>
      <w:r>
        <w:rPr>
          <w:rFonts w:cs="宋体"/>
          <w:sz w:val="21"/>
          <w:szCs w:val="21"/>
        </w:rPr>
        <w:br w:type="textWrapping"/>
      </w:r>
      <w:r>
        <w:rPr>
          <w:rFonts w:cs="宋体"/>
          <w:sz w:val="21"/>
          <w:szCs w:val="21"/>
        </w:rPr>
        <w:t>2.本套报表金额单位转换时可能存在尾数误差。</w:t>
      </w:r>
      <w:r>
        <w:rPr>
          <w:rFonts w:cs="宋体"/>
          <w:sz w:val="21"/>
          <w:szCs w:val="21"/>
        </w:rPr>
        <w:br w:type="textWrapping"/>
      </w:r>
      <w:r>
        <w:rPr>
          <w:rFonts w:cs="宋体"/>
          <w:sz w:val="21"/>
          <w:szCs w:val="21"/>
        </w:rPr>
        <w:br w:type="textWrapping"/>
      </w:r>
    </w:p>
    <w:p>
      <w:pPr>
        <w:rPr>
          <w:rFonts w:hint="default" w:cs="宋体"/>
          <w:sz w:val="21"/>
          <w:szCs w:val="21"/>
        </w:rPr>
      </w:pPr>
      <w:r>
        <w:rPr>
          <w:rFonts w:cs="宋体"/>
          <w:sz w:val="21"/>
          <w:szCs w:val="21"/>
        </w:rPr>
        <w:br w:type="page"/>
      </w:r>
    </w:p>
    <w:p>
      <w:pPr>
        <w:ind w:left="630" w:hanging="630" w:hangingChars="300"/>
        <w:rPr>
          <w:rFonts w:hint="default" w:cs="宋体"/>
          <w:sz w:val="21"/>
          <w:szCs w:val="21"/>
        </w:rPr>
      </w:pPr>
    </w:p>
    <w:tbl>
      <w:tblPr>
        <w:tblStyle w:val="8"/>
        <w:tblW w:w="22180" w:type="dxa"/>
        <w:tblInd w:w="0" w:type="dxa"/>
        <w:tblLayout w:type="fixed"/>
        <w:tblCellMar>
          <w:top w:w="0" w:type="dxa"/>
          <w:left w:w="0" w:type="dxa"/>
          <w:bottom w:w="0" w:type="dxa"/>
          <w:right w:w="0" w:type="dxa"/>
        </w:tblCellMar>
      </w:tblPr>
      <w:tblGrid>
        <w:gridCol w:w="2082"/>
        <w:gridCol w:w="3528"/>
        <w:gridCol w:w="2760"/>
        <w:gridCol w:w="2760"/>
        <w:gridCol w:w="2760"/>
        <w:gridCol w:w="2760"/>
        <w:gridCol w:w="2760"/>
        <w:gridCol w:w="2770"/>
      </w:tblGrid>
      <w:tr>
        <w:tblPrEx>
          <w:tblCellMar>
            <w:top w:w="0" w:type="dxa"/>
            <w:left w:w="0" w:type="dxa"/>
            <w:bottom w:w="0" w:type="dxa"/>
            <w:right w:w="0" w:type="dxa"/>
          </w:tblCellMar>
        </w:tblPrEx>
        <w:trPr>
          <w:trHeight w:val="654" w:hRule="atLeast"/>
        </w:trPr>
        <w:tc>
          <w:tcPr>
            <w:tcW w:w="22180" w:type="dxa"/>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40"/>
                <w:szCs w:val="40"/>
              </w:rPr>
            </w:pPr>
            <w:r>
              <w:rPr>
                <w:rFonts w:cs="宋体"/>
                <w:b/>
                <w:color w:val="000000"/>
                <w:sz w:val="44"/>
                <w:szCs w:val="44"/>
              </w:rPr>
              <w:t>支出决算表</w:t>
            </w:r>
          </w:p>
        </w:tc>
      </w:tr>
      <w:tr>
        <w:tblPrEx>
          <w:tblCellMar>
            <w:top w:w="0" w:type="dxa"/>
            <w:left w:w="0" w:type="dxa"/>
            <w:bottom w:w="0" w:type="dxa"/>
            <w:right w:w="0" w:type="dxa"/>
          </w:tblCellMar>
        </w:tblPrEx>
        <w:trPr>
          <w:trHeight w:val="342" w:hRule="atLeast"/>
        </w:trPr>
        <w:tc>
          <w:tcPr>
            <w:tcW w:w="5610" w:type="dxa"/>
            <w:gridSpan w:val="2"/>
            <w:vMerge w:val="restart"/>
            <w:tcBorders>
              <w:top w:val="nil"/>
              <w:left w:val="nil"/>
              <w:right w:val="nil"/>
            </w:tcBorders>
            <w:shd w:val="clear" w:color="auto" w:fill="auto"/>
            <w:noWrap/>
            <w:tcMar>
              <w:top w:w="15" w:type="dxa"/>
              <w:left w:w="15" w:type="dxa"/>
              <w:right w:w="15" w:type="dxa"/>
            </w:tcMar>
            <w:vAlign w:val="bottom"/>
          </w:tcPr>
          <w:p>
            <w:pPr>
              <w:rPr>
                <w:rFonts w:hint="default" w:ascii="Arial" w:hAnsi="Arial" w:cs="Arial"/>
                <w:color w:val="000000"/>
                <w:sz w:val="20"/>
                <w:szCs w:val="20"/>
              </w:rPr>
            </w:pPr>
            <w:r>
              <w:rPr>
                <w:rFonts w:asciiTheme="minorEastAsia" w:hAnsiTheme="minorEastAsia" w:eastAsiaTheme="minorEastAsia" w:cstheme="minorEastAsia"/>
              </w:rPr>
              <w:t>公开部门</w:t>
            </w:r>
            <w:r>
              <w:rPr>
                <w:rFonts w:asciiTheme="minorEastAsia" w:hAnsiTheme="minorEastAsia" w:eastAsiaTheme="minorEastAsia" w:cstheme="minorEastAsia"/>
                <w:color w:val="000000"/>
              </w:rPr>
              <w:t xml:space="preserve">： </w:t>
            </w:r>
            <w:r>
              <w:rPr>
                <w:color w:val="000000"/>
              </w:rPr>
              <w:t>垫江县五洞镇人民政府</w:t>
            </w:r>
          </w:p>
        </w:tc>
        <w:tc>
          <w:tcPr>
            <w:tcW w:w="2760"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2760"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2760"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2760"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2760"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2770"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rPr>
            </w:pPr>
            <w:r>
              <w:rPr>
                <w:rFonts w:cs="宋体"/>
                <w:color w:val="000000"/>
              </w:rPr>
              <w:t>公开03表</w:t>
            </w:r>
          </w:p>
        </w:tc>
      </w:tr>
      <w:tr>
        <w:tblPrEx>
          <w:tblCellMar>
            <w:top w:w="0" w:type="dxa"/>
            <w:left w:w="0" w:type="dxa"/>
            <w:bottom w:w="0" w:type="dxa"/>
            <w:right w:w="0" w:type="dxa"/>
          </w:tblCellMar>
        </w:tblPrEx>
        <w:trPr>
          <w:trHeight w:val="342" w:hRule="atLeast"/>
        </w:trPr>
        <w:tc>
          <w:tcPr>
            <w:tcW w:w="5610" w:type="dxa"/>
            <w:gridSpan w:val="2"/>
            <w:vMerge w:val="continue"/>
            <w:tcBorders>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p>
        </w:tc>
        <w:tc>
          <w:tcPr>
            <w:tcW w:w="2760"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p>
        </w:tc>
        <w:tc>
          <w:tcPr>
            <w:tcW w:w="2760"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p>
        </w:tc>
        <w:tc>
          <w:tcPr>
            <w:tcW w:w="2760"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p>
        </w:tc>
        <w:tc>
          <w:tcPr>
            <w:tcW w:w="2760"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p>
        </w:tc>
        <w:tc>
          <w:tcPr>
            <w:tcW w:w="2760"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p>
        </w:tc>
        <w:tc>
          <w:tcPr>
            <w:tcW w:w="2770"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rPr>
            </w:pPr>
            <w:r>
              <w:rPr>
                <w:rFonts w:cs="宋体"/>
                <w:color w:val="000000"/>
              </w:rPr>
              <w:t>单位：</w:t>
            </w:r>
            <w:r>
              <w:rPr>
                <w:rFonts w:cs="宋体"/>
              </w:rPr>
              <w:t>万元</w:t>
            </w:r>
          </w:p>
        </w:tc>
      </w:tr>
      <w:tr>
        <w:tblPrEx>
          <w:tblCellMar>
            <w:top w:w="0" w:type="dxa"/>
            <w:left w:w="0" w:type="dxa"/>
            <w:bottom w:w="0" w:type="dxa"/>
            <w:right w:w="0" w:type="dxa"/>
          </w:tblCellMar>
        </w:tblPrEx>
        <w:trPr>
          <w:trHeight w:val="362" w:hRule="atLeast"/>
        </w:trPr>
        <w:tc>
          <w:tcPr>
            <w:tcW w:w="5610" w:type="dxa"/>
            <w:gridSpan w:val="2"/>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bottom"/>
          </w:tcPr>
          <w:p>
            <w:pPr>
              <w:jc w:val="center"/>
              <w:textAlignment w:val="bottom"/>
              <w:rPr>
                <w:rFonts w:hint="default" w:cs="宋体"/>
                <w:b/>
                <w:color w:val="000000"/>
                <w:sz w:val="22"/>
                <w:szCs w:val="22"/>
              </w:rPr>
            </w:pPr>
            <w:r>
              <w:rPr>
                <w:rFonts w:cs="宋体"/>
                <w:b/>
                <w:color w:val="000000"/>
                <w:sz w:val="22"/>
                <w:szCs w:val="22"/>
              </w:rPr>
              <w:t>项目</w:t>
            </w:r>
          </w:p>
        </w:tc>
        <w:tc>
          <w:tcPr>
            <w:tcW w:w="2760"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本年支出合计</w:t>
            </w:r>
          </w:p>
        </w:tc>
        <w:tc>
          <w:tcPr>
            <w:tcW w:w="2760"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基本支出</w:t>
            </w:r>
          </w:p>
        </w:tc>
        <w:tc>
          <w:tcPr>
            <w:tcW w:w="2760"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项目支出</w:t>
            </w:r>
          </w:p>
        </w:tc>
        <w:tc>
          <w:tcPr>
            <w:tcW w:w="2760"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上缴上级支出</w:t>
            </w:r>
          </w:p>
        </w:tc>
        <w:tc>
          <w:tcPr>
            <w:tcW w:w="2760"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经营支出</w:t>
            </w:r>
          </w:p>
        </w:tc>
        <w:tc>
          <w:tcPr>
            <w:tcW w:w="2770"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对附属单位补助支出</w:t>
            </w:r>
          </w:p>
        </w:tc>
      </w:tr>
      <w:tr>
        <w:tblPrEx>
          <w:tblCellMar>
            <w:top w:w="0" w:type="dxa"/>
            <w:left w:w="0" w:type="dxa"/>
            <w:bottom w:w="0" w:type="dxa"/>
            <w:right w:w="0" w:type="dxa"/>
          </w:tblCellMar>
        </w:tblPrEx>
        <w:trPr>
          <w:trHeight w:val="338" w:hRule="atLeast"/>
        </w:trPr>
        <w:tc>
          <w:tcPr>
            <w:tcW w:w="2082" w:type="dxa"/>
            <w:vMerge w:val="restar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功能分类科目编码</w:t>
            </w:r>
          </w:p>
        </w:tc>
        <w:tc>
          <w:tcPr>
            <w:tcW w:w="3528" w:type="dxa"/>
            <w:vMerge w:val="restart"/>
            <w:tcBorders>
              <w:top w:val="nil"/>
              <w:left w:val="nil"/>
              <w:bottom w:val="single" w:color="000000" w:sz="4" w:space="0"/>
              <w:right w:val="nil"/>
            </w:tcBorders>
            <w:shd w:val="clear" w:color="FFFFFF" w:fill="C0C0C0"/>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项目（按“项”级功能分类科目）</w:t>
            </w: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77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r>
      <w:tr>
        <w:tblPrEx>
          <w:tblCellMar>
            <w:top w:w="0" w:type="dxa"/>
            <w:left w:w="0" w:type="dxa"/>
            <w:bottom w:w="0" w:type="dxa"/>
            <w:right w:w="0" w:type="dxa"/>
          </w:tblCellMar>
        </w:tblPrEx>
        <w:trPr>
          <w:trHeight w:val="338" w:hRule="atLeast"/>
        </w:trPr>
        <w:tc>
          <w:tcPr>
            <w:tcW w:w="2082" w:type="dxa"/>
            <w:vMerge w:val="continue"/>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rPr>
                <w:rFonts w:hint="default" w:cs="宋体"/>
                <w:b/>
                <w:color w:val="000000"/>
                <w:sz w:val="22"/>
                <w:szCs w:val="22"/>
              </w:rPr>
            </w:pPr>
          </w:p>
        </w:tc>
        <w:tc>
          <w:tcPr>
            <w:tcW w:w="3528" w:type="dxa"/>
            <w:vMerge w:val="continue"/>
            <w:tcBorders>
              <w:top w:val="nil"/>
              <w:left w:val="nil"/>
              <w:bottom w:val="single" w:color="000000" w:sz="4" w:space="0"/>
              <w:right w:val="nil"/>
            </w:tcBorders>
            <w:shd w:val="clear" w:color="FFFFFF" w:fill="C0C0C0"/>
            <w:noWrap/>
            <w:tcMar>
              <w:top w:w="15" w:type="dxa"/>
              <w:left w:w="15" w:type="dxa"/>
              <w:right w:w="15" w:type="dxa"/>
            </w:tcMar>
            <w:vAlign w:val="center"/>
          </w:tcPr>
          <w:p>
            <w:pPr>
              <w:jc w:val="center"/>
              <w:rPr>
                <w:rFonts w:hint="default" w:cs="宋体"/>
                <w:b/>
                <w:color w:val="000000"/>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77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r>
      <w:tr>
        <w:tblPrEx>
          <w:tblCellMar>
            <w:top w:w="0" w:type="dxa"/>
            <w:left w:w="0" w:type="dxa"/>
            <w:bottom w:w="0" w:type="dxa"/>
            <w:right w:w="0" w:type="dxa"/>
          </w:tblCellMar>
        </w:tblPrEx>
        <w:trPr>
          <w:trHeight w:val="338" w:hRule="atLeast"/>
        </w:trPr>
        <w:tc>
          <w:tcPr>
            <w:tcW w:w="2082" w:type="dxa"/>
            <w:vMerge w:val="continue"/>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rPr>
                <w:rFonts w:hint="default" w:cs="宋体"/>
                <w:b/>
                <w:color w:val="000000"/>
                <w:sz w:val="22"/>
                <w:szCs w:val="22"/>
              </w:rPr>
            </w:pPr>
          </w:p>
        </w:tc>
        <w:tc>
          <w:tcPr>
            <w:tcW w:w="3528" w:type="dxa"/>
            <w:vMerge w:val="continue"/>
            <w:tcBorders>
              <w:top w:val="nil"/>
              <w:left w:val="nil"/>
              <w:bottom w:val="single" w:color="000000" w:sz="4" w:space="0"/>
              <w:right w:val="nil"/>
            </w:tcBorders>
            <w:shd w:val="clear" w:color="FFFFFF" w:fill="C0C0C0"/>
            <w:noWrap/>
            <w:tcMar>
              <w:top w:w="15" w:type="dxa"/>
              <w:left w:w="15" w:type="dxa"/>
              <w:right w:w="15" w:type="dxa"/>
            </w:tcMar>
            <w:vAlign w:val="center"/>
          </w:tcPr>
          <w:p>
            <w:pPr>
              <w:jc w:val="center"/>
              <w:rPr>
                <w:rFonts w:hint="default" w:cs="宋体"/>
                <w:b/>
                <w:color w:val="000000"/>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77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r>
      <w:tr>
        <w:tblPrEx>
          <w:tblCellMar>
            <w:top w:w="0" w:type="dxa"/>
            <w:left w:w="0" w:type="dxa"/>
            <w:bottom w:w="0" w:type="dxa"/>
            <w:right w:w="0" w:type="dxa"/>
          </w:tblCellMar>
        </w:tblPrEx>
        <w:trPr>
          <w:trHeight w:val="338" w:hRule="atLeast"/>
        </w:trPr>
        <w:tc>
          <w:tcPr>
            <w:tcW w:w="2082" w:type="dxa"/>
            <w:vMerge w:val="continue"/>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rPr>
                <w:rFonts w:hint="default" w:cs="宋体"/>
                <w:b/>
                <w:color w:val="000000"/>
                <w:sz w:val="22"/>
                <w:szCs w:val="22"/>
              </w:rPr>
            </w:pPr>
          </w:p>
        </w:tc>
        <w:tc>
          <w:tcPr>
            <w:tcW w:w="3528" w:type="dxa"/>
            <w:vMerge w:val="continue"/>
            <w:tcBorders>
              <w:top w:val="nil"/>
              <w:left w:val="nil"/>
              <w:bottom w:val="single" w:color="000000" w:sz="4" w:space="0"/>
              <w:right w:val="nil"/>
            </w:tcBorders>
            <w:shd w:val="clear" w:color="FFFFFF" w:fill="C0C0C0"/>
            <w:noWrap/>
            <w:tcMar>
              <w:top w:w="15" w:type="dxa"/>
              <w:left w:w="15" w:type="dxa"/>
              <w:right w:w="15" w:type="dxa"/>
            </w:tcMar>
            <w:vAlign w:val="center"/>
          </w:tcPr>
          <w:p>
            <w:pPr>
              <w:jc w:val="center"/>
              <w:rPr>
                <w:rFonts w:hint="default" w:cs="宋体"/>
                <w:b/>
                <w:color w:val="000000"/>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77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r>
      <w:tr>
        <w:tblPrEx>
          <w:tblCellMar>
            <w:top w:w="0" w:type="dxa"/>
            <w:left w:w="0" w:type="dxa"/>
            <w:bottom w:w="0" w:type="dxa"/>
            <w:right w:w="0" w:type="dxa"/>
          </w:tblCellMar>
        </w:tblPrEx>
        <w:trPr>
          <w:trHeight w:val="362" w:hRule="atLeast"/>
        </w:trPr>
        <w:tc>
          <w:tcPr>
            <w:tcW w:w="5610" w:type="dxa"/>
            <w:gridSpan w:val="2"/>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合计</w:t>
            </w:r>
          </w:p>
        </w:tc>
        <w:tc>
          <w:tcPr>
            <w:tcW w:w="27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bCs/>
                <w:color w:val="000000"/>
                <w:sz w:val="21"/>
                <w:szCs w:val="21"/>
              </w:rPr>
              <w:t>2,947.02</w:t>
            </w:r>
          </w:p>
        </w:tc>
        <w:tc>
          <w:tcPr>
            <w:tcW w:w="27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bCs/>
                <w:color w:val="000000"/>
                <w:sz w:val="21"/>
                <w:szCs w:val="21"/>
              </w:rPr>
              <w:t>1,734.10</w:t>
            </w:r>
          </w:p>
        </w:tc>
        <w:tc>
          <w:tcPr>
            <w:tcW w:w="27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bCs/>
                <w:color w:val="000000"/>
                <w:sz w:val="21"/>
                <w:szCs w:val="21"/>
              </w:rPr>
              <w:t>1,212.92</w:t>
            </w:r>
          </w:p>
        </w:tc>
        <w:tc>
          <w:tcPr>
            <w:tcW w:w="27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p>
        </w:tc>
        <w:tc>
          <w:tcPr>
            <w:tcW w:w="27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p>
        </w:tc>
        <w:tc>
          <w:tcPr>
            <w:tcW w:w="277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201</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一般公共服务支出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959.73</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648.05</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311.67</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20101</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人大事务</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6.57</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6.57</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2010104</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人大会议</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5.28</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5.28</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2010108</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代表工作</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0.67</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0.67</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2010199</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其他人大事务支出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0.62</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0.62</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20102</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政协事务</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1.97</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1.97</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2010202</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一般行政管理事务</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1.97</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1.97</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20103</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政府办公厅（室）及相关机构事务</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880.82</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648.05</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232.77</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2010301</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行政运行</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648.05</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648.05</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2010302</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一般行政管理事务</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230.81</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230.81</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2010308</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信访事务</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1.96</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1.96</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20105</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统计信息事务</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3.18</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3.18</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2010507</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专项普查活动</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3.18</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3.18</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20113</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商贸事务</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11.08</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11.08</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2011302</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一般行政管理事务</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3.10</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3.10</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2011308</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招商引资</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7.98</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7.98</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20131</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党委办公厅（室）及相关机构事务</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6.41</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6.41</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2013102</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一般行政管理事务</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0.41</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0.41</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2013199</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其他党委办公厅（室）及相关机构事务支出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6.00</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6.00</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20136</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其他共产党事务支出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48.86</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48.86</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2013699</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其他共产党事务支出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48.86</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48.86</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20199</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其他一般公共服务支出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0.84</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0.84</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2019999</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其他一般公共服务支出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0.84</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0.84</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204</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公共安全支出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25.54</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25.54</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20402</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公安</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10.01</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10.01</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2040299</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其他公安支出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10.01</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10.01</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20406</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司法</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1.60</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1.60</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2040602</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一般行政管理事务</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1.60</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1.60</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20499</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其他公共安全支出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13.93</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13.93</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2049999</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其他公共安全支出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13.93</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13.93</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206</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科学技术支出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0.35</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0.35</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20699</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其他科学技术支出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0.35</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0.35</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2069999</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其他科学技术支出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0.35</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0.35</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207</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文化旅游体育与传媒支出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109.98</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107.14</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2.84</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20701</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文化和旅游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109.98</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107.14</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2.84</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2070109</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群众文化</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107.14</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107.14</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2070199</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其他文化和旅游支出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2.84</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2.84</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208</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社会保障和就业支出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431.83</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399.24</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32.59</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20801</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人力资源和社会保障管理事务</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138.78</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125.55</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13.23</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2080109</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社会保险经办机构</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0.18</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0.18</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2080150</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事业运行</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125.55</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125.55</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2080199</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其他人力资源和社会保障管理事务支出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13.05</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13.05</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20805</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行政事业单位养老支出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218.01</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218.01</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2080505</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机关事业单位基本养老保险缴费支出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97.48</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97.48</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2080506</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机关事业单位职业年金缴费支出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38.96</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38.96</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2080599</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其他行政事业单位养老支出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81.57</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81.57</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20808</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抚恤</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2.47</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2.47</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2080899</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其他优抚支出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2.47</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2.47</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20810</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社会福利</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2.95</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2.95</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2081006</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养老服务</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2.95</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2.95</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20811</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残疾人事业</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3.23</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3.23</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2081105</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残疾人就业</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1.00</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1.00</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2081199</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其他残疾人事业支出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2.23</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2.23</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20820</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临时救助</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2.00</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2.00</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2082001</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临时救助支出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2.00</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2.00</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20825</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其他生活救助</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3.45</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3.45</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2082501</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其他城市生活救助</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3.45</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3.45</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20828</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退役军人管理事务</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60.04</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55.68</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4.36</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2082850</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事业运行</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55.68</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55.68</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2082899</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其他退役军人事务管理支出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4.36</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4.36</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20899</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其他社会保障和就业支出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0.89</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0.89</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2089999</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其他社会保障和就业支出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0.89</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0.89</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210</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卫生健康支出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68.32</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55.03</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13.29</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21004</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公共卫生</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10.41</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10.41</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2100410</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突发公共卫生事件应急处理</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10.41</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10.41</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21007</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计划生育事务</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0.18</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0.18</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2100799</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其他计划生育事务支出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0.18</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0.18</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21011</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行政事业单位医疗</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55.03</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55.03</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2101101</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行政单位医疗</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33.21</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33.21</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2101102</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事业单位医疗</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21.82</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21.82</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21015</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医疗保障管理事务</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2.04</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2.04</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2101506</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医疗保障经办事务</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2.04</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2.04</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21099</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其他卫生健康支出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0.66</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0.66</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2109999</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其他卫生健康支出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0.66</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0.66</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211</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节能环保支出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5.00</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5.00</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21104</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自然生态保护</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5.00</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5.00</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2110499</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其他自然生态保护支出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5.00</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5.00</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212</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城乡社区支出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147.05</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107.31</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39.74</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21201</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城乡社区管理事务</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107.31</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107.31</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2120104</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城管执法</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107.31</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107.31</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21203</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城乡社区公共设施</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5.89</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5.89</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2120303</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小城镇基础设施建设</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5.89</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5.89</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21205</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城乡社区环境卫生</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33.64</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33.64</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2120501</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城乡社区环境卫生</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33.64</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33.64</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21208</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国有土地使用权出让收入安排的支出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0.20</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0.20</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2120899</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其他国有土地使用权出让收入安排的支出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0.20</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0.20</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213</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农林水支出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664.90</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324.73</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340.17</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21301</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农业农村</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200.32</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133.52</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66.81</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2130104</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事业运行</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133.52</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133.52</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2130108</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病虫害控制</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1.86</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1.86</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2130135</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农业资源保护修复与利用</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64.60</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64.60</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2130199</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其他农业农村支出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0.35</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0.35</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21302</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林业和草原</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36.93</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36.93</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2130205</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森林资源培育</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35.58</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35.58</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2130234</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林业草原防灾减灾</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1.35</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1.35</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21303</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水利</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38.99</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38.99</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2130314</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防汛</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7.00</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7.00</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2130315</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抗旱</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31.99</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31.99</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21305</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巩固脱贫攻坚成果衔接乡村振兴</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5.94</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5.94</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2130599</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其他巩固</w:t>
            </w:r>
            <w:r>
              <w:rPr>
                <w:rFonts w:hint="eastAsia" w:cs="宋体"/>
                <w:color w:val="000000"/>
                <w:sz w:val="21"/>
                <w:szCs w:val="21"/>
                <w:lang w:eastAsia="zh-CN"/>
              </w:rPr>
              <w:t>拓展</w:t>
            </w:r>
            <w:r>
              <w:rPr>
                <w:rFonts w:cs="宋体"/>
                <w:color w:val="000000"/>
                <w:sz w:val="21"/>
                <w:szCs w:val="21"/>
              </w:rPr>
              <w:t>脱贫攻坚成果衔接乡村振兴支出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5.94</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5.94</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21307</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农村综合改革</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382.72</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191.21</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191.51</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2130701</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对村级公益事业建设的补助</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126.00</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126.00</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2130705</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对村民委员会和村党支部的补助</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256.72</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191.21</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65.51</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214</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交通运输支出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125.82</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125.82</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21401</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公路水路运输</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125.82</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125.82</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2140106</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公路养护</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125.82</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125.82</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215</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资源勘探工业信息等支出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267.51</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267.51</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21508</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支持中小企业发展和管理支出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267.51</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267.51</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2150899</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其他支持中小企业发展和管理支出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267.51</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267.51</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221</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住房保障支出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101.30</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92.60</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8.70</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22101</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保障性安居工程支出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8.70</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8.70</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2210105</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农村危房改造</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8.70</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8.70</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22102</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住房改革支出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92.60</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92.60</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2210201</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住房公积金</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92.60</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92.60</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223</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国有资本经营预算支出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0.03</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0.03</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22301</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解决历史遗留问题及改革成本支出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0.03</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0.03</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2230105</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国有企业退休人员社会化管理补助支出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0.03</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0.03</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224</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灾害防治及应急管理支出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39.68</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39.68</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22401</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应急管理事务</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1.59</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1.59</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2240108</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应急救援</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1.59</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1.59</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22402</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消防救援事务</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1.80</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1.80</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2240204</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消防应急救援</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1.80</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1.80</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22406</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自然灾害防治</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27.31</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27.31</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2240601</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地质灾害防治</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12.20</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12.20</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2240602</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森林草原防灾减灾</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15.11</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15.11</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22407</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自然灾害救灾及恢复重建支出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8.98</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8.98</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2240703</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自然灾害救灾补助</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8.98</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8.98</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bl>
    <w:p>
      <w:pPr>
        <w:rPr>
          <w:rFonts w:hint="default" w:cs="宋体"/>
          <w:sz w:val="21"/>
          <w:szCs w:val="21"/>
        </w:rPr>
      </w:pPr>
      <w:r>
        <w:rPr>
          <w:rFonts w:cs="宋体"/>
          <w:sz w:val="21"/>
          <w:szCs w:val="21"/>
        </w:rPr>
        <w:t>备注：1.本表反映部门本年度各项支出情况。</w:t>
      </w:r>
      <w:r>
        <w:rPr>
          <w:rFonts w:cs="宋体"/>
          <w:sz w:val="21"/>
          <w:szCs w:val="21"/>
        </w:rPr>
        <w:br w:type="textWrapping"/>
      </w:r>
      <w:r>
        <w:rPr>
          <w:rFonts w:cs="宋体"/>
          <w:sz w:val="21"/>
          <w:szCs w:val="21"/>
        </w:rPr>
        <w:t xml:space="preserve">      2.本套报表金额单位转换时可能存在尾数误差。</w:t>
      </w:r>
      <w:r>
        <w:rPr>
          <w:rFonts w:cs="宋体"/>
          <w:sz w:val="21"/>
          <w:szCs w:val="21"/>
        </w:rPr>
        <w:br w:type="textWrapping"/>
      </w:r>
      <w:r>
        <w:rPr>
          <w:rFonts w:cs="宋体"/>
          <w:sz w:val="21"/>
          <w:szCs w:val="21"/>
        </w:rPr>
        <w:br w:type="textWrapping"/>
      </w:r>
    </w:p>
    <w:p>
      <w:pPr>
        <w:rPr>
          <w:rFonts w:hint="default" w:cs="宋体"/>
          <w:sz w:val="21"/>
          <w:szCs w:val="21"/>
        </w:rPr>
      </w:pPr>
      <w:r>
        <w:rPr>
          <w:rFonts w:cs="宋体"/>
          <w:sz w:val="21"/>
          <w:szCs w:val="21"/>
        </w:rPr>
        <w:br w:type="page"/>
      </w:r>
    </w:p>
    <w:p>
      <w:pPr>
        <w:rPr>
          <w:rFonts w:hint="default" w:cs="宋体"/>
          <w:sz w:val="21"/>
          <w:szCs w:val="21"/>
        </w:rPr>
      </w:pPr>
    </w:p>
    <w:tbl>
      <w:tblPr>
        <w:tblStyle w:val="8"/>
        <w:tblW w:w="22360" w:type="dxa"/>
        <w:tblInd w:w="0" w:type="dxa"/>
        <w:tblLayout w:type="fixed"/>
        <w:tblCellMar>
          <w:top w:w="0" w:type="dxa"/>
          <w:left w:w="0" w:type="dxa"/>
          <w:bottom w:w="0" w:type="dxa"/>
          <w:right w:w="0" w:type="dxa"/>
        </w:tblCellMar>
      </w:tblPr>
      <w:tblGrid>
        <w:gridCol w:w="4068"/>
        <w:gridCol w:w="2674"/>
        <w:gridCol w:w="3752"/>
        <w:gridCol w:w="2952"/>
        <w:gridCol w:w="2952"/>
        <w:gridCol w:w="2952"/>
        <w:gridCol w:w="3010"/>
      </w:tblGrid>
      <w:tr>
        <w:tblPrEx>
          <w:tblCellMar>
            <w:top w:w="0" w:type="dxa"/>
            <w:left w:w="0" w:type="dxa"/>
            <w:bottom w:w="0" w:type="dxa"/>
            <w:right w:w="0" w:type="dxa"/>
          </w:tblCellMar>
        </w:tblPrEx>
        <w:trPr>
          <w:trHeight w:val="90" w:hRule="atLeast"/>
        </w:trPr>
        <w:tc>
          <w:tcPr>
            <w:tcW w:w="22360" w:type="dxa"/>
            <w:gridSpan w:val="7"/>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40"/>
                <w:szCs w:val="40"/>
              </w:rPr>
            </w:pPr>
            <w:r>
              <w:rPr>
                <w:rFonts w:cs="宋体"/>
                <w:b/>
                <w:color w:val="000000"/>
                <w:sz w:val="44"/>
                <w:szCs w:val="44"/>
              </w:rPr>
              <w:t>财政拨款收入支出决算总表</w:t>
            </w:r>
          </w:p>
        </w:tc>
      </w:tr>
      <w:tr>
        <w:tblPrEx>
          <w:tblCellMar>
            <w:top w:w="0" w:type="dxa"/>
            <w:left w:w="0" w:type="dxa"/>
            <w:bottom w:w="0" w:type="dxa"/>
            <w:right w:w="0" w:type="dxa"/>
          </w:tblCellMar>
        </w:tblPrEx>
        <w:trPr>
          <w:trHeight w:val="90" w:hRule="atLeast"/>
        </w:trPr>
        <w:tc>
          <w:tcPr>
            <w:tcW w:w="6742" w:type="dxa"/>
            <w:gridSpan w:val="2"/>
            <w:vMerge w:val="restart"/>
            <w:tcBorders>
              <w:top w:val="nil"/>
              <w:left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r>
              <w:rPr>
                <w:rFonts w:asciiTheme="minorEastAsia" w:hAnsiTheme="minorEastAsia" w:eastAsiaTheme="minorEastAsia" w:cstheme="minorEastAsia"/>
              </w:rPr>
              <w:t>公开部门</w:t>
            </w:r>
            <w:r>
              <w:rPr>
                <w:rFonts w:asciiTheme="minorEastAsia" w:hAnsiTheme="minorEastAsia" w:eastAsiaTheme="minorEastAsia" w:cstheme="minorEastAsia"/>
                <w:color w:val="000000"/>
              </w:rPr>
              <w:t xml:space="preserve">： </w:t>
            </w:r>
            <w:r>
              <w:rPr>
                <w:color w:val="000000"/>
              </w:rPr>
              <w:t>垫江县五洞镇人民政府</w:t>
            </w:r>
          </w:p>
        </w:tc>
        <w:tc>
          <w:tcPr>
            <w:tcW w:w="3752"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2952"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2952"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2952"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3010"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rPr>
            </w:pPr>
            <w:r>
              <w:rPr>
                <w:rFonts w:cs="宋体"/>
                <w:color w:val="000000"/>
              </w:rPr>
              <w:t>公开04表</w:t>
            </w:r>
          </w:p>
        </w:tc>
      </w:tr>
      <w:tr>
        <w:tblPrEx>
          <w:tblCellMar>
            <w:top w:w="0" w:type="dxa"/>
            <w:left w:w="0" w:type="dxa"/>
            <w:bottom w:w="0" w:type="dxa"/>
            <w:right w:w="0" w:type="dxa"/>
          </w:tblCellMar>
        </w:tblPrEx>
        <w:trPr>
          <w:trHeight w:val="90" w:hRule="atLeast"/>
        </w:trPr>
        <w:tc>
          <w:tcPr>
            <w:tcW w:w="6742" w:type="dxa"/>
            <w:gridSpan w:val="2"/>
            <w:vMerge w:val="continue"/>
            <w:tcBorders>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p>
        </w:tc>
        <w:tc>
          <w:tcPr>
            <w:tcW w:w="3752"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p>
        </w:tc>
        <w:tc>
          <w:tcPr>
            <w:tcW w:w="2952"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p>
        </w:tc>
        <w:tc>
          <w:tcPr>
            <w:tcW w:w="2952"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p>
        </w:tc>
        <w:tc>
          <w:tcPr>
            <w:tcW w:w="2952"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p>
        </w:tc>
        <w:tc>
          <w:tcPr>
            <w:tcW w:w="3010"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rPr>
            </w:pPr>
            <w:r>
              <w:rPr>
                <w:rFonts w:cs="宋体"/>
                <w:color w:val="000000"/>
              </w:rPr>
              <w:t>单位：</w:t>
            </w:r>
            <w:r>
              <w:rPr>
                <w:rFonts w:cs="宋体"/>
              </w:rPr>
              <w:t>万元</w:t>
            </w:r>
          </w:p>
        </w:tc>
      </w:tr>
      <w:tr>
        <w:tblPrEx>
          <w:tblCellMar>
            <w:top w:w="0" w:type="dxa"/>
            <w:left w:w="0" w:type="dxa"/>
            <w:bottom w:w="0" w:type="dxa"/>
            <w:right w:w="0" w:type="dxa"/>
          </w:tblCellMar>
        </w:tblPrEx>
        <w:trPr>
          <w:trHeight w:val="90" w:hRule="atLeast"/>
        </w:trPr>
        <w:tc>
          <w:tcPr>
            <w:tcW w:w="6742" w:type="dxa"/>
            <w:gridSpan w:val="2"/>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收     入</w:t>
            </w:r>
          </w:p>
        </w:tc>
        <w:tc>
          <w:tcPr>
            <w:tcW w:w="15618" w:type="dxa"/>
            <w:gridSpan w:val="5"/>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支     出</w:t>
            </w:r>
          </w:p>
        </w:tc>
      </w:tr>
      <w:tr>
        <w:tblPrEx>
          <w:tblCellMar>
            <w:top w:w="0" w:type="dxa"/>
            <w:left w:w="0" w:type="dxa"/>
            <w:bottom w:w="0" w:type="dxa"/>
            <w:right w:w="0" w:type="dxa"/>
          </w:tblCellMar>
        </w:tblPrEx>
        <w:trPr>
          <w:trHeight w:val="90" w:hRule="atLeast"/>
        </w:trPr>
        <w:tc>
          <w:tcPr>
            <w:tcW w:w="4068"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项目</w:t>
            </w:r>
          </w:p>
        </w:tc>
        <w:tc>
          <w:tcPr>
            <w:tcW w:w="2674"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决算数</w:t>
            </w:r>
          </w:p>
        </w:tc>
        <w:tc>
          <w:tcPr>
            <w:tcW w:w="3752"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功能分类科目</w:t>
            </w:r>
          </w:p>
        </w:tc>
        <w:tc>
          <w:tcPr>
            <w:tcW w:w="11866" w:type="dxa"/>
            <w:gridSpan w:val="4"/>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决算数</w:t>
            </w:r>
          </w:p>
        </w:tc>
      </w:tr>
      <w:tr>
        <w:tblPrEx>
          <w:tblCellMar>
            <w:top w:w="0" w:type="dxa"/>
            <w:left w:w="0" w:type="dxa"/>
            <w:bottom w:w="0" w:type="dxa"/>
            <w:right w:w="0" w:type="dxa"/>
          </w:tblCellMar>
        </w:tblPrEx>
        <w:trPr>
          <w:trHeight w:val="90" w:hRule="atLeast"/>
        </w:trPr>
        <w:tc>
          <w:tcPr>
            <w:tcW w:w="4068"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674"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3752"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9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小计</w:t>
            </w:r>
          </w:p>
        </w:tc>
        <w:tc>
          <w:tcPr>
            <w:tcW w:w="295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一般公共预算财政拨款</w:t>
            </w:r>
          </w:p>
        </w:tc>
        <w:tc>
          <w:tcPr>
            <w:tcW w:w="295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政府性基金预算财政拨款</w:t>
            </w:r>
          </w:p>
        </w:tc>
        <w:tc>
          <w:tcPr>
            <w:tcW w:w="301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国有资本经营预算财政拨款</w:t>
            </w: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一、一般公共预算财政拨款</w:t>
            </w: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2,928.89</w:t>
            </w: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一、一般公共服务支出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959.73</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959.73</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二、政府性基金预算财政拨款</w:t>
            </w: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0.20</w:t>
            </w: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二、外交支出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三、国有资本经营预算财政拨款</w:t>
            </w: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0.03</w:t>
            </w: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三、国防支出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四、公共安全支出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25.54</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25.54</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五、教育支出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六、科学技术支出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0.35</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0.35</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七、文化旅游体育与传媒支出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109.98</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109.98</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八、社会保障和就业支出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431.83</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431.83</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九、卫生健康支出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68.32</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68.32</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sz w:val="22"/>
                <w:szCs w:val="22"/>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十、节能环保支出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5.00</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5.00</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sz w:val="22"/>
                <w:szCs w:val="22"/>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十一、城乡社区支出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147.05</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146.85</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0.20</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sz w:val="22"/>
                <w:szCs w:val="22"/>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十二、农林水支出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664.90</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664.90</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sz w:val="22"/>
                <w:szCs w:val="22"/>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十三、交通运输支出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125.82</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125.82</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sz w:val="22"/>
                <w:szCs w:val="22"/>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十四、资源勘探工业信息等支出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267.51</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267.51</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sz w:val="22"/>
                <w:szCs w:val="22"/>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十五、商业服务业等支出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sz w:val="22"/>
                <w:szCs w:val="22"/>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十六、金融支出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sz w:val="22"/>
                <w:szCs w:val="22"/>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十七、援助其他地区支出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sz w:val="22"/>
                <w:szCs w:val="22"/>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十八、自然资源海洋气象等支出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sz w:val="22"/>
                <w:szCs w:val="22"/>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十九、住房保障支出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101.30</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101.30</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sz w:val="22"/>
                <w:szCs w:val="22"/>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二十、粮油物资储备支出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sz w:val="22"/>
                <w:szCs w:val="22"/>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二十一、国有资本经营预算支出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0.03</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0.03</w:t>
            </w: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sz w:val="22"/>
                <w:szCs w:val="22"/>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二十二、灾害防治及应急管理支出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39.68</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39.68</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sz w:val="22"/>
                <w:szCs w:val="22"/>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二十三、其他支出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bottom"/>
          </w:tcPr>
          <w:p>
            <w:pPr>
              <w:rPr>
                <w:rFonts w:hint="default" w:ascii="Arial" w:hAnsi="Arial" w:cs="Arial"/>
                <w:color w:val="000000"/>
                <w:sz w:val="20"/>
                <w:szCs w:val="20"/>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Arial" w:hAnsi="Arial" w:cs="Arial"/>
                <w:color w:val="000000"/>
                <w:sz w:val="20"/>
                <w:szCs w:val="20"/>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二十四、债务还本支出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bottom"/>
          </w:tcPr>
          <w:p>
            <w:pPr>
              <w:rPr>
                <w:rFonts w:hint="default" w:ascii="Arial" w:hAnsi="Arial" w:cs="Arial"/>
                <w:color w:val="000000"/>
                <w:sz w:val="20"/>
                <w:szCs w:val="20"/>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Arial" w:hAnsi="Arial" w:cs="Arial"/>
                <w:color w:val="000000"/>
                <w:sz w:val="20"/>
                <w:szCs w:val="20"/>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二十五、债务付息支出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bottom"/>
          </w:tcPr>
          <w:p>
            <w:pPr>
              <w:rPr>
                <w:rFonts w:hint="default" w:ascii="Arial" w:hAnsi="Arial" w:cs="Arial"/>
                <w:color w:val="000000"/>
                <w:sz w:val="20"/>
                <w:szCs w:val="20"/>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Arial" w:hAnsi="Arial" w:cs="Arial"/>
                <w:color w:val="000000"/>
                <w:sz w:val="20"/>
                <w:szCs w:val="20"/>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二十六、抗疫特别国债安排的支出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本年收入合计</w:t>
            </w: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2,929.12</w:t>
            </w: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本年支出合计</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2,947.02</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2,946.79</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0.20</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0.03</w:t>
            </w: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年初财政拨款结转和结余</w:t>
            </w: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17.91</w:t>
            </w: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年末财政拨款结转和结余</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一般公共预算财政拨款</w:t>
            </w: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17.91</w:t>
            </w:r>
          </w:p>
        </w:tc>
        <w:tc>
          <w:tcPr>
            <w:tcW w:w="3752" w:type="dxa"/>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bottom"/>
          </w:tcPr>
          <w:p>
            <w:pPr>
              <w:rPr>
                <w:rFonts w:hint="default" w:ascii="Arial" w:hAnsi="Arial" w:cs="Arial"/>
                <w:color w:val="000000"/>
                <w:sz w:val="20"/>
                <w:szCs w:val="20"/>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政府性基金预算财政拨款</w:t>
            </w: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rPr>
                <w:rFonts w:hint="default" w:cs="宋体"/>
                <w:b/>
                <w:color w:val="000000"/>
                <w:sz w:val="22"/>
                <w:szCs w:val="22"/>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sz w:val="20"/>
                <w:szCs w:val="20"/>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sz w:val="20"/>
                <w:szCs w:val="20"/>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sz w:val="20"/>
                <w:szCs w:val="20"/>
              </w:rPr>
            </w:pP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sz w:val="22"/>
                <w:szCs w:val="22"/>
              </w:rPr>
            </w:pP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国有资本经营预算财政拨款</w:t>
            </w: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rPr>
                <w:rFonts w:hint="default" w:cs="宋体"/>
                <w:b/>
                <w:color w:val="000000"/>
                <w:sz w:val="22"/>
                <w:szCs w:val="22"/>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sz w:val="20"/>
                <w:szCs w:val="20"/>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sz w:val="20"/>
                <w:szCs w:val="20"/>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sz w:val="20"/>
                <w:szCs w:val="20"/>
              </w:rPr>
            </w:pP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sz w:val="22"/>
                <w:szCs w:val="22"/>
              </w:rPr>
            </w:pP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总计</w:t>
            </w: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2,947.02</w:t>
            </w: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总计</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1"/>
                <w:szCs w:val="21"/>
              </w:rPr>
              <w:t>2,947.02</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1"/>
                <w:szCs w:val="21"/>
              </w:rPr>
              <w:t>2,946.79</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1"/>
                <w:szCs w:val="21"/>
              </w:rPr>
              <w:t>0.20</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0.03</w:t>
            </w:r>
          </w:p>
        </w:tc>
      </w:tr>
    </w:tbl>
    <w:p>
      <w:pPr>
        <w:rPr>
          <w:rFonts w:hint="default" w:cs="宋体"/>
          <w:sz w:val="21"/>
          <w:szCs w:val="21"/>
        </w:rPr>
      </w:pPr>
      <w:r>
        <w:rPr>
          <w:rFonts w:cs="宋体"/>
          <w:sz w:val="21"/>
          <w:szCs w:val="21"/>
        </w:rPr>
        <w:t>备注：1.本表反映部门本年度一般公共预算财政拨款、政府性基金预算财政拨款及国有资本经营预算财政拨款的总收支和年末结转结余情况。</w:t>
      </w:r>
      <w:r>
        <w:rPr>
          <w:rFonts w:cs="宋体"/>
          <w:sz w:val="21"/>
          <w:szCs w:val="21"/>
        </w:rPr>
        <w:br w:type="textWrapping"/>
      </w:r>
      <w:r>
        <w:rPr>
          <w:rFonts w:cs="宋体"/>
          <w:sz w:val="21"/>
          <w:szCs w:val="21"/>
        </w:rPr>
        <w:t xml:space="preserve">      2.本套报表金额单位转换时可能存在尾数误差。</w:t>
      </w:r>
      <w:r>
        <w:rPr>
          <w:rFonts w:cs="宋体"/>
          <w:sz w:val="21"/>
          <w:szCs w:val="21"/>
        </w:rPr>
        <w:br w:type="textWrapping"/>
      </w:r>
      <w:r>
        <w:rPr>
          <w:rFonts w:cs="宋体"/>
          <w:sz w:val="21"/>
          <w:szCs w:val="21"/>
        </w:rPr>
        <w:br w:type="textWrapping"/>
      </w:r>
    </w:p>
    <w:p>
      <w:pPr>
        <w:rPr>
          <w:rFonts w:hint="default" w:cs="宋体"/>
          <w:sz w:val="21"/>
          <w:szCs w:val="21"/>
        </w:rPr>
      </w:pPr>
      <w:r>
        <w:rPr>
          <w:rFonts w:cs="宋体"/>
          <w:sz w:val="21"/>
          <w:szCs w:val="21"/>
        </w:rPr>
        <w:br w:type="page"/>
      </w:r>
    </w:p>
    <w:tbl>
      <w:tblPr>
        <w:tblStyle w:val="8"/>
        <w:tblW w:w="22300" w:type="dxa"/>
        <w:tblInd w:w="0" w:type="dxa"/>
        <w:tblLayout w:type="fixed"/>
        <w:tblCellMar>
          <w:top w:w="0" w:type="dxa"/>
          <w:left w:w="0" w:type="dxa"/>
          <w:bottom w:w="0" w:type="dxa"/>
          <w:right w:w="0" w:type="dxa"/>
        </w:tblCellMar>
      </w:tblPr>
      <w:tblGrid>
        <w:gridCol w:w="2694"/>
        <w:gridCol w:w="5151"/>
        <w:gridCol w:w="4817"/>
        <w:gridCol w:w="4817"/>
        <w:gridCol w:w="4821"/>
      </w:tblGrid>
      <w:tr>
        <w:tblPrEx>
          <w:tblCellMar>
            <w:top w:w="0" w:type="dxa"/>
            <w:left w:w="0" w:type="dxa"/>
            <w:bottom w:w="0" w:type="dxa"/>
            <w:right w:w="0" w:type="dxa"/>
          </w:tblCellMar>
        </w:tblPrEx>
        <w:trPr>
          <w:trHeight w:val="510" w:hRule="atLeast"/>
        </w:trPr>
        <w:tc>
          <w:tcPr>
            <w:tcW w:w="22300" w:type="dxa"/>
            <w:gridSpan w:val="5"/>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40"/>
                <w:szCs w:val="40"/>
              </w:rPr>
            </w:pPr>
            <w:r>
              <w:rPr>
                <w:rFonts w:cs="宋体"/>
                <w:b/>
                <w:color w:val="000000"/>
                <w:sz w:val="44"/>
                <w:szCs w:val="44"/>
              </w:rPr>
              <w:t>一般公共预算财政拨款支出决算表</w:t>
            </w:r>
          </w:p>
        </w:tc>
      </w:tr>
      <w:tr>
        <w:tblPrEx>
          <w:tblCellMar>
            <w:top w:w="0" w:type="dxa"/>
            <w:left w:w="0" w:type="dxa"/>
            <w:bottom w:w="0" w:type="dxa"/>
            <w:right w:w="0" w:type="dxa"/>
          </w:tblCellMar>
        </w:tblPrEx>
        <w:trPr>
          <w:trHeight w:val="255" w:hRule="atLeast"/>
        </w:trPr>
        <w:tc>
          <w:tcPr>
            <w:tcW w:w="7845" w:type="dxa"/>
            <w:gridSpan w:val="2"/>
            <w:vMerge w:val="restart"/>
            <w:tcBorders>
              <w:top w:val="nil"/>
              <w:left w:val="nil"/>
              <w:right w:val="nil"/>
            </w:tcBorders>
            <w:shd w:val="clear" w:color="auto" w:fill="auto"/>
            <w:noWrap/>
            <w:tcMar>
              <w:top w:w="15" w:type="dxa"/>
              <w:left w:w="15" w:type="dxa"/>
              <w:right w:w="15" w:type="dxa"/>
            </w:tcMar>
            <w:vAlign w:val="bottom"/>
          </w:tcPr>
          <w:p>
            <w:pPr>
              <w:rPr>
                <w:rFonts w:hint="default" w:ascii="Arial" w:hAnsi="Arial" w:cs="Arial"/>
                <w:color w:val="000000"/>
                <w:sz w:val="20"/>
                <w:szCs w:val="20"/>
              </w:rPr>
            </w:pPr>
            <w:r>
              <w:rPr>
                <w:rFonts w:asciiTheme="minorEastAsia" w:hAnsiTheme="minorEastAsia" w:eastAsiaTheme="minorEastAsia" w:cstheme="minorEastAsia"/>
              </w:rPr>
              <w:t>公开部门</w:t>
            </w:r>
            <w:r>
              <w:rPr>
                <w:rFonts w:asciiTheme="minorEastAsia" w:hAnsiTheme="minorEastAsia" w:eastAsiaTheme="minorEastAsia" w:cstheme="minorEastAsia"/>
                <w:color w:val="000000"/>
              </w:rPr>
              <w:t xml:space="preserve">： </w:t>
            </w:r>
            <w:r>
              <w:rPr>
                <w:color w:val="000000"/>
              </w:rPr>
              <w:t>垫江县五洞镇人民政府</w:t>
            </w:r>
          </w:p>
        </w:tc>
        <w:tc>
          <w:tcPr>
            <w:tcW w:w="4817"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4817"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4821"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rPr>
            </w:pPr>
            <w:r>
              <w:rPr>
                <w:rFonts w:cs="宋体"/>
                <w:color w:val="000000"/>
              </w:rPr>
              <w:t>公开05表</w:t>
            </w:r>
          </w:p>
        </w:tc>
      </w:tr>
      <w:tr>
        <w:tblPrEx>
          <w:tblCellMar>
            <w:top w:w="0" w:type="dxa"/>
            <w:left w:w="0" w:type="dxa"/>
            <w:bottom w:w="0" w:type="dxa"/>
            <w:right w:w="0" w:type="dxa"/>
          </w:tblCellMar>
        </w:tblPrEx>
        <w:trPr>
          <w:trHeight w:val="285" w:hRule="atLeast"/>
        </w:trPr>
        <w:tc>
          <w:tcPr>
            <w:tcW w:w="7845" w:type="dxa"/>
            <w:gridSpan w:val="2"/>
            <w:vMerge w:val="continue"/>
            <w:tcBorders>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p>
        </w:tc>
        <w:tc>
          <w:tcPr>
            <w:tcW w:w="4817"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p>
        </w:tc>
        <w:tc>
          <w:tcPr>
            <w:tcW w:w="4817"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p>
        </w:tc>
        <w:tc>
          <w:tcPr>
            <w:tcW w:w="4821"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rPr>
            </w:pPr>
            <w:r>
              <w:rPr>
                <w:rFonts w:cs="宋体"/>
                <w:color w:val="000000"/>
              </w:rPr>
              <w:t>单位：</w:t>
            </w:r>
            <w:r>
              <w:rPr>
                <w:rFonts w:cs="宋体"/>
              </w:rPr>
              <w:t>万元</w:t>
            </w:r>
          </w:p>
        </w:tc>
      </w:tr>
      <w:tr>
        <w:tblPrEx>
          <w:tblCellMar>
            <w:top w:w="0" w:type="dxa"/>
            <w:left w:w="0" w:type="dxa"/>
            <w:bottom w:w="0" w:type="dxa"/>
            <w:right w:w="0" w:type="dxa"/>
          </w:tblCellMar>
        </w:tblPrEx>
        <w:trPr>
          <w:trHeight w:val="308" w:hRule="atLeast"/>
        </w:trPr>
        <w:tc>
          <w:tcPr>
            <w:tcW w:w="7845" w:type="dxa"/>
            <w:gridSpan w:val="2"/>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项目</w:t>
            </w:r>
          </w:p>
        </w:tc>
        <w:tc>
          <w:tcPr>
            <w:tcW w:w="14455" w:type="dxa"/>
            <w:gridSpan w:val="3"/>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本年支出</w:t>
            </w:r>
          </w:p>
        </w:tc>
      </w:tr>
      <w:tr>
        <w:tblPrEx>
          <w:tblCellMar>
            <w:top w:w="0" w:type="dxa"/>
            <w:left w:w="0" w:type="dxa"/>
            <w:bottom w:w="0" w:type="dxa"/>
            <w:right w:w="0" w:type="dxa"/>
          </w:tblCellMar>
        </w:tblPrEx>
        <w:trPr>
          <w:trHeight w:val="312" w:hRule="atLeast"/>
        </w:trPr>
        <w:tc>
          <w:tcPr>
            <w:tcW w:w="2694" w:type="dxa"/>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功能分类科目编码</w:t>
            </w:r>
          </w:p>
        </w:tc>
        <w:tc>
          <w:tcPr>
            <w:tcW w:w="5151"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项目（按“项”级功能分类科目）</w:t>
            </w:r>
          </w:p>
        </w:tc>
        <w:tc>
          <w:tcPr>
            <w:tcW w:w="4817"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合计</w:t>
            </w:r>
          </w:p>
        </w:tc>
        <w:tc>
          <w:tcPr>
            <w:tcW w:w="4817"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基本支出</w:t>
            </w:r>
          </w:p>
        </w:tc>
        <w:tc>
          <w:tcPr>
            <w:tcW w:w="4821"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项目支出</w:t>
            </w:r>
          </w:p>
        </w:tc>
      </w:tr>
      <w:tr>
        <w:tblPrEx>
          <w:tblCellMar>
            <w:top w:w="0" w:type="dxa"/>
            <w:left w:w="0" w:type="dxa"/>
            <w:bottom w:w="0" w:type="dxa"/>
            <w:right w:w="0" w:type="dxa"/>
          </w:tblCellMar>
        </w:tblPrEx>
        <w:trPr>
          <w:trHeight w:val="312" w:hRule="atLeast"/>
        </w:trPr>
        <w:tc>
          <w:tcPr>
            <w:tcW w:w="2694"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5151"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4817"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4817"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4821"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r>
      <w:tr>
        <w:tblPrEx>
          <w:tblCellMar>
            <w:top w:w="0" w:type="dxa"/>
            <w:left w:w="0" w:type="dxa"/>
            <w:bottom w:w="0" w:type="dxa"/>
            <w:right w:w="0" w:type="dxa"/>
          </w:tblCellMar>
        </w:tblPrEx>
        <w:trPr>
          <w:trHeight w:val="615" w:hRule="atLeast"/>
        </w:trPr>
        <w:tc>
          <w:tcPr>
            <w:tcW w:w="2694"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5151"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4817"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4817"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4821"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r>
      <w:tr>
        <w:tblPrEx>
          <w:tblCellMar>
            <w:top w:w="0" w:type="dxa"/>
            <w:left w:w="0" w:type="dxa"/>
            <w:bottom w:w="0" w:type="dxa"/>
            <w:right w:w="0" w:type="dxa"/>
          </w:tblCellMar>
        </w:tblPrEx>
        <w:trPr>
          <w:trHeight w:val="308" w:hRule="atLeast"/>
        </w:trPr>
        <w:tc>
          <w:tcPr>
            <w:tcW w:w="7845" w:type="dxa"/>
            <w:gridSpan w:val="2"/>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合计</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bCs/>
                <w:color w:val="000000"/>
                <w:sz w:val="21"/>
                <w:szCs w:val="21"/>
              </w:rPr>
              <w:t>2,946.79</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bCs/>
                <w:color w:val="000000"/>
                <w:sz w:val="21"/>
                <w:szCs w:val="21"/>
              </w:rPr>
              <w:t>1,734.10</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bCs/>
                <w:color w:val="000000"/>
                <w:sz w:val="21"/>
                <w:szCs w:val="21"/>
              </w:rPr>
              <w:t>1,212.69</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201</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一般公共服务支出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959.73</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648.05</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311.67</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20101</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人大事务</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6.57</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6.57</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2010104</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人大会议</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5.28</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5.28</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2010108</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代表工作</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0.67</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0.67</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2010199</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其他人大事务支出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0.62</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0.62</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20102</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政协事务</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1.97</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1.97</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2010202</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一般行政管理事务</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1.97</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1.97</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20103</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政府办公厅（室）及相关机构事务</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880.82</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648.05</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232.77</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2010301</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行政运行</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648.05</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648.05</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2010302</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一般行政管理事务</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230.81</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230.81</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2010308</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信访事务</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1.96</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1.96</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20105</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统计信息事务</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3.18</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3.18</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2010507</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专项普查活动</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3.18</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3.18</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20113</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商贸事务</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11.08</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11.08</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2011302</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一般行政管理事务</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3.10</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3.10</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2011308</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招商引资</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7.98</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7.98</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20131</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党委办公厅（室）及相关机构事务</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6.41</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6.41</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2013102</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一般行政管理事务</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0.41</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0.41</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2013199</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其他党委办公厅（室）及相关机构事务支出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6.00</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6.00</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20136</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其他共产党事务支出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48.86</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48.86</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2013699</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其他共产党事务支出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48.86</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48.86</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20199</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其他一般公共服务支出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0.84</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0.84</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2019999</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其他一般公共服务支出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0.84</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0.84</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204</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公共安全支出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25.54</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25.54</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20402</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公安</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10.01</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10.01</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2040299</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其他公安支出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10.01</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10.01</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20406</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司法</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1.60</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1.60</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2040602</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一般行政管理事务</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1.60</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1.60</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20499</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其他公共安全支出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13.93</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13.93</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2049999</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其他公共安全支出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13.93</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13.93</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206</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科学技术支出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0.35</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0.35</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20699</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其他科学技术支出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0.35</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0.35</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2069999</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其他科学技术支出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0.35</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0.35</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207</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文化旅游体育与传媒支出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109.98</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107.14</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2.84</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20701</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文化和旅游</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109.98</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107.14</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2.84</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2070109</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群众文化</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107.14</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107.14</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2070199</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其他文化和旅游支出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2.84</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2.84</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208</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社会保障和就业支出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431.83</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399.24</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32.59</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20801</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人力资源和社会保障管理事务</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138.78</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125.55</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13.23</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2080109</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社会保险经办机构</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0.18</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0.18</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2080150</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事业运行</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125.55</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125.55</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2080199</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其他人力资源和社会保障管理事务支出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13.05</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13.05</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20805</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行政事业单位养老支出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218.01</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218.01</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2080505</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机关事业单位基本养老保险缴费支出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97.48</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97.48</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2080506</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机关事业单位职业年金缴费支出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38.96</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38.96</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2080599</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其他行政事业单位养老支出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81.57</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81.57</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20808</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抚恤</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2.47</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2.47</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2080899</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其他优抚支出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2.47</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2.47</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20810</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社会福利</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2.95</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2.95</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2081006</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养老服务</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2.95</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2.95</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20811</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残疾人事业</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3.23</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3.23</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2081105</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残疾人就业</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1.00</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1.00</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2081199</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其他残疾人事业支出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2.23</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2.23</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20820</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临时救助</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2.00</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2.00</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2082001</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临时救助支出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2.00</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2.00</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20825</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其他生活救助</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3.45</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3.45</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2082501</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其他城市生活救助</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3.45</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3.45</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20828</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退役军人管理事务</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60.04</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55.68</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4.36</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2082850</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事业运行</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55.68</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55.68</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2082899</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其他退役军人事务管理支出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4.36</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4.36</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20899</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其他社会保障和就业支出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0.89</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0.89</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2089999</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其他社会保障和就业支出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0.89</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0.89</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210</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卫生健康支出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68.32</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55.03</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13.29</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21004</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公共卫生</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10.41</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10.41</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2100410</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突发公共卫生事件应急处理</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10.41</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10.41</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21007</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计划生育事务</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0.18</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0.18</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2100799</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其他计划生育事务支出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0.18</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0.18</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21011</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行政事业单位医疗</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55.03</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55.03</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2101101</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行政单位医疗</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33.21</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33.21</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2101102</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事业单位医疗</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21.82</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21.82</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21015</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医疗保障管理事务</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2.04</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2.04</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2101506</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医疗保障经办事务</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2.04</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2.04</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21099</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其他卫生健康支出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0.66</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0.66</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2109999</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其他卫生健康支出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0.66</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0.66</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211</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节能环保支出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5.00</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5.00</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21104</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自然生态保护</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5.00</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5.00</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2110499</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其他自然生态保护支出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5.00</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5.00</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212</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城乡社区支出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146.85</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107.31</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39.54</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21201</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城乡社区管理事务</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107.31</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107.31</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2120104</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城管执法</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107.31</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107.31</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21203</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城乡社区公共设施</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5.89</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5.89</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2120303</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小城镇基础设施建设</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5.89</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5.89</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21205</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城乡社区环境卫生</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33.64</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33.64</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2120501</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城乡社区环境卫生</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33.64</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33.64</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213</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农林水支出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664.90</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324.73</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340.17</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21301</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农业农村</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200.32</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133.52</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66.81</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2130104</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事业运行</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133.52</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133.52</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2130108</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病虫害控制</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1.86</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1.86</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2130135</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农业资源保护修复与利用</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64.60</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64.60</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2130199</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其他农业农村支出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0.35</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0.35</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21302</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林业和草原</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36.93</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36.93</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2130205</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森林资源培育</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35.58</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35.58</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2130234</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林业草原防灾减灾</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1.35</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1.35</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21303</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水利</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38.99</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38.99</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2130314</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防汛</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7.00</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7.00</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2130315</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抗旱</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31.99</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31.99</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21305</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巩固脱贫攻坚成果衔接乡村振兴</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5.94</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5.94</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2130599</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其他巩固</w:t>
            </w:r>
            <w:r>
              <w:rPr>
                <w:rFonts w:hint="eastAsia" w:cs="宋体"/>
                <w:color w:val="000000"/>
                <w:sz w:val="21"/>
                <w:szCs w:val="21"/>
                <w:lang w:eastAsia="zh-CN"/>
              </w:rPr>
              <w:t>拓展</w:t>
            </w:r>
            <w:r>
              <w:rPr>
                <w:rFonts w:cs="宋体"/>
                <w:color w:val="000000"/>
                <w:sz w:val="21"/>
                <w:szCs w:val="21"/>
              </w:rPr>
              <w:t>脱贫攻坚成果衔接乡村振兴支出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5.94</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5.94</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21307</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农村综合改革</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382.72</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191.21</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191.51</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2130701</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对村级公益事业建设的补助</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126.00</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126.00</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2130705</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对村民委员会和村党支部的补助</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256.72</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191.21</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65.51</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214</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交通运输支出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125.82</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125.82</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21401</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公路水路运输</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125.82</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125.82</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2140106</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公路养护</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125.82</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125.82</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215</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资源勘探工业信息等支出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267.51</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267.51</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21508</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支持中小企业发展和管理支出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267.51</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267.51</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2150899</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其他支持中小企业发展和管理支出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267.51</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267.51</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221</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住房保障支出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101.30</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92.60</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8.70</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22101</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保障性安居工程支出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8.70</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8.70</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2210105</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农村危房改造</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8.70</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8.70</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22102</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住房改革支出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92.60</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92.60</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2210201</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住房公积金</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92.60</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92.60</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224</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灾害防治及应急管理支出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39.68</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39.68</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22401</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应急管理事务</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1.59</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1.59</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2240108</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应急救援</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1.59</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1.59</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22402</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消防救援事务</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1.80</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1.80</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2240204</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消防应急救援</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1.80</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1.80</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22406</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自然灾害防治</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27.31</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27.31</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2240601</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地质灾害防治</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12.20</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12.20</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2240602</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森林草原防灾减灾</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15.11</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15.11</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22407</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自然灾害救灾及恢复重建支出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8.98</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8.98</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2240703</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自然灾害救灾补助</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8.98</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8.98</w:t>
            </w:r>
          </w:p>
        </w:tc>
      </w:tr>
    </w:tbl>
    <w:p>
      <w:pPr>
        <w:rPr>
          <w:rFonts w:hint="default" w:cs="宋体"/>
          <w:sz w:val="21"/>
          <w:szCs w:val="21"/>
        </w:rPr>
      </w:pPr>
      <w:r>
        <w:rPr>
          <w:rFonts w:cs="宋体"/>
          <w:sz w:val="21"/>
          <w:szCs w:val="21"/>
        </w:rPr>
        <w:t>备注：1.本表反映部门本年度一般公共预算财政拨款支出情况。</w:t>
      </w:r>
      <w:r>
        <w:rPr>
          <w:rFonts w:cs="宋体"/>
          <w:sz w:val="21"/>
          <w:szCs w:val="21"/>
        </w:rPr>
        <w:br w:type="textWrapping"/>
      </w:r>
      <w:r>
        <w:rPr>
          <w:rFonts w:cs="宋体"/>
          <w:sz w:val="21"/>
          <w:szCs w:val="21"/>
        </w:rPr>
        <w:t xml:space="preserve">      2.本套报表金额单位转换时可能存在尾数误差。</w:t>
      </w:r>
      <w:r>
        <w:rPr>
          <w:rFonts w:cs="宋体"/>
          <w:sz w:val="21"/>
          <w:szCs w:val="21"/>
        </w:rPr>
        <w:br w:type="textWrapping"/>
      </w:r>
      <w:r>
        <w:rPr>
          <w:rFonts w:cs="宋体"/>
          <w:sz w:val="21"/>
          <w:szCs w:val="21"/>
        </w:rPr>
        <w:br w:type="textWrapping"/>
      </w:r>
    </w:p>
    <w:p>
      <w:pPr>
        <w:ind w:firstLine="630" w:firstLineChars="300"/>
        <w:rPr>
          <w:rFonts w:hint="default" w:cs="宋体"/>
          <w:sz w:val="21"/>
          <w:szCs w:val="21"/>
        </w:rPr>
      </w:pPr>
      <w:r>
        <w:rPr>
          <w:rFonts w:cs="宋体"/>
          <w:sz w:val="21"/>
          <w:szCs w:val="21"/>
        </w:rPr>
        <w:br w:type="page"/>
      </w:r>
    </w:p>
    <w:tbl>
      <w:tblPr>
        <w:tblStyle w:val="8"/>
        <w:tblW w:w="22280" w:type="dxa"/>
        <w:tblInd w:w="0" w:type="dxa"/>
        <w:tblLayout w:type="fixed"/>
        <w:tblCellMar>
          <w:top w:w="0" w:type="dxa"/>
          <w:left w:w="0" w:type="dxa"/>
          <w:bottom w:w="0" w:type="dxa"/>
          <w:right w:w="0" w:type="dxa"/>
        </w:tblCellMar>
      </w:tblPr>
      <w:tblGrid>
        <w:gridCol w:w="1289"/>
        <w:gridCol w:w="3495"/>
        <w:gridCol w:w="2829"/>
        <w:gridCol w:w="1122"/>
        <w:gridCol w:w="2330"/>
        <w:gridCol w:w="2747"/>
        <w:gridCol w:w="1509"/>
        <w:gridCol w:w="4465"/>
        <w:gridCol w:w="2494"/>
      </w:tblGrid>
      <w:tr>
        <w:tblPrEx>
          <w:tblCellMar>
            <w:top w:w="0" w:type="dxa"/>
            <w:left w:w="0" w:type="dxa"/>
            <w:bottom w:w="0" w:type="dxa"/>
            <w:right w:w="0" w:type="dxa"/>
          </w:tblCellMar>
        </w:tblPrEx>
        <w:trPr>
          <w:trHeight w:val="590" w:hRule="atLeast"/>
        </w:trPr>
        <w:tc>
          <w:tcPr>
            <w:tcW w:w="22280" w:type="dxa"/>
            <w:gridSpan w:val="9"/>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40"/>
                <w:szCs w:val="40"/>
              </w:rPr>
            </w:pPr>
            <w:r>
              <w:rPr>
                <w:rFonts w:cs="宋体"/>
                <w:b/>
                <w:color w:val="000000"/>
                <w:sz w:val="44"/>
                <w:szCs w:val="44"/>
              </w:rPr>
              <w:t>一般公共预算财政拨款基本支出决算表</w:t>
            </w:r>
          </w:p>
        </w:tc>
      </w:tr>
      <w:tr>
        <w:tblPrEx>
          <w:tblCellMar>
            <w:top w:w="0" w:type="dxa"/>
            <w:left w:w="0" w:type="dxa"/>
            <w:bottom w:w="0" w:type="dxa"/>
            <w:right w:w="0" w:type="dxa"/>
          </w:tblCellMar>
        </w:tblPrEx>
        <w:trPr>
          <w:trHeight w:val="302" w:hRule="atLeast"/>
        </w:trPr>
        <w:tc>
          <w:tcPr>
            <w:tcW w:w="4784" w:type="dxa"/>
            <w:gridSpan w:val="2"/>
            <w:vMerge w:val="restart"/>
            <w:tcBorders>
              <w:top w:val="nil"/>
              <w:left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r>
              <w:rPr>
                <w:rFonts w:asciiTheme="minorEastAsia" w:hAnsiTheme="minorEastAsia" w:eastAsiaTheme="minorEastAsia" w:cstheme="minorEastAsia"/>
              </w:rPr>
              <w:t>公开部门</w:t>
            </w:r>
            <w:r>
              <w:rPr>
                <w:rFonts w:asciiTheme="minorEastAsia" w:hAnsiTheme="minorEastAsia" w:eastAsiaTheme="minorEastAsia" w:cstheme="minorEastAsia"/>
                <w:color w:val="000000"/>
              </w:rPr>
              <w:t xml:space="preserve">： </w:t>
            </w:r>
            <w:r>
              <w:rPr>
                <w:color w:val="000000"/>
              </w:rPr>
              <w:t>垫江县五洞镇人民政府</w:t>
            </w:r>
          </w:p>
        </w:tc>
        <w:tc>
          <w:tcPr>
            <w:tcW w:w="2829"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1122"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2330"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2747"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1509"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4465"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2494"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rPr>
            </w:pPr>
            <w:r>
              <w:rPr>
                <w:rFonts w:cs="宋体"/>
                <w:color w:val="000000"/>
              </w:rPr>
              <w:t>公开06表</w:t>
            </w:r>
          </w:p>
        </w:tc>
      </w:tr>
      <w:tr>
        <w:tblPrEx>
          <w:tblCellMar>
            <w:top w:w="0" w:type="dxa"/>
            <w:left w:w="0" w:type="dxa"/>
            <w:bottom w:w="0" w:type="dxa"/>
            <w:right w:w="0" w:type="dxa"/>
          </w:tblCellMar>
        </w:tblPrEx>
        <w:trPr>
          <w:trHeight w:val="302" w:hRule="atLeast"/>
        </w:trPr>
        <w:tc>
          <w:tcPr>
            <w:tcW w:w="4784" w:type="dxa"/>
            <w:gridSpan w:val="2"/>
            <w:vMerge w:val="continue"/>
            <w:tcBorders>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p>
        </w:tc>
        <w:tc>
          <w:tcPr>
            <w:tcW w:w="2829"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p>
        </w:tc>
        <w:tc>
          <w:tcPr>
            <w:tcW w:w="1122"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p>
        </w:tc>
        <w:tc>
          <w:tcPr>
            <w:tcW w:w="2330"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p>
        </w:tc>
        <w:tc>
          <w:tcPr>
            <w:tcW w:w="2747"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p>
        </w:tc>
        <w:tc>
          <w:tcPr>
            <w:tcW w:w="1509"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p>
        </w:tc>
        <w:tc>
          <w:tcPr>
            <w:tcW w:w="4465"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p>
        </w:tc>
        <w:tc>
          <w:tcPr>
            <w:tcW w:w="2494"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rPr>
            </w:pPr>
            <w:r>
              <w:rPr>
                <w:rFonts w:cs="宋体"/>
                <w:color w:val="000000"/>
              </w:rPr>
              <w:t>单位：</w:t>
            </w:r>
            <w:r>
              <w:rPr>
                <w:rFonts w:cs="宋体"/>
              </w:rPr>
              <w:t>万元</w:t>
            </w:r>
          </w:p>
        </w:tc>
      </w:tr>
      <w:tr>
        <w:tblPrEx>
          <w:tblCellMar>
            <w:top w:w="0" w:type="dxa"/>
            <w:left w:w="0" w:type="dxa"/>
            <w:bottom w:w="0" w:type="dxa"/>
            <w:right w:w="0" w:type="dxa"/>
          </w:tblCellMar>
        </w:tblPrEx>
        <w:trPr>
          <w:trHeight w:val="311" w:hRule="atLeast"/>
        </w:trPr>
        <w:tc>
          <w:tcPr>
            <w:tcW w:w="7613" w:type="dxa"/>
            <w:gridSpan w:val="3"/>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人员经费</w:t>
            </w:r>
          </w:p>
        </w:tc>
        <w:tc>
          <w:tcPr>
            <w:tcW w:w="14667" w:type="dxa"/>
            <w:gridSpan w:val="6"/>
            <w:tcBorders>
              <w:top w:val="single" w:color="000000" w:sz="4" w:space="0"/>
              <w:left w:val="nil"/>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公用经费</w:t>
            </w:r>
          </w:p>
        </w:tc>
      </w:tr>
      <w:tr>
        <w:tblPrEx>
          <w:tblCellMar>
            <w:top w:w="0" w:type="dxa"/>
            <w:left w:w="0" w:type="dxa"/>
            <w:bottom w:w="0" w:type="dxa"/>
            <w:right w:w="0" w:type="dxa"/>
          </w:tblCellMar>
        </w:tblPrEx>
        <w:trPr>
          <w:trHeight w:val="312" w:hRule="atLeast"/>
        </w:trPr>
        <w:tc>
          <w:tcPr>
            <w:tcW w:w="1289" w:type="dxa"/>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经济分类科目编码</w:t>
            </w:r>
          </w:p>
        </w:tc>
        <w:tc>
          <w:tcPr>
            <w:tcW w:w="3495"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经济分类科目（按“款”级功能分类科目）</w:t>
            </w:r>
          </w:p>
        </w:tc>
        <w:tc>
          <w:tcPr>
            <w:tcW w:w="2829"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金额</w:t>
            </w:r>
          </w:p>
        </w:tc>
        <w:tc>
          <w:tcPr>
            <w:tcW w:w="1122" w:type="dxa"/>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经济分类科目编码</w:t>
            </w:r>
          </w:p>
        </w:tc>
        <w:tc>
          <w:tcPr>
            <w:tcW w:w="2330"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经济分类科目（按“款”级功能分类科目）</w:t>
            </w:r>
          </w:p>
        </w:tc>
        <w:tc>
          <w:tcPr>
            <w:tcW w:w="2747"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金额</w:t>
            </w:r>
          </w:p>
        </w:tc>
        <w:tc>
          <w:tcPr>
            <w:tcW w:w="1509" w:type="dxa"/>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经济分类科目编码</w:t>
            </w:r>
          </w:p>
        </w:tc>
        <w:tc>
          <w:tcPr>
            <w:tcW w:w="4465"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经济分类科目（按“款”级功能分类科目）</w:t>
            </w:r>
          </w:p>
        </w:tc>
        <w:tc>
          <w:tcPr>
            <w:tcW w:w="2494"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金额</w:t>
            </w:r>
          </w:p>
        </w:tc>
      </w:tr>
      <w:tr>
        <w:tblPrEx>
          <w:tblCellMar>
            <w:top w:w="0" w:type="dxa"/>
            <w:left w:w="0" w:type="dxa"/>
            <w:bottom w:w="0" w:type="dxa"/>
            <w:right w:w="0" w:type="dxa"/>
          </w:tblCellMar>
        </w:tblPrEx>
        <w:trPr>
          <w:trHeight w:val="799" w:hRule="atLeast"/>
        </w:trPr>
        <w:tc>
          <w:tcPr>
            <w:tcW w:w="1289"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3495"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829"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1122"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330"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747"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1509"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4465"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494"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301</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工资福利支出</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1,221.38</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302</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商品和服务支出</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231.06</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310</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资本性支出</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8.26</w:t>
            </w: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30101</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基本工资</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219.34</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30201</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办公费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13.71</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31001</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房屋建筑物购建</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30102</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津贴补贴</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101.53</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30202</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印刷费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0.20</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31002</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办公设备购置</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8.26</w:t>
            </w: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30103</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奖金</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190.23</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30203</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咨询费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31003</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专用设备购置</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30106</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伙食补助费</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56.48</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30204</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手续费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31005</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基础设施建设</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30107</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绩效工资</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319.45</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30205</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水费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1.66</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31006</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大型修缮</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r>
      <w:tr>
        <w:tblPrEx>
          <w:tblCellMar>
            <w:top w:w="0" w:type="dxa"/>
            <w:left w:w="0" w:type="dxa"/>
            <w:bottom w:w="0" w:type="dxa"/>
            <w:right w:w="0" w:type="dxa"/>
          </w:tblCellMar>
        </w:tblPrEx>
        <w:trPr>
          <w:trHeight w:val="333"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30108</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机关事业单位基本养老保险缴费</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97.48</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30206</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电费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7.76</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31007</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信息网络及软件购置更新</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30109</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职业年金缴费</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38.96</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30207</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邮电费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26.23</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31008</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物资储备</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r>
      <w:tr>
        <w:tblPrEx>
          <w:tblCellMar>
            <w:top w:w="0" w:type="dxa"/>
            <w:left w:w="0" w:type="dxa"/>
            <w:bottom w:w="0" w:type="dxa"/>
            <w:right w:w="0" w:type="dxa"/>
          </w:tblCellMar>
        </w:tblPrEx>
        <w:trPr>
          <w:trHeight w:val="364"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30110</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职工基本医疗保险缴费</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55.03</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30208</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取暖费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31009</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土地补偿</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30111</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公务员医疗补助缴费</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30209</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物业管理费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31010</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安置补助</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r>
      <w:tr>
        <w:tblPrEx>
          <w:tblCellMar>
            <w:top w:w="0" w:type="dxa"/>
            <w:left w:w="0" w:type="dxa"/>
            <w:bottom w:w="0" w:type="dxa"/>
            <w:right w:w="0" w:type="dxa"/>
          </w:tblCellMar>
        </w:tblPrEx>
        <w:trPr>
          <w:trHeight w:val="333"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30112</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其他社会保障缴费</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2.09</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30211</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差旅费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74.50</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31011</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地上附着物和青苗补偿</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30113</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住房公积金</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92.60</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30212</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因公出国（境）费用</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31012</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拆迁补偿</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30114</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医疗费</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13.66</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30213</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维修（护）费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2.72</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31013</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公务用车购置</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30199</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其他工资福利支出</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34.54</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30214</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租赁费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31019</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其他交通工具购置</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303</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对个人和家庭的补助</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273.40</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30215</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会议费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0.09</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31021</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文物和陈列品购置</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30301</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离休费</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30216</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培训费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2.08</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31022</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无形资产购置</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30302</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退休费</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30217</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公务接待费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4.55</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31099</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其他资本性支出</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30303</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退职（役）费</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30218</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专用材料费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312</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对企业补助</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30304</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抚恤金</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30224</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被装购置费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31201</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资本金注入</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30305</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生活补助</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259.90</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30225</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专用燃料费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31203</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政府投资基金股权投资</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30306</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救济费</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30226</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劳务费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0.53</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31204</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费用补贴</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30307</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医疗费补助</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5.20</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30227</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委托业务费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10.97</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31205</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利息补贴</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30308</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助学金</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30228</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工会经费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57.00</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31299</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其他对企业补助</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30309</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奖励金</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8.30</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30229</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福利费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0.54</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399</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其他支出</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30310</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个人农业生产补贴</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30231</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公务用车运行维护费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4.04</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39907</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国家赔偿费用支出</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30311</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代缴社会保险费</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30239</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其他交通费用</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17.77</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39908</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对民间非营利组织和群众性自治组织补贴</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30399</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其他对个人和家庭的补助</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30240</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税金及附加费用</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39909</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经常性赠与</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30299</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其他商品和服务支出</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6.69</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39910</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资本性赠与</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307</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债务利息及费用支出</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39999</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其他支出</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30701</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国内债务付息</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sz w:val="22"/>
                <w:szCs w:val="22"/>
              </w:rPr>
            </w:pP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30702</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国外债务付息</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sz w:val="22"/>
                <w:szCs w:val="22"/>
              </w:rPr>
            </w:pP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30703</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国内债务发行费用</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sz w:val="22"/>
                <w:szCs w:val="22"/>
              </w:rPr>
            </w:pP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30704</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国外债务发行费用</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sz w:val="22"/>
                <w:szCs w:val="22"/>
              </w:rPr>
            </w:pPr>
          </w:p>
        </w:tc>
      </w:tr>
      <w:tr>
        <w:tblPrEx>
          <w:tblCellMar>
            <w:top w:w="0" w:type="dxa"/>
            <w:left w:w="0" w:type="dxa"/>
            <w:bottom w:w="0" w:type="dxa"/>
            <w:right w:w="0" w:type="dxa"/>
          </w:tblCellMar>
        </w:tblPrEx>
        <w:trPr>
          <w:trHeight w:val="321" w:hRule="atLeast"/>
        </w:trPr>
        <w:tc>
          <w:tcPr>
            <w:tcW w:w="4784" w:type="dxa"/>
            <w:gridSpan w:val="2"/>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人员经费合计</w:t>
            </w:r>
          </w:p>
        </w:tc>
        <w:tc>
          <w:tcPr>
            <w:tcW w:w="28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rPr>
              <w:t>1,494.78</w:t>
            </w:r>
          </w:p>
        </w:tc>
        <w:tc>
          <w:tcPr>
            <w:tcW w:w="12173" w:type="dxa"/>
            <w:gridSpan w:val="5"/>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公用经费合计</w:t>
            </w:r>
          </w:p>
        </w:tc>
        <w:tc>
          <w:tcPr>
            <w:tcW w:w="24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239.32</w:t>
            </w:r>
          </w:p>
        </w:tc>
      </w:tr>
    </w:tbl>
    <w:p>
      <w:pPr>
        <w:rPr>
          <w:rFonts w:hint="default" w:cs="宋体"/>
          <w:sz w:val="21"/>
          <w:szCs w:val="21"/>
        </w:rPr>
      </w:pPr>
      <w:r>
        <w:rPr>
          <w:rFonts w:cs="宋体"/>
          <w:sz w:val="21"/>
          <w:szCs w:val="21"/>
        </w:rPr>
        <w:t>备注：1.本表反映部门本年度一般公共预算财政拨款基本支出明细情况。</w:t>
      </w:r>
      <w:r>
        <w:rPr>
          <w:rFonts w:cs="宋体"/>
          <w:sz w:val="21"/>
          <w:szCs w:val="21"/>
        </w:rPr>
        <w:br w:type="textWrapping"/>
      </w:r>
      <w:r>
        <w:rPr>
          <w:rFonts w:cs="宋体"/>
          <w:sz w:val="21"/>
          <w:szCs w:val="21"/>
        </w:rPr>
        <w:t xml:space="preserve">      2.本套报表金额单位转换时可能存在尾数误差。</w:t>
      </w:r>
      <w:r>
        <w:rPr>
          <w:rFonts w:cs="宋体"/>
          <w:sz w:val="21"/>
          <w:szCs w:val="21"/>
        </w:rPr>
        <w:br w:type="textWrapping"/>
      </w:r>
      <w:r>
        <w:rPr>
          <w:rFonts w:cs="宋体"/>
          <w:sz w:val="21"/>
          <w:szCs w:val="21"/>
        </w:rPr>
        <w:br w:type="textWrapping"/>
      </w:r>
    </w:p>
    <w:p>
      <w:pPr>
        <w:rPr>
          <w:rFonts w:hint="default" w:cs="宋体"/>
          <w:sz w:val="21"/>
          <w:szCs w:val="21"/>
        </w:rPr>
      </w:pPr>
      <w:r>
        <w:rPr>
          <w:rFonts w:cs="宋体"/>
          <w:sz w:val="21"/>
          <w:szCs w:val="21"/>
        </w:rPr>
        <w:br w:type="page"/>
      </w:r>
    </w:p>
    <w:tbl>
      <w:tblPr>
        <w:tblStyle w:val="8"/>
        <w:tblW w:w="22240" w:type="dxa"/>
        <w:tblInd w:w="0" w:type="dxa"/>
        <w:tblLayout w:type="fixed"/>
        <w:tblCellMar>
          <w:top w:w="0" w:type="dxa"/>
          <w:left w:w="0" w:type="dxa"/>
          <w:bottom w:w="0" w:type="dxa"/>
          <w:right w:w="0" w:type="dxa"/>
        </w:tblCellMar>
      </w:tblPr>
      <w:tblGrid>
        <w:gridCol w:w="2686"/>
        <w:gridCol w:w="4465"/>
        <w:gridCol w:w="2473"/>
        <w:gridCol w:w="2473"/>
        <w:gridCol w:w="2473"/>
        <w:gridCol w:w="2473"/>
        <w:gridCol w:w="2558"/>
        <w:gridCol w:w="2639"/>
      </w:tblGrid>
      <w:tr>
        <w:tblPrEx>
          <w:tblCellMar>
            <w:top w:w="0" w:type="dxa"/>
            <w:left w:w="0" w:type="dxa"/>
            <w:bottom w:w="0" w:type="dxa"/>
            <w:right w:w="0" w:type="dxa"/>
          </w:tblCellMar>
        </w:tblPrEx>
        <w:trPr>
          <w:trHeight w:val="644" w:hRule="atLeast"/>
        </w:trPr>
        <w:tc>
          <w:tcPr>
            <w:tcW w:w="22240" w:type="dxa"/>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40"/>
                <w:szCs w:val="40"/>
              </w:rPr>
            </w:pPr>
            <w:r>
              <w:rPr>
                <w:rFonts w:cs="宋体"/>
                <w:b/>
                <w:color w:val="000000"/>
                <w:sz w:val="44"/>
                <w:szCs w:val="44"/>
              </w:rPr>
              <w:t>政府性基金预算财政拨款收入支出决算表</w:t>
            </w:r>
          </w:p>
        </w:tc>
      </w:tr>
      <w:tr>
        <w:tblPrEx>
          <w:tblCellMar>
            <w:top w:w="0" w:type="dxa"/>
            <w:left w:w="0" w:type="dxa"/>
            <w:bottom w:w="0" w:type="dxa"/>
            <w:right w:w="0" w:type="dxa"/>
          </w:tblCellMar>
        </w:tblPrEx>
        <w:trPr>
          <w:trHeight w:val="329" w:hRule="atLeast"/>
        </w:trPr>
        <w:tc>
          <w:tcPr>
            <w:tcW w:w="7151" w:type="dxa"/>
            <w:gridSpan w:val="2"/>
            <w:vMerge w:val="restart"/>
            <w:tcBorders>
              <w:top w:val="nil"/>
              <w:left w:val="nil"/>
              <w:right w:val="nil"/>
            </w:tcBorders>
            <w:shd w:val="clear" w:color="auto" w:fill="auto"/>
            <w:noWrap/>
            <w:tcMar>
              <w:top w:w="15" w:type="dxa"/>
              <w:left w:w="15" w:type="dxa"/>
              <w:right w:w="15" w:type="dxa"/>
            </w:tcMar>
            <w:vAlign w:val="bottom"/>
          </w:tcPr>
          <w:p>
            <w:pPr>
              <w:rPr>
                <w:rFonts w:hint="default" w:ascii="Arial" w:hAnsi="Arial" w:cs="Arial"/>
                <w:color w:val="000000"/>
                <w:sz w:val="20"/>
                <w:szCs w:val="20"/>
              </w:rPr>
            </w:pPr>
            <w:r>
              <w:rPr>
                <w:rFonts w:asciiTheme="minorEastAsia" w:hAnsiTheme="minorEastAsia" w:eastAsiaTheme="minorEastAsia" w:cstheme="minorEastAsia"/>
              </w:rPr>
              <w:t>公开部门</w:t>
            </w:r>
            <w:r>
              <w:rPr>
                <w:rFonts w:asciiTheme="minorEastAsia" w:hAnsiTheme="minorEastAsia" w:eastAsiaTheme="minorEastAsia" w:cstheme="minorEastAsia"/>
                <w:color w:val="000000"/>
              </w:rPr>
              <w:t xml:space="preserve">： </w:t>
            </w:r>
            <w:r>
              <w:rPr>
                <w:color w:val="000000"/>
              </w:rPr>
              <w:t>垫江县五洞镇人民政府</w:t>
            </w:r>
          </w:p>
        </w:tc>
        <w:tc>
          <w:tcPr>
            <w:tcW w:w="2473"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2473"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2473"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2473"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2558"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2639"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rPr>
            </w:pPr>
            <w:r>
              <w:rPr>
                <w:rFonts w:cs="宋体"/>
                <w:color w:val="000000"/>
              </w:rPr>
              <w:t>公开07表</w:t>
            </w:r>
          </w:p>
        </w:tc>
      </w:tr>
      <w:tr>
        <w:tblPrEx>
          <w:tblCellMar>
            <w:top w:w="0" w:type="dxa"/>
            <w:left w:w="0" w:type="dxa"/>
            <w:bottom w:w="0" w:type="dxa"/>
            <w:right w:w="0" w:type="dxa"/>
          </w:tblCellMar>
        </w:tblPrEx>
        <w:trPr>
          <w:trHeight w:val="329" w:hRule="atLeast"/>
        </w:trPr>
        <w:tc>
          <w:tcPr>
            <w:tcW w:w="7151" w:type="dxa"/>
            <w:gridSpan w:val="2"/>
            <w:vMerge w:val="continue"/>
            <w:tcBorders>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p>
        </w:tc>
        <w:tc>
          <w:tcPr>
            <w:tcW w:w="2473"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p>
        </w:tc>
        <w:tc>
          <w:tcPr>
            <w:tcW w:w="2473"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p>
        </w:tc>
        <w:tc>
          <w:tcPr>
            <w:tcW w:w="2473"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p>
        </w:tc>
        <w:tc>
          <w:tcPr>
            <w:tcW w:w="2473"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p>
        </w:tc>
        <w:tc>
          <w:tcPr>
            <w:tcW w:w="2558"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p>
        </w:tc>
        <w:tc>
          <w:tcPr>
            <w:tcW w:w="2639"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rPr>
            </w:pPr>
            <w:r>
              <w:rPr>
                <w:rFonts w:cs="宋体"/>
                <w:color w:val="000000"/>
              </w:rPr>
              <w:t>单位：</w:t>
            </w:r>
            <w:r>
              <w:rPr>
                <w:rFonts w:cs="宋体"/>
              </w:rPr>
              <w:t>万元</w:t>
            </w:r>
          </w:p>
        </w:tc>
      </w:tr>
      <w:tr>
        <w:tblPrEx>
          <w:tblCellMar>
            <w:top w:w="0" w:type="dxa"/>
            <w:left w:w="0" w:type="dxa"/>
            <w:bottom w:w="0" w:type="dxa"/>
            <w:right w:w="0" w:type="dxa"/>
          </w:tblCellMar>
        </w:tblPrEx>
        <w:trPr>
          <w:trHeight w:val="339" w:hRule="atLeast"/>
        </w:trPr>
        <w:tc>
          <w:tcPr>
            <w:tcW w:w="7151" w:type="dxa"/>
            <w:gridSpan w:val="2"/>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项目</w:t>
            </w:r>
          </w:p>
        </w:tc>
        <w:tc>
          <w:tcPr>
            <w:tcW w:w="2473" w:type="dxa"/>
            <w:vMerge w:val="restart"/>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年初结转和结余</w:t>
            </w:r>
          </w:p>
        </w:tc>
        <w:tc>
          <w:tcPr>
            <w:tcW w:w="2473"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本年收入</w:t>
            </w:r>
          </w:p>
        </w:tc>
        <w:tc>
          <w:tcPr>
            <w:tcW w:w="7504" w:type="dxa"/>
            <w:gridSpan w:val="3"/>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本年支出</w:t>
            </w:r>
          </w:p>
        </w:tc>
        <w:tc>
          <w:tcPr>
            <w:tcW w:w="2639"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年末结转和结余</w:t>
            </w:r>
          </w:p>
        </w:tc>
      </w:tr>
      <w:tr>
        <w:tblPrEx>
          <w:tblCellMar>
            <w:top w:w="0" w:type="dxa"/>
            <w:left w:w="0" w:type="dxa"/>
            <w:bottom w:w="0" w:type="dxa"/>
            <w:right w:w="0" w:type="dxa"/>
          </w:tblCellMar>
        </w:tblPrEx>
        <w:trPr>
          <w:trHeight w:val="335" w:hRule="atLeast"/>
        </w:trPr>
        <w:tc>
          <w:tcPr>
            <w:tcW w:w="2686"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功能分类科目编码</w:t>
            </w:r>
          </w:p>
        </w:tc>
        <w:tc>
          <w:tcPr>
            <w:tcW w:w="4465"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项目（按“项”级功能分类科目）</w:t>
            </w:r>
          </w:p>
        </w:tc>
        <w:tc>
          <w:tcPr>
            <w:tcW w:w="2473"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47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473"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合计</w:t>
            </w:r>
          </w:p>
        </w:tc>
        <w:tc>
          <w:tcPr>
            <w:tcW w:w="2473"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基本支出</w:t>
            </w:r>
          </w:p>
        </w:tc>
        <w:tc>
          <w:tcPr>
            <w:tcW w:w="2558"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项目支出</w:t>
            </w:r>
          </w:p>
        </w:tc>
        <w:tc>
          <w:tcPr>
            <w:tcW w:w="2639"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r>
      <w:tr>
        <w:tblPrEx>
          <w:tblCellMar>
            <w:top w:w="0" w:type="dxa"/>
            <w:left w:w="0" w:type="dxa"/>
            <w:bottom w:w="0" w:type="dxa"/>
            <w:right w:w="0" w:type="dxa"/>
          </w:tblCellMar>
        </w:tblPrEx>
        <w:trPr>
          <w:trHeight w:val="335" w:hRule="atLeast"/>
        </w:trPr>
        <w:tc>
          <w:tcPr>
            <w:tcW w:w="2686"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4465"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473"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47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473"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473"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558"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639"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r>
      <w:tr>
        <w:tblPrEx>
          <w:tblCellMar>
            <w:top w:w="0" w:type="dxa"/>
            <w:left w:w="0" w:type="dxa"/>
            <w:bottom w:w="0" w:type="dxa"/>
            <w:right w:w="0" w:type="dxa"/>
          </w:tblCellMar>
        </w:tblPrEx>
        <w:trPr>
          <w:trHeight w:val="645" w:hRule="atLeast"/>
        </w:trPr>
        <w:tc>
          <w:tcPr>
            <w:tcW w:w="2686"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4465"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473"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47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473"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473"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558"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639"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r>
      <w:tr>
        <w:tblPrEx>
          <w:tblCellMar>
            <w:top w:w="0" w:type="dxa"/>
            <w:left w:w="0" w:type="dxa"/>
            <w:bottom w:w="0" w:type="dxa"/>
            <w:right w:w="0" w:type="dxa"/>
          </w:tblCellMar>
        </w:tblPrEx>
        <w:trPr>
          <w:trHeight w:val="339" w:hRule="atLeast"/>
        </w:trPr>
        <w:tc>
          <w:tcPr>
            <w:tcW w:w="7151" w:type="dxa"/>
            <w:gridSpan w:val="2"/>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合计</w:t>
            </w:r>
          </w:p>
        </w:tc>
        <w:tc>
          <w:tcPr>
            <w:tcW w:w="24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p>
        </w:tc>
        <w:tc>
          <w:tcPr>
            <w:tcW w:w="24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bCs/>
                <w:color w:val="000000"/>
                <w:sz w:val="21"/>
                <w:szCs w:val="21"/>
              </w:rPr>
              <w:t>0.20</w:t>
            </w:r>
          </w:p>
        </w:tc>
        <w:tc>
          <w:tcPr>
            <w:tcW w:w="24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bCs/>
                <w:color w:val="000000"/>
                <w:sz w:val="21"/>
                <w:szCs w:val="21"/>
              </w:rPr>
              <w:t>0.20</w:t>
            </w:r>
          </w:p>
        </w:tc>
        <w:tc>
          <w:tcPr>
            <w:tcW w:w="24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p>
        </w:tc>
        <w:tc>
          <w:tcPr>
            <w:tcW w:w="2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bCs/>
                <w:color w:val="000000"/>
                <w:sz w:val="21"/>
                <w:szCs w:val="21"/>
              </w:rPr>
              <w:t>0.20</w:t>
            </w:r>
          </w:p>
        </w:tc>
        <w:tc>
          <w:tcPr>
            <w:tcW w:w="26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p>
        </w:tc>
      </w:tr>
      <w:tr>
        <w:tblPrEx>
          <w:tblCellMar>
            <w:top w:w="0" w:type="dxa"/>
            <w:left w:w="0" w:type="dxa"/>
            <w:bottom w:w="0" w:type="dxa"/>
            <w:right w:w="0" w:type="dxa"/>
          </w:tblCellMar>
        </w:tblPrEx>
        <w:trPr>
          <w:trHeight w:val="349" w:hRule="atLeast"/>
        </w:trPr>
        <w:tc>
          <w:tcPr>
            <w:tcW w:w="26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2"/>
                <w:szCs w:val="22"/>
              </w:rPr>
            </w:pPr>
            <w:r>
              <w:rPr>
                <w:rFonts w:cs="宋体"/>
                <w:b/>
                <w:color w:val="000000"/>
                <w:sz w:val="21"/>
                <w:szCs w:val="21"/>
              </w:rPr>
              <w:t>212</w:t>
            </w:r>
          </w:p>
        </w:tc>
        <w:tc>
          <w:tcPr>
            <w:tcW w:w="44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2"/>
                <w:szCs w:val="22"/>
              </w:rPr>
            </w:pPr>
            <w:r>
              <w:rPr>
                <w:rFonts w:cs="宋体"/>
                <w:b/>
                <w:color w:val="000000"/>
                <w:sz w:val="21"/>
                <w:szCs w:val="21"/>
              </w:rPr>
              <w:t>城乡社区支出</w:t>
            </w:r>
          </w:p>
        </w:tc>
        <w:tc>
          <w:tcPr>
            <w:tcW w:w="24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p>
        </w:tc>
        <w:tc>
          <w:tcPr>
            <w:tcW w:w="24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0.20</w:t>
            </w:r>
          </w:p>
        </w:tc>
        <w:tc>
          <w:tcPr>
            <w:tcW w:w="24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0.20</w:t>
            </w:r>
          </w:p>
        </w:tc>
        <w:tc>
          <w:tcPr>
            <w:tcW w:w="24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p>
        </w:tc>
        <w:tc>
          <w:tcPr>
            <w:tcW w:w="2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0.20</w:t>
            </w:r>
          </w:p>
        </w:tc>
        <w:tc>
          <w:tcPr>
            <w:tcW w:w="26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p>
        </w:tc>
      </w:tr>
      <w:tr>
        <w:tblPrEx>
          <w:tblCellMar>
            <w:top w:w="0" w:type="dxa"/>
            <w:left w:w="0" w:type="dxa"/>
            <w:bottom w:w="0" w:type="dxa"/>
            <w:right w:w="0" w:type="dxa"/>
          </w:tblCellMar>
        </w:tblPrEx>
        <w:trPr>
          <w:trHeight w:val="349" w:hRule="atLeast"/>
        </w:trPr>
        <w:tc>
          <w:tcPr>
            <w:tcW w:w="26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2"/>
                <w:szCs w:val="22"/>
              </w:rPr>
            </w:pPr>
            <w:r>
              <w:rPr>
                <w:rFonts w:cs="宋体"/>
                <w:b/>
                <w:color w:val="000000"/>
                <w:sz w:val="21"/>
                <w:szCs w:val="21"/>
              </w:rPr>
              <w:t>21208</w:t>
            </w:r>
          </w:p>
        </w:tc>
        <w:tc>
          <w:tcPr>
            <w:tcW w:w="44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2"/>
                <w:szCs w:val="22"/>
              </w:rPr>
            </w:pPr>
            <w:r>
              <w:rPr>
                <w:rFonts w:cs="宋体"/>
                <w:b/>
                <w:color w:val="000000"/>
                <w:sz w:val="21"/>
                <w:szCs w:val="21"/>
              </w:rPr>
              <w:t>国有土地使用权出让收入安排的支出</w:t>
            </w:r>
          </w:p>
        </w:tc>
        <w:tc>
          <w:tcPr>
            <w:tcW w:w="24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p>
        </w:tc>
        <w:tc>
          <w:tcPr>
            <w:tcW w:w="24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0.20</w:t>
            </w:r>
          </w:p>
        </w:tc>
        <w:tc>
          <w:tcPr>
            <w:tcW w:w="24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0.20</w:t>
            </w:r>
          </w:p>
        </w:tc>
        <w:tc>
          <w:tcPr>
            <w:tcW w:w="24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p>
        </w:tc>
        <w:tc>
          <w:tcPr>
            <w:tcW w:w="2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0.20</w:t>
            </w:r>
          </w:p>
        </w:tc>
        <w:tc>
          <w:tcPr>
            <w:tcW w:w="26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p>
        </w:tc>
      </w:tr>
      <w:tr>
        <w:tblPrEx>
          <w:tblCellMar>
            <w:top w:w="0" w:type="dxa"/>
            <w:left w:w="0" w:type="dxa"/>
            <w:bottom w:w="0" w:type="dxa"/>
            <w:right w:w="0" w:type="dxa"/>
          </w:tblCellMar>
        </w:tblPrEx>
        <w:trPr>
          <w:trHeight w:val="349" w:hRule="atLeast"/>
        </w:trPr>
        <w:tc>
          <w:tcPr>
            <w:tcW w:w="26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2"/>
                <w:szCs w:val="22"/>
              </w:rPr>
            </w:pPr>
            <w:r>
              <w:rPr>
                <w:rFonts w:cs="宋体"/>
                <w:color w:val="000000"/>
                <w:sz w:val="21"/>
                <w:szCs w:val="21"/>
              </w:rPr>
              <w:t>2120899</w:t>
            </w:r>
          </w:p>
        </w:tc>
        <w:tc>
          <w:tcPr>
            <w:tcW w:w="44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2"/>
                <w:szCs w:val="22"/>
              </w:rPr>
            </w:pPr>
            <w:r>
              <w:rPr>
                <w:rFonts w:cs="宋体"/>
                <w:color w:val="000000"/>
                <w:sz w:val="21"/>
                <w:szCs w:val="21"/>
              </w:rPr>
              <w:t>其他国有土地使用权出让收入安排的支出</w:t>
            </w:r>
          </w:p>
        </w:tc>
        <w:tc>
          <w:tcPr>
            <w:tcW w:w="24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p>
        </w:tc>
        <w:tc>
          <w:tcPr>
            <w:tcW w:w="24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0.20</w:t>
            </w:r>
          </w:p>
        </w:tc>
        <w:tc>
          <w:tcPr>
            <w:tcW w:w="24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0.20</w:t>
            </w:r>
          </w:p>
        </w:tc>
        <w:tc>
          <w:tcPr>
            <w:tcW w:w="24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p>
        </w:tc>
        <w:tc>
          <w:tcPr>
            <w:tcW w:w="2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0.20</w:t>
            </w:r>
          </w:p>
        </w:tc>
        <w:tc>
          <w:tcPr>
            <w:tcW w:w="26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p>
        </w:tc>
      </w:tr>
    </w:tbl>
    <w:p>
      <w:pPr>
        <w:rPr>
          <w:rFonts w:hint="default" w:cs="宋体"/>
          <w:sz w:val="21"/>
          <w:szCs w:val="21"/>
        </w:rPr>
      </w:pPr>
      <w:r>
        <w:rPr>
          <w:rFonts w:cs="宋体"/>
          <w:sz w:val="21"/>
          <w:szCs w:val="21"/>
        </w:rPr>
        <w:t>备注：1.本表反映部门本年度政府性基金预算财政拨款收入支出及结转和结余情况。</w:t>
      </w:r>
      <w:r>
        <w:rPr>
          <w:rFonts w:cs="宋体"/>
          <w:sz w:val="21"/>
          <w:szCs w:val="21"/>
        </w:rPr>
        <w:br w:type="textWrapping"/>
      </w:r>
      <w:r>
        <w:rPr>
          <w:rFonts w:cs="宋体"/>
          <w:sz w:val="21"/>
          <w:szCs w:val="21"/>
        </w:rPr>
        <w:t xml:space="preserve">      2.本套报表金额单位转换时可能存在尾数误差。</w:t>
      </w:r>
      <w:r>
        <w:rPr>
          <w:rFonts w:cs="宋体"/>
          <w:sz w:val="21"/>
          <w:szCs w:val="21"/>
        </w:rPr>
        <w:br w:type="textWrapping"/>
      </w:r>
      <w:r>
        <w:rPr>
          <w:rFonts w:cs="宋体"/>
          <w:sz w:val="21"/>
          <w:szCs w:val="21"/>
        </w:rPr>
        <w:br w:type="textWrapping"/>
      </w:r>
    </w:p>
    <w:p>
      <w:pPr>
        <w:rPr>
          <w:rFonts w:hint="default" w:cs="宋体"/>
          <w:sz w:val="21"/>
          <w:szCs w:val="21"/>
        </w:rPr>
      </w:pPr>
      <w:r>
        <w:rPr>
          <w:rFonts w:cs="宋体"/>
          <w:sz w:val="21"/>
          <w:szCs w:val="21"/>
        </w:rPr>
        <w:br w:type="page"/>
      </w:r>
    </w:p>
    <w:tbl>
      <w:tblPr>
        <w:tblStyle w:val="8"/>
        <w:tblW w:w="22220" w:type="dxa"/>
        <w:tblInd w:w="0" w:type="dxa"/>
        <w:tblLayout w:type="fixed"/>
        <w:tblCellMar>
          <w:top w:w="0" w:type="dxa"/>
          <w:left w:w="0" w:type="dxa"/>
          <w:bottom w:w="0" w:type="dxa"/>
          <w:right w:w="0" w:type="dxa"/>
        </w:tblCellMar>
      </w:tblPr>
      <w:tblGrid>
        <w:gridCol w:w="2729"/>
        <w:gridCol w:w="4420"/>
        <w:gridCol w:w="4736"/>
        <w:gridCol w:w="5423"/>
        <w:gridCol w:w="4912"/>
      </w:tblGrid>
      <w:tr>
        <w:tblPrEx>
          <w:tblCellMar>
            <w:top w:w="0" w:type="dxa"/>
            <w:left w:w="0" w:type="dxa"/>
            <w:bottom w:w="0" w:type="dxa"/>
            <w:right w:w="0" w:type="dxa"/>
          </w:tblCellMar>
        </w:tblPrEx>
        <w:trPr>
          <w:trHeight w:val="650" w:hRule="atLeast"/>
        </w:trPr>
        <w:tc>
          <w:tcPr>
            <w:tcW w:w="22220" w:type="dxa"/>
            <w:gridSpan w:val="5"/>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40"/>
                <w:szCs w:val="40"/>
              </w:rPr>
            </w:pPr>
            <w:r>
              <w:rPr>
                <w:rFonts w:cs="宋体"/>
                <w:b/>
                <w:color w:val="000000"/>
                <w:sz w:val="44"/>
                <w:szCs w:val="44"/>
              </w:rPr>
              <w:t>国有资本经营预算财政拨款支出决算表</w:t>
            </w:r>
          </w:p>
        </w:tc>
      </w:tr>
      <w:tr>
        <w:tblPrEx>
          <w:tblCellMar>
            <w:top w:w="0" w:type="dxa"/>
            <w:left w:w="0" w:type="dxa"/>
            <w:bottom w:w="0" w:type="dxa"/>
            <w:right w:w="0" w:type="dxa"/>
          </w:tblCellMar>
        </w:tblPrEx>
        <w:trPr>
          <w:trHeight w:val="332" w:hRule="atLeast"/>
        </w:trPr>
        <w:tc>
          <w:tcPr>
            <w:tcW w:w="7149" w:type="dxa"/>
            <w:gridSpan w:val="2"/>
            <w:vMerge w:val="restart"/>
            <w:tcBorders>
              <w:top w:val="nil"/>
              <w:left w:val="nil"/>
              <w:right w:val="nil"/>
            </w:tcBorders>
            <w:shd w:val="clear" w:color="auto" w:fill="auto"/>
            <w:noWrap/>
            <w:tcMar>
              <w:top w:w="15" w:type="dxa"/>
              <w:left w:w="15" w:type="dxa"/>
              <w:right w:w="15" w:type="dxa"/>
            </w:tcMar>
            <w:vAlign w:val="bottom"/>
          </w:tcPr>
          <w:p>
            <w:pPr>
              <w:rPr>
                <w:rFonts w:hint="default" w:ascii="Arial" w:hAnsi="Arial" w:cs="Arial"/>
                <w:color w:val="000000"/>
                <w:sz w:val="20"/>
                <w:szCs w:val="20"/>
              </w:rPr>
            </w:pPr>
            <w:r>
              <w:rPr>
                <w:rFonts w:asciiTheme="minorEastAsia" w:hAnsiTheme="minorEastAsia" w:eastAsiaTheme="minorEastAsia" w:cstheme="minorEastAsia"/>
              </w:rPr>
              <w:t>公开部门</w:t>
            </w:r>
            <w:r>
              <w:rPr>
                <w:rFonts w:asciiTheme="minorEastAsia" w:hAnsiTheme="minorEastAsia" w:eastAsiaTheme="minorEastAsia" w:cstheme="minorEastAsia"/>
                <w:color w:val="000000"/>
              </w:rPr>
              <w:t xml:space="preserve">： </w:t>
            </w:r>
            <w:r>
              <w:rPr>
                <w:color w:val="000000"/>
              </w:rPr>
              <w:t>垫江县五洞镇人民政府</w:t>
            </w:r>
          </w:p>
        </w:tc>
        <w:tc>
          <w:tcPr>
            <w:tcW w:w="4736"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5423"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4912"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rPr>
            </w:pPr>
            <w:r>
              <w:rPr>
                <w:rFonts w:cs="宋体"/>
                <w:color w:val="000000"/>
              </w:rPr>
              <w:t>公开08表</w:t>
            </w:r>
          </w:p>
        </w:tc>
      </w:tr>
      <w:tr>
        <w:tblPrEx>
          <w:tblCellMar>
            <w:top w:w="0" w:type="dxa"/>
            <w:left w:w="0" w:type="dxa"/>
            <w:bottom w:w="0" w:type="dxa"/>
            <w:right w:w="0" w:type="dxa"/>
          </w:tblCellMar>
        </w:tblPrEx>
        <w:trPr>
          <w:trHeight w:val="332" w:hRule="atLeast"/>
        </w:trPr>
        <w:tc>
          <w:tcPr>
            <w:tcW w:w="7149" w:type="dxa"/>
            <w:gridSpan w:val="2"/>
            <w:vMerge w:val="continue"/>
            <w:tcBorders>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p>
        </w:tc>
        <w:tc>
          <w:tcPr>
            <w:tcW w:w="4736"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p>
        </w:tc>
        <w:tc>
          <w:tcPr>
            <w:tcW w:w="5423"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p>
        </w:tc>
        <w:tc>
          <w:tcPr>
            <w:tcW w:w="4912"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rPr>
            </w:pPr>
            <w:r>
              <w:rPr>
                <w:rFonts w:cs="宋体"/>
                <w:color w:val="000000"/>
              </w:rPr>
              <w:t>单位：</w:t>
            </w:r>
            <w:r>
              <w:rPr>
                <w:rFonts w:cs="宋体"/>
              </w:rPr>
              <w:t>万元</w:t>
            </w:r>
          </w:p>
        </w:tc>
      </w:tr>
      <w:tr>
        <w:tblPrEx>
          <w:tblCellMar>
            <w:top w:w="0" w:type="dxa"/>
            <w:left w:w="0" w:type="dxa"/>
            <w:bottom w:w="0" w:type="dxa"/>
            <w:right w:w="0" w:type="dxa"/>
          </w:tblCellMar>
        </w:tblPrEx>
        <w:trPr>
          <w:trHeight w:val="422" w:hRule="atLeast"/>
        </w:trPr>
        <w:tc>
          <w:tcPr>
            <w:tcW w:w="7149" w:type="dxa"/>
            <w:gridSpan w:val="2"/>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bottom"/>
          </w:tcPr>
          <w:p>
            <w:pPr>
              <w:jc w:val="center"/>
              <w:textAlignment w:val="bottom"/>
              <w:rPr>
                <w:rFonts w:hint="default" w:cs="宋体"/>
                <w:b/>
                <w:color w:val="000000"/>
                <w:sz w:val="22"/>
                <w:szCs w:val="22"/>
              </w:rPr>
            </w:pPr>
            <w:r>
              <w:rPr>
                <w:rFonts w:cs="宋体"/>
                <w:b/>
                <w:color w:val="000000"/>
                <w:sz w:val="22"/>
                <w:szCs w:val="22"/>
              </w:rPr>
              <w:t>项目</w:t>
            </w:r>
          </w:p>
        </w:tc>
        <w:tc>
          <w:tcPr>
            <w:tcW w:w="15071" w:type="dxa"/>
            <w:gridSpan w:val="3"/>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bottom"/>
          </w:tcPr>
          <w:p>
            <w:pPr>
              <w:jc w:val="center"/>
              <w:textAlignment w:val="bottom"/>
              <w:rPr>
                <w:rFonts w:hint="default" w:cs="宋体"/>
                <w:b/>
                <w:color w:val="000000"/>
                <w:sz w:val="22"/>
                <w:szCs w:val="22"/>
              </w:rPr>
            </w:pPr>
            <w:r>
              <w:rPr>
                <w:rFonts w:cs="宋体"/>
                <w:b/>
                <w:color w:val="000000"/>
                <w:sz w:val="22"/>
                <w:szCs w:val="22"/>
              </w:rPr>
              <w:t>本年支出</w:t>
            </w:r>
          </w:p>
        </w:tc>
      </w:tr>
      <w:tr>
        <w:tblPrEx>
          <w:tblCellMar>
            <w:top w:w="0" w:type="dxa"/>
            <w:left w:w="0" w:type="dxa"/>
            <w:bottom w:w="0" w:type="dxa"/>
            <w:right w:w="0" w:type="dxa"/>
          </w:tblCellMar>
        </w:tblPrEx>
        <w:trPr>
          <w:trHeight w:val="339" w:hRule="atLeast"/>
        </w:trPr>
        <w:tc>
          <w:tcPr>
            <w:tcW w:w="2729" w:type="dxa"/>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功能分类科目编码</w:t>
            </w:r>
          </w:p>
        </w:tc>
        <w:tc>
          <w:tcPr>
            <w:tcW w:w="4420"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科目名称</w:t>
            </w:r>
          </w:p>
        </w:tc>
        <w:tc>
          <w:tcPr>
            <w:tcW w:w="4736" w:type="dxa"/>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合计</w:t>
            </w:r>
          </w:p>
        </w:tc>
        <w:tc>
          <w:tcPr>
            <w:tcW w:w="5423"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基本支出</w:t>
            </w:r>
          </w:p>
        </w:tc>
        <w:tc>
          <w:tcPr>
            <w:tcW w:w="4912"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项目支出</w:t>
            </w:r>
          </w:p>
        </w:tc>
      </w:tr>
      <w:tr>
        <w:tblPrEx>
          <w:tblCellMar>
            <w:top w:w="0" w:type="dxa"/>
            <w:left w:w="0" w:type="dxa"/>
            <w:bottom w:w="0" w:type="dxa"/>
            <w:right w:w="0" w:type="dxa"/>
          </w:tblCellMar>
        </w:tblPrEx>
        <w:trPr>
          <w:trHeight w:val="339" w:hRule="atLeast"/>
        </w:trPr>
        <w:tc>
          <w:tcPr>
            <w:tcW w:w="2729"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4420"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4736"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5423"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4912"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r>
      <w:tr>
        <w:tblPrEx>
          <w:tblCellMar>
            <w:top w:w="0" w:type="dxa"/>
            <w:left w:w="0" w:type="dxa"/>
            <w:bottom w:w="0" w:type="dxa"/>
            <w:right w:w="0" w:type="dxa"/>
          </w:tblCellMar>
        </w:tblPrEx>
        <w:trPr>
          <w:trHeight w:val="339" w:hRule="atLeast"/>
        </w:trPr>
        <w:tc>
          <w:tcPr>
            <w:tcW w:w="2729"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4420"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4736"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5423"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4912"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r>
      <w:tr>
        <w:tblPrEx>
          <w:tblCellMar>
            <w:top w:w="0" w:type="dxa"/>
            <w:left w:w="0" w:type="dxa"/>
            <w:bottom w:w="0" w:type="dxa"/>
            <w:right w:w="0" w:type="dxa"/>
          </w:tblCellMar>
        </w:tblPrEx>
        <w:trPr>
          <w:trHeight w:val="312" w:hRule="atLeast"/>
        </w:trPr>
        <w:tc>
          <w:tcPr>
            <w:tcW w:w="2729"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4420"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4736"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5423"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4912"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r>
      <w:tr>
        <w:tblPrEx>
          <w:tblCellMar>
            <w:top w:w="0" w:type="dxa"/>
            <w:left w:w="0" w:type="dxa"/>
            <w:bottom w:w="0" w:type="dxa"/>
            <w:right w:w="0" w:type="dxa"/>
          </w:tblCellMar>
        </w:tblPrEx>
        <w:trPr>
          <w:trHeight w:val="611" w:hRule="atLeast"/>
        </w:trPr>
        <w:tc>
          <w:tcPr>
            <w:tcW w:w="7149" w:type="dxa"/>
            <w:gridSpan w:val="2"/>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合计</w:t>
            </w:r>
          </w:p>
        </w:tc>
        <w:tc>
          <w:tcPr>
            <w:tcW w:w="47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bCs/>
                <w:color w:val="000000"/>
                <w:sz w:val="21"/>
                <w:szCs w:val="21"/>
              </w:rPr>
              <w:t>0.03</w:t>
            </w:r>
          </w:p>
        </w:tc>
        <w:tc>
          <w:tcPr>
            <w:tcW w:w="542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b/>
                <w:color w:val="000000"/>
                <w:sz w:val="22"/>
                <w:szCs w:val="22"/>
              </w:rPr>
            </w:pPr>
          </w:p>
        </w:tc>
        <w:tc>
          <w:tcPr>
            <w:tcW w:w="49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bCs/>
                <w:color w:val="000000"/>
                <w:sz w:val="21"/>
                <w:szCs w:val="21"/>
              </w:rPr>
              <w:t>0.03</w:t>
            </w:r>
          </w:p>
        </w:tc>
      </w:tr>
      <w:tr>
        <w:tblPrEx>
          <w:tblCellMar>
            <w:top w:w="0" w:type="dxa"/>
            <w:left w:w="0" w:type="dxa"/>
            <w:bottom w:w="0" w:type="dxa"/>
            <w:right w:w="0" w:type="dxa"/>
          </w:tblCellMar>
        </w:tblPrEx>
        <w:trPr>
          <w:trHeight w:val="488" w:hRule="atLeast"/>
        </w:trPr>
        <w:tc>
          <w:tcPr>
            <w:tcW w:w="27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223</w:t>
            </w:r>
          </w:p>
        </w:tc>
        <w:tc>
          <w:tcPr>
            <w:tcW w:w="442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国有资本经营预算支出</w:t>
            </w:r>
          </w:p>
        </w:tc>
        <w:tc>
          <w:tcPr>
            <w:tcW w:w="47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0.03</w:t>
            </w:r>
          </w:p>
        </w:tc>
        <w:tc>
          <w:tcPr>
            <w:tcW w:w="542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b/>
                <w:color w:val="000000"/>
                <w:sz w:val="22"/>
                <w:szCs w:val="22"/>
              </w:rPr>
            </w:pPr>
          </w:p>
        </w:tc>
        <w:tc>
          <w:tcPr>
            <w:tcW w:w="49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0.03</w:t>
            </w:r>
          </w:p>
        </w:tc>
      </w:tr>
      <w:tr>
        <w:tblPrEx>
          <w:tblCellMar>
            <w:top w:w="0" w:type="dxa"/>
            <w:left w:w="0" w:type="dxa"/>
            <w:bottom w:w="0" w:type="dxa"/>
            <w:right w:w="0" w:type="dxa"/>
          </w:tblCellMar>
        </w:tblPrEx>
        <w:trPr>
          <w:trHeight w:val="488" w:hRule="atLeast"/>
        </w:trPr>
        <w:tc>
          <w:tcPr>
            <w:tcW w:w="27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22301</w:t>
            </w:r>
          </w:p>
        </w:tc>
        <w:tc>
          <w:tcPr>
            <w:tcW w:w="442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解决历史遗留问题及改革成本支出</w:t>
            </w:r>
          </w:p>
        </w:tc>
        <w:tc>
          <w:tcPr>
            <w:tcW w:w="47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0.03</w:t>
            </w:r>
          </w:p>
        </w:tc>
        <w:tc>
          <w:tcPr>
            <w:tcW w:w="542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b/>
                <w:color w:val="000000"/>
                <w:sz w:val="22"/>
                <w:szCs w:val="22"/>
              </w:rPr>
            </w:pPr>
          </w:p>
        </w:tc>
        <w:tc>
          <w:tcPr>
            <w:tcW w:w="49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0.03</w:t>
            </w:r>
          </w:p>
        </w:tc>
      </w:tr>
      <w:tr>
        <w:tblPrEx>
          <w:tblCellMar>
            <w:top w:w="0" w:type="dxa"/>
            <w:left w:w="0" w:type="dxa"/>
            <w:bottom w:w="0" w:type="dxa"/>
            <w:right w:w="0" w:type="dxa"/>
          </w:tblCellMar>
        </w:tblPrEx>
        <w:trPr>
          <w:trHeight w:val="488" w:hRule="atLeast"/>
        </w:trPr>
        <w:tc>
          <w:tcPr>
            <w:tcW w:w="27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2230105</w:t>
            </w:r>
          </w:p>
        </w:tc>
        <w:tc>
          <w:tcPr>
            <w:tcW w:w="442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国有企业退休人员社会化管理补助支出</w:t>
            </w:r>
          </w:p>
        </w:tc>
        <w:tc>
          <w:tcPr>
            <w:tcW w:w="47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0.03</w:t>
            </w:r>
          </w:p>
        </w:tc>
        <w:tc>
          <w:tcPr>
            <w:tcW w:w="542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b/>
                <w:color w:val="000000"/>
                <w:sz w:val="22"/>
                <w:szCs w:val="22"/>
              </w:rPr>
            </w:pPr>
          </w:p>
        </w:tc>
        <w:tc>
          <w:tcPr>
            <w:tcW w:w="49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0.03</w:t>
            </w:r>
          </w:p>
        </w:tc>
      </w:tr>
    </w:tbl>
    <w:p>
      <w:pPr>
        <w:rPr>
          <w:rFonts w:hint="default" w:cs="宋体"/>
          <w:sz w:val="21"/>
          <w:szCs w:val="21"/>
        </w:rPr>
      </w:pPr>
      <w:r>
        <w:rPr>
          <w:rFonts w:cs="宋体"/>
          <w:sz w:val="21"/>
          <w:szCs w:val="21"/>
        </w:rPr>
        <w:t>备注：1.本表反映部门本年度国有资本经营预算财政拨款支出情况。</w:t>
      </w:r>
      <w:r>
        <w:rPr>
          <w:rFonts w:cs="宋体"/>
          <w:sz w:val="21"/>
          <w:szCs w:val="21"/>
        </w:rPr>
        <w:br w:type="textWrapping"/>
      </w:r>
      <w:r>
        <w:rPr>
          <w:rFonts w:cs="宋体"/>
          <w:sz w:val="21"/>
          <w:szCs w:val="21"/>
        </w:rPr>
        <w:t xml:space="preserve">      2.本套报表金额单位转换时可能存在尾数误差。</w:t>
      </w:r>
      <w:r>
        <w:rPr>
          <w:rFonts w:cs="宋体"/>
          <w:sz w:val="21"/>
          <w:szCs w:val="21"/>
        </w:rPr>
        <w:br w:type="textWrapping"/>
      </w:r>
      <w:r>
        <w:rPr>
          <w:rFonts w:cs="宋体"/>
          <w:sz w:val="21"/>
          <w:szCs w:val="21"/>
        </w:rPr>
        <w:br w:type="textWrapping"/>
      </w:r>
    </w:p>
    <w:p>
      <w:pPr>
        <w:rPr>
          <w:rFonts w:hint="default" w:cs="宋体"/>
          <w:sz w:val="21"/>
          <w:szCs w:val="21"/>
        </w:rPr>
      </w:pPr>
      <w:r>
        <w:rPr>
          <w:rFonts w:cs="宋体"/>
          <w:sz w:val="21"/>
          <w:szCs w:val="21"/>
        </w:rPr>
        <w:br w:type="page"/>
      </w:r>
    </w:p>
    <w:tbl>
      <w:tblPr>
        <w:tblStyle w:val="8"/>
        <w:tblW w:w="22168" w:type="dxa"/>
        <w:tblInd w:w="0" w:type="dxa"/>
        <w:tblLayout w:type="fixed"/>
        <w:tblCellMar>
          <w:top w:w="0" w:type="dxa"/>
          <w:left w:w="0" w:type="dxa"/>
          <w:bottom w:w="0" w:type="dxa"/>
          <w:right w:w="0" w:type="dxa"/>
        </w:tblCellMar>
      </w:tblPr>
      <w:tblGrid>
        <w:gridCol w:w="5159"/>
        <w:gridCol w:w="3822"/>
        <w:gridCol w:w="3281"/>
        <w:gridCol w:w="6581"/>
        <w:gridCol w:w="3325"/>
      </w:tblGrid>
      <w:tr>
        <w:tblPrEx>
          <w:tblCellMar>
            <w:top w:w="0" w:type="dxa"/>
            <w:left w:w="0" w:type="dxa"/>
            <w:bottom w:w="0" w:type="dxa"/>
            <w:right w:w="0" w:type="dxa"/>
          </w:tblCellMar>
        </w:tblPrEx>
        <w:trPr>
          <w:trHeight w:val="510" w:hRule="atLeast"/>
        </w:trPr>
        <w:tc>
          <w:tcPr>
            <w:tcW w:w="22168" w:type="dxa"/>
            <w:gridSpan w:val="5"/>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40"/>
                <w:szCs w:val="40"/>
              </w:rPr>
            </w:pPr>
            <w:r>
              <w:rPr>
                <w:rFonts w:cs="宋体"/>
                <w:b/>
                <w:color w:val="000000"/>
                <w:sz w:val="44"/>
                <w:szCs w:val="44"/>
              </w:rPr>
              <w:t>机构运行信息表</w:t>
            </w:r>
          </w:p>
        </w:tc>
      </w:tr>
      <w:tr>
        <w:tblPrEx>
          <w:tblCellMar>
            <w:top w:w="0" w:type="dxa"/>
            <w:left w:w="0" w:type="dxa"/>
            <w:bottom w:w="0" w:type="dxa"/>
            <w:right w:w="0" w:type="dxa"/>
          </w:tblCellMar>
        </w:tblPrEx>
        <w:trPr>
          <w:trHeight w:val="255" w:hRule="atLeast"/>
        </w:trPr>
        <w:tc>
          <w:tcPr>
            <w:tcW w:w="5159"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3822" w:type="dxa"/>
            <w:tcBorders>
              <w:top w:val="nil"/>
              <w:left w:val="nil"/>
              <w:bottom w:val="nil"/>
              <w:right w:val="nil"/>
            </w:tcBorders>
            <w:shd w:val="clear" w:color="auto" w:fill="auto"/>
            <w:noWrap/>
            <w:tcMar>
              <w:top w:w="15" w:type="dxa"/>
              <w:left w:w="15" w:type="dxa"/>
              <w:right w:w="15" w:type="dxa"/>
            </w:tcMar>
            <w:vAlign w:val="bottom"/>
          </w:tcPr>
          <w:p>
            <w:pPr>
              <w:jc w:val="center"/>
              <w:rPr>
                <w:rFonts w:hint="default" w:ascii="Arial" w:hAnsi="Arial" w:cs="Arial"/>
                <w:color w:val="000000"/>
                <w:sz w:val="20"/>
                <w:szCs w:val="20"/>
              </w:rPr>
            </w:pPr>
          </w:p>
        </w:tc>
        <w:tc>
          <w:tcPr>
            <w:tcW w:w="3281" w:type="dxa"/>
            <w:tcBorders>
              <w:top w:val="nil"/>
              <w:left w:val="nil"/>
              <w:bottom w:val="nil"/>
              <w:right w:val="nil"/>
            </w:tcBorders>
            <w:shd w:val="clear" w:color="auto" w:fill="auto"/>
            <w:noWrap/>
            <w:tcMar>
              <w:top w:w="15" w:type="dxa"/>
              <w:left w:w="15" w:type="dxa"/>
              <w:right w:w="15" w:type="dxa"/>
            </w:tcMar>
            <w:vAlign w:val="bottom"/>
          </w:tcPr>
          <w:p>
            <w:pPr>
              <w:jc w:val="right"/>
              <w:rPr>
                <w:rFonts w:hint="default" w:ascii="Arial" w:hAnsi="Arial" w:cs="Arial"/>
                <w:color w:val="000000"/>
                <w:sz w:val="20"/>
                <w:szCs w:val="20"/>
              </w:rPr>
            </w:pPr>
          </w:p>
        </w:tc>
        <w:tc>
          <w:tcPr>
            <w:tcW w:w="6581"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3325"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rPr>
            </w:pPr>
            <w:r>
              <w:rPr>
                <w:rFonts w:cs="宋体"/>
                <w:color w:val="000000"/>
              </w:rPr>
              <w:t>公开09表</w:t>
            </w:r>
          </w:p>
        </w:tc>
      </w:tr>
      <w:tr>
        <w:tblPrEx>
          <w:tblCellMar>
            <w:top w:w="0" w:type="dxa"/>
            <w:left w:w="0" w:type="dxa"/>
            <w:bottom w:w="0" w:type="dxa"/>
            <w:right w:w="0" w:type="dxa"/>
          </w:tblCellMar>
        </w:tblPrEx>
        <w:trPr>
          <w:trHeight w:val="285" w:hRule="atLeast"/>
        </w:trPr>
        <w:tc>
          <w:tcPr>
            <w:tcW w:w="5159" w:type="dxa"/>
            <w:tcBorders>
              <w:top w:val="nil"/>
              <w:left w:val="nil"/>
              <w:bottom w:val="nil"/>
              <w:right w:val="nil"/>
            </w:tcBorders>
            <w:shd w:val="clear" w:color="auto" w:fill="auto"/>
            <w:noWrap/>
            <w:tcMar>
              <w:top w:w="15" w:type="dxa"/>
              <w:left w:w="15" w:type="dxa"/>
              <w:right w:w="15" w:type="dxa"/>
            </w:tcMar>
            <w:vAlign w:val="bottom"/>
          </w:tcPr>
          <w:p>
            <w:pPr>
              <w:textAlignment w:val="bottom"/>
              <w:rPr>
                <w:rFonts w:hint="default" w:ascii="Arial" w:hAnsi="Arial" w:cs="Arial"/>
                <w:color w:val="000000"/>
                <w:sz w:val="22"/>
                <w:szCs w:val="22"/>
              </w:rPr>
            </w:pPr>
            <w:r>
              <w:rPr>
                <w:rFonts w:asciiTheme="minorEastAsia" w:hAnsiTheme="minorEastAsia" w:eastAsiaTheme="minorEastAsia" w:cstheme="minorEastAsia"/>
              </w:rPr>
              <w:t>公开部门</w:t>
            </w:r>
            <w:r>
              <w:rPr>
                <w:rFonts w:asciiTheme="minorEastAsia" w:hAnsiTheme="minorEastAsia" w:eastAsiaTheme="minorEastAsia" w:cstheme="minorEastAsia"/>
                <w:color w:val="000000"/>
              </w:rPr>
              <w:t xml:space="preserve">： </w:t>
            </w:r>
            <w:r>
              <w:rPr>
                <w:color w:val="000000"/>
              </w:rPr>
              <w:t>垫江县五洞镇人民政府</w:t>
            </w:r>
          </w:p>
        </w:tc>
        <w:tc>
          <w:tcPr>
            <w:tcW w:w="3822" w:type="dxa"/>
            <w:tcBorders>
              <w:top w:val="nil"/>
              <w:left w:val="nil"/>
              <w:bottom w:val="nil"/>
              <w:right w:val="nil"/>
            </w:tcBorders>
            <w:shd w:val="clear" w:color="auto" w:fill="auto"/>
            <w:noWrap/>
            <w:tcMar>
              <w:top w:w="15" w:type="dxa"/>
              <w:left w:w="15" w:type="dxa"/>
              <w:right w:w="15" w:type="dxa"/>
            </w:tcMar>
            <w:vAlign w:val="bottom"/>
          </w:tcPr>
          <w:p>
            <w:pPr>
              <w:jc w:val="center"/>
              <w:rPr>
                <w:rFonts w:hint="default" w:cs="宋体"/>
                <w:color w:val="000000"/>
                <w:sz w:val="22"/>
                <w:szCs w:val="22"/>
              </w:rPr>
            </w:pPr>
          </w:p>
        </w:tc>
        <w:tc>
          <w:tcPr>
            <w:tcW w:w="3281" w:type="dxa"/>
            <w:tcBorders>
              <w:top w:val="nil"/>
              <w:left w:val="nil"/>
              <w:bottom w:val="nil"/>
              <w:right w:val="nil"/>
            </w:tcBorders>
            <w:shd w:val="clear" w:color="auto" w:fill="auto"/>
            <w:noWrap/>
            <w:tcMar>
              <w:top w:w="15" w:type="dxa"/>
              <w:left w:w="15" w:type="dxa"/>
              <w:right w:w="15" w:type="dxa"/>
            </w:tcMar>
            <w:vAlign w:val="bottom"/>
          </w:tcPr>
          <w:p>
            <w:pPr>
              <w:jc w:val="right"/>
              <w:rPr>
                <w:rFonts w:hint="default" w:ascii="Arial" w:hAnsi="Arial" w:cs="Arial"/>
                <w:color w:val="000000"/>
                <w:sz w:val="22"/>
                <w:szCs w:val="22"/>
              </w:rPr>
            </w:pPr>
          </w:p>
        </w:tc>
        <w:tc>
          <w:tcPr>
            <w:tcW w:w="6581"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p>
        </w:tc>
        <w:tc>
          <w:tcPr>
            <w:tcW w:w="3325"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rPr>
            </w:pPr>
            <w:r>
              <w:rPr>
                <w:rFonts w:cs="宋体"/>
                <w:color w:val="000000"/>
              </w:rPr>
              <w:t>单位：</w:t>
            </w:r>
            <w:r>
              <w:rPr>
                <w:rFonts w:cs="宋体"/>
              </w:rPr>
              <w:t>万元</w:t>
            </w:r>
          </w:p>
        </w:tc>
      </w:tr>
      <w:tr>
        <w:tblPrEx>
          <w:tblCellMar>
            <w:top w:w="0" w:type="dxa"/>
            <w:left w:w="0" w:type="dxa"/>
            <w:bottom w:w="0" w:type="dxa"/>
            <w:right w:w="0" w:type="dxa"/>
          </w:tblCellMar>
        </w:tblPrEx>
        <w:trPr>
          <w:trHeight w:val="308" w:hRule="atLeast"/>
        </w:trPr>
        <w:tc>
          <w:tcPr>
            <w:tcW w:w="5159" w:type="dxa"/>
            <w:tcBorders>
              <w:top w:val="single" w:color="000000" w:sz="4" w:space="0"/>
              <w:left w:val="single" w:color="000000" w:sz="4" w:space="0"/>
              <w:bottom w:val="single" w:color="000000" w:sz="4" w:space="0"/>
              <w:right w:val="nil"/>
            </w:tcBorders>
            <w:shd w:val="clear" w:color="FFFFFF" w:fill="C0C0C0"/>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项  目</w:t>
            </w:r>
          </w:p>
        </w:tc>
        <w:tc>
          <w:tcPr>
            <w:tcW w:w="38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预算数</w:t>
            </w:r>
          </w:p>
        </w:tc>
        <w:tc>
          <w:tcPr>
            <w:tcW w:w="3281" w:type="dxa"/>
            <w:tcBorders>
              <w:top w:val="single" w:color="000000" w:sz="4" w:space="0"/>
              <w:left w:val="nil"/>
              <w:bottom w:val="nil"/>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决算数</w:t>
            </w:r>
          </w:p>
        </w:tc>
        <w:tc>
          <w:tcPr>
            <w:tcW w:w="6581" w:type="dxa"/>
            <w:tcBorders>
              <w:top w:val="single" w:color="000000" w:sz="4" w:space="0"/>
              <w:left w:val="nil"/>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项  目</w:t>
            </w:r>
          </w:p>
        </w:tc>
        <w:tc>
          <w:tcPr>
            <w:tcW w:w="3325" w:type="dxa"/>
            <w:tcBorders>
              <w:top w:val="single" w:color="000000" w:sz="4" w:space="0"/>
              <w:left w:val="nil"/>
              <w:bottom w:val="nil"/>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决算数</w:t>
            </w:r>
          </w:p>
        </w:tc>
      </w:tr>
      <w:tr>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一、“三公”经费支出</w:t>
            </w:r>
          </w:p>
        </w:tc>
        <w:tc>
          <w:tcPr>
            <w:tcW w:w="3822"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w:t>
            </w:r>
          </w:p>
        </w:tc>
        <w:tc>
          <w:tcPr>
            <w:tcW w:w="328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w:t>
            </w:r>
          </w:p>
        </w:tc>
        <w:tc>
          <w:tcPr>
            <w:tcW w:w="658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四、机关运行经费</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rPr>
              <w:t>184.53</w:t>
            </w:r>
          </w:p>
        </w:tc>
      </w:tr>
      <w:tr>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（一）支出合计</w:t>
            </w:r>
          </w:p>
        </w:tc>
        <w:tc>
          <w:tcPr>
            <w:tcW w:w="3822"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rPr>
              <w:t>8.74</w:t>
            </w:r>
          </w:p>
        </w:tc>
        <w:tc>
          <w:tcPr>
            <w:tcW w:w="328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rPr>
              <w:t>8.74</w:t>
            </w:r>
          </w:p>
        </w:tc>
        <w:tc>
          <w:tcPr>
            <w:tcW w:w="658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（一）行政单位</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rPr>
              <w:t>184.53</w:t>
            </w:r>
          </w:p>
        </w:tc>
      </w:tr>
      <w:tr>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1．因公出国（境）费</w:t>
            </w:r>
          </w:p>
        </w:tc>
        <w:tc>
          <w:tcPr>
            <w:tcW w:w="3822"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p>
        </w:tc>
        <w:tc>
          <w:tcPr>
            <w:tcW w:w="328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p>
        </w:tc>
        <w:tc>
          <w:tcPr>
            <w:tcW w:w="658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（二）参照公务员法管理事业单位</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p>
        </w:tc>
      </w:tr>
      <w:tr>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2．公务用车购置及运行维护费</w:t>
            </w:r>
          </w:p>
        </w:tc>
        <w:tc>
          <w:tcPr>
            <w:tcW w:w="3822"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rPr>
              <w:t>4.04</w:t>
            </w:r>
          </w:p>
        </w:tc>
        <w:tc>
          <w:tcPr>
            <w:tcW w:w="328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rPr>
              <w:t>4.04</w:t>
            </w:r>
          </w:p>
        </w:tc>
        <w:tc>
          <w:tcPr>
            <w:tcW w:w="658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五、资产信息</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w:t>
            </w:r>
          </w:p>
        </w:tc>
      </w:tr>
      <w:tr>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（1）公务用车购置费</w:t>
            </w:r>
          </w:p>
        </w:tc>
        <w:tc>
          <w:tcPr>
            <w:tcW w:w="3822"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p>
        </w:tc>
        <w:tc>
          <w:tcPr>
            <w:tcW w:w="328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p>
        </w:tc>
        <w:tc>
          <w:tcPr>
            <w:tcW w:w="6581" w:type="dxa"/>
            <w:tcBorders>
              <w:top w:val="nil"/>
              <w:left w:val="nil"/>
              <w:bottom w:val="single" w:color="000000" w:sz="4" w:space="0"/>
              <w:right w:val="single" w:color="000000" w:sz="4" w:space="0"/>
            </w:tcBorders>
            <w:shd w:val="clear" w:color="FFFFFF" w:fill="BFBFBF"/>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（一）车辆数合计（辆）</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rPr>
              <w:t>2</w:t>
            </w:r>
          </w:p>
        </w:tc>
      </w:tr>
      <w:tr>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（2）公务用车运行维护费</w:t>
            </w:r>
          </w:p>
        </w:tc>
        <w:tc>
          <w:tcPr>
            <w:tcW w:w="3822"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rPr>
              <w:t>4.04</w:t>
            </w:r>
          </w:p>
        </w:tc>
        <w:tc>
          <w:tcPr>
            <w:tcW w:w="328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rPr>
              <w:t>4.04</w:t>
            </w:r>
          </w:p>
        </w:tc>
        <w:tc>
          <w:tcPr>
            <w:tcW w:w="6581" w:type="dxa"/>
            <w:tcBorders>
              <w:top w:val="nil"/>
              <w:left w:val="nil"/>
              <w:bottom w:val="single" w:color="000000" w:sz="4" w:space="0"/>
              <w:right w:val="single" w:color="000000" w:sz="4" w:space="0"/>
            </w:tcBorders>
            <w:shd w:val="clear" w:color="FFFFFF" w:fill="BFBFBF"/>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1．副部（省）级及以上领导用车</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p>
        </w:tc>
      </w:tr>
      <w:tr>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3．公务接待费</w:t>
            </w:r>
          </w:p>
        </w:tc>
        <w:tc>
          <w:tcPr>
            <w:tcW w:w="3822"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rPr>
              <w:t>4.70</w:t>
            </w:r>
          </w:p>
        </w:tc>
        <w:tc>
          <w:tcPr>
            <w:tcW w:w="328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rPr>
              <w:t>4.70</w:t>
            </w:r>
          </w:p>
        </w:tc>
        <w:tc>
          <w:tcPr>
            <w:tcW w:w="6581" w:type="dxa"/>
            <w:tcBorders>
              <w:top w:val="nil"/>
              <w:left w:val="nil"/>
              <w:bottom w:val="single" w:color="000000" w:sz="4" w:space="0"/>
              <w:right w:val="single" w:color="000000" w:sz="4" w:space="0"/>
            </w:tcBorders>
            <w:shd w:val="clear" w:color="FFFFFF" w:fill="BFBFBF"/>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2．主要领导干部用车</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p>
        </w:tc>
      </w:tr>
      <w:tr>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（1）国内接待费</w:t>
            </w:r>
          </w:p>
        </w:tc>
        <w:tc>
          <w:tcPr>
            <w:tcW w:w="38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w:t>
            </w:r>
          </w:p>
        </w:tc>
        <w:tc>
          <w:tcPr>
            <w:tcW w:w="328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rPr>
              <w:t>4.70</w:t>
            </w:r>
          </w:p>
        </w:tc>
        <w:tc>
          <w:tcPr>
            <w:tcW w:w="6581" w:type="dxa"/>
            <w:tcBorders>
              <w:top w:val="nil"/>
              <w:left w:val="nil"/>
              <w:bottom w:val="single" w:color="000000" w:sz="4" w:space="0"/>
              <w:right w:val="single" w:color="000000" w:sz="4" w:space="0"/>
            </w:tcBorders>
            <w:shd w:val="clear" w:color="FFFFFF" w:fill="BFBFBF"/>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3．机要通信用车</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p>
        </w:tc>
      </w:tr>
      <w:tr>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其中：外事接待费</w:t>
            </w:r>
          </w:p>
        </w:tc>
        <w:tc>
          <w:tcPr>
            <w:tcW w:w="38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w:t>
            </w:r>
          </w:p>
        </w:tc>
        <w:tc>
          <w:tcPr>
            <w:tcW w:w="328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p>
        </w:tc>
        <w:tc>
          <w:tcPr>
            <w:tcW w:w="6581" w:type="dxa"/>
            <w:tcBorders>
              <w:top w:val="nil"/>
              <w:left w:val="nil"/>
              <w:bottom w:val="single" w:color="000000" w:sz="4" w:space="0"/>
              <w:right w:val="single" w:color="000000" w:sz="4" w:space="0"/>
            </w:tcBorders>
            <w:shd w:val="clear" w:color="FFFFFF" w:fill="BFBFBF"/>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4．应急保障用车</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rPr>
              <w:t>2</w:t>
            </w:r>
          </w:p>
        </w:tc>
      </w:tr>
      <w:tr>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（2）国（境）外接待费</w:t>
            </w:r>
          </w:p>
        </w:tc>
        <w:tc>
          <w:tcPr>
            <w:tcW w:w="38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w:t>
            </w:r>
          </w:p>
        </w:tc>
        <w:tc>
          <w:tcPr>
            <w:tcW w:w="328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p>
        </w:tc>
        <w:tc>
          <w:tcPr>
            <w:tcW w:w="6581" w:type="dxa"/>
            <w:tcBorders>
              <w:top w:val="nil"/>
              <w:left w:val="nil"/>
              <w:bottom w:val="single" w:color="000000" w:sz="4" w:space="0"/>
              <w:right w:val="single" w:color="000000" w:sz="4" w:space="0"/>
            </w:tcBorders>
            <w:shd w:val="clear" w:color="FFFFFF" w:fill="BFBFBF"/>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5．执法执勤用车</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p>
        </w:tc>
      </w:tr>
      <w:tr>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（二）相关统计数</w:t>
            </w:r>
          </w:p>
        </w:tc>
        <w:tc>
          <w:tcPr>
            <w:tcW w:w="38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w:t>
            </w:r>
          </w:p>
        </w:tc>
        <w:tc>
          <w:tcPr>
            <w:tcW w:w="328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w:t>
            </w:r>
          </w:p>
        </w:tc>
        <w:tc>
          <w:tcPr>
            <w:tcW w:w="6581" w:type="dxa"/>
            <w:tcBorders>
              <w:top w:val="nil"/>
              <w:left w:val="nil"/>
              <w:bottom w:val="single" w:color="000000" w:sz="4" w:space="0"/>
              <w:right w:val="single" w:color="000000" w:sz="4" w:space="0"/>
            </w:tcBorders>
            <w:shd w:val="clear" w:color="FFFFFF" w:fill="BFBFBF"/>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6．特种专业技术用车</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p>
        </w:tc>
      </w:tr>
      <w:tr>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BFBFBF"/>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1．因公出国（境）团组数（个）</w:t>
            </w:r>
          </w:p>
        </w:tc>
        <w:tc>
          <w:tcPr>
            <w:tcW w:w="38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w:t>
            </w:r>
          </w:p>
        </w:tc>
        <w:tc>
          <w:tcPr>
            <w:tcW w:w="3281" w:type="dxa"/>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p>
        </w:tc>
        <w:tc>
          <w:tcPr>
            <w:tcW w:w="6581" w:type="dxa"/>
            <w:tcBorders>
              <w:top w:val="nil"/>
              <w:left w:val="nil"/>
              <w:bottom w:val="single" w:color="000000" w:sz="4" w:space="0"/>
              <w:right w:val="single" w:color="000000" w:sz="4" w:space="0"/>
            </w:tcBorders>
            <w:shd w:val="clear" w:color="FFFFFF" w:fill="BFBFBF"/>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7．离退休干部用车</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p>
        </w:tc>
      </w:tr>
      <w:tr>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BFBFBF"/>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2．因公出国（境）人次数（人）</w:t>
            </w:r>
          </w:p>
        </w:tc>
        <w:tc>
          <w:tcPr>
            <w:tcW w:w="38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w:t>
            </w:r>
          </w:p>
        </w:tc>
        <w:tc>
          <w:tcPr>
            <w:tcW w:w="3281" w:type="dxa"/>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p>
        </w:tc>
        <w:tc>
          <w:tcPr>
            <w:tcW w:w="6581" w:type="dxa"/>
            <w:tcBorders>
              <w:top w:val="nil"/>
              <w:left w:val="nil"/>
              <w:bottom w:val="single" w:color="000000" w:sz="4" w:space="0"/>
              <w:right w:val="single" w:color="000000" w:sz="4" w:space="0"/>
            </w:tcBorders>
            <w:shd w:val="clear" w:color="FFFFFF" w:fill="BFBFBF"/>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8．其他用车</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p>
        </w:tc>
      </w:tr>
      <w:tr>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BFBFBF"/>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3．公务用车购置数（辆）</w:t>
            </w:r>
          </w:p>
        </w:tc>
        <w:tc>
          <w:tcPr>
            <w:tcW w:w="38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w:t>
            </w:r>
          </w:p>
        </w:tc>
        <w:tc>
          <w:tcPr>
            <w:tcW w:w="3281" w:type="dxa"/>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p>
        </w:tc>
        <w:tc>
          <w:tcPr>
            <w:tcW w:w="6581" w:type="dxa"/>
            <w:tcBorders>
              <w:top w:val="nil"/>
              <w:left w:val="nil"/>
              <w:bottom w:val="single" w:color="000000" w:sz="4" w:space="0"/>
              <w:right w:val="single" w:color="000000" w:sz="4" w:space="0"/>
            </w:tcBorders>
            <w:shd w:val="clear" w:color="FFFFFF" w:fill="BFBFBF"/>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（二）单价100万元（含）以上设备（不含车辆）</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p>
        </w:tc>
      </w:tr>
      <w:tr>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BFBFBF"/>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4．公务用车保有量（辆）</w:t>
            </w:r>
          </w:p>
        </w:tc>
        <w:tc>
          <w:tcPr>
            <w:tcW w:w="38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w:t>
            </w:r>
          </w:p>
        </w:tc>
        <w:tc>
          <w:tcPr>
            <w:tcW w:w="3281" w:type="dxa"/>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rPr>
              <w:t>2</w:t>
            </w:r>
          </w:p>
        </w:tc>
        <w:tc>
          <w:tcPr>
            <w:tcW w:w="658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六、政府采购支出信息</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w:t>
            </w:r>
          </w:p>
        </w:tc>
      </w:tr>
      <w:tr>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BFBFBF"/>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5．国内公务接待批次（个）</w:t>
            </w:r>
          </w:p>
        </w:tc>
        <w:tc>
          <w:tcPr>
            <w:tcW w:w="38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w:t>
            </w:r>
          </w:p>
        </w:tc>
        <w:tc>
          <w:tcPr>
            <w:tcW w:w="3281" w:type="dxa"/>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rPr>
              <w:t>205</w:t>
            </w:r>
          </w:p>
        </w:tc>
        <w:tc>
          <w:tcPr>
            <w:tcW w:w="658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（一）政府采购支出合计</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p>
        </w:tc>
      </w:tr>
      <w:tr>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BFBFBF"/>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其中：外事接待批次（个）</w:t>
            </w:r>
          </w:p>
        </w:tc>
        <w:tc>
          <w:tcPr>
            <w:tcW w:w="38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w:t>
            </w:r>
          </w:p>
        </w:tc>
        <w:tc>
          <w:tcPr>
            <w:tcW w:w="3281" w:type="dxa"/>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p>
        </w:tc>
        <w:tc>
          <w:tcPr>
            <w:tcW w:w="658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1．政府采购货物支出</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p>
        </w:tc>
      </w:tr>
      <w:tr>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BFBFBF"/>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6．国内公务接待人次（人）</w:t>
            </w:r>
          </w:p>
        </w:tc>
        <w:tc>
          <w:tcPr>
            <w:tcW w:w="38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w:t>
            </w:r>
          </w:p>
        </w:tc>
        <w:tc>
          <w:tcPr>
            <w:tcW w:w="3281" w:type="dxa"/>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rPr>
              <w:t>1,020</w:t>
            </w:r>
          </w:p>
        </w:tc>
        <w:tc>
          <w:tcPr>
            <w:tcW w:w="658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2．政府采购工程支出</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p>
        </w:tc>
      </w:tr>
      <w:tr>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BFBFBF"/>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其中：外事接待人次（人）</w:t>
            </w:r>
          </w:p>
        </w:tc>
        <w:tc>
          <w:tcPr>
            <w:tcW w:w="38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w:t>
            </w:r>
          </w:p>
        </w:tc>
        <w:tc>
          <w:tcPr>
            <w:tcW w:w="3281" w:type="dxa"/>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p>
        </w:tc>
        <w:tc>
          <w:tcPr>
            <w:tcW w:w="658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3．政府采购服务支出</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p>
        </w:tc>
      </w:tr>
      <w:tr>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BFBFBF"/>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7．国（境）外公务接待批次（个）</w:t>
            </w:r>
          </w:p>
        </w:tc>
        <w:tc>
          <w:tcPr>
            <w:tcW w:w="38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w:t>
            </w:r>
          </w:p>
        </w:tc>
        <w:tc>
          <w:tcPr>
            <w:tcW w:w="3281" w:type="dxa"/>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p>
        </w:tc>
        <w:tc>
          <w:tcPr>
            <w:tcW w:w="658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（二）政府采购授予中小企业合同金额</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p>
        </w:tc>
      </w:tr>
      <w:tr>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BFBFBF"/>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8．国（境）外公务接待人次（人）</w:t>
            </w:r>
          </w:p>
        </w:tc>
        <w:tc>
          <w:tcPr>
            <w:tcW w:w="38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w:t>
            </w:r>
          </w:p>
        </w:tc>
        <w:tc>
          <w:tcPr>
            <w:tcW w:w="3281" w:type="dxa"/>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p>
        </w:tc>
        <w:tc>
          <w:tcPr>
            <w:tcW w:w="658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其中：授予小微企业合同金额</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p>
        </w:tc>
      </w:tr>
      <w:tr>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二、会议费</w:t>
            </w:r>
          </w:p>
        </w:tc>
        <w:tc>
          <w:tcPr>
            <w:tcW w:w="38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w:t>
            </w:r>
          </w:p>
        </w:tc>
        <w:tc>
          <w:tcPr>
            <w:tcW w:w="328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rPr>
              <w:t>5.37</w:t>
            </w:r>
          </w:p>
        </w:tc>
        <w:tc>
          <w:tcPr>
            <w:tcW w:w="658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right"/>
              <w:rPr>
                <w:rFonts w:hint="default" w:ascii="Arial" w:hAnsi="Arial" w:cs="Arial"/>
                <w:color w:val="000000"/>
                <w:sz w:val="20"/>
                <w:szCs w:val="20"/>
              </w:rPr>
            </w:pPr>
          </w:p>
        </w:tc>
      </w:tr>
      <w:tr>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三、培训费</w:t>
            </w:r>
          </w:p>
        </w:tc>
        <w:tc>
          <w:tcPr>
            <w:tcW w:w="38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w:t>
            </w:r>
          </w:p>
        </w:tc>
        <w:tc>
          <w:tcPr>
            <w:tcW w:w="328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rPr>
              <w:t>2.17</w:t>
            </w:r>
          </w:p>
        </w:tc>
        <w:tc>
          <w:tcPr>
            <w:tcW w:w="658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right"/>
              <w:rPr>
                <w:rFonts w:hint="default" w:ascii="Arial" w:hAnsi="Arial" w:cs="Arial"/>
                <w:color w:val="000000"/>
                <w:sz w:val="20"/>
                <w:szCs w:val="20"/>
              </w:rPr>
            </w:pPr>
          </w:p>
        </w:tc>
      </w:tr>
    </w:tbl>
    <w:p>
      <w:pPr>
        <w:rPr>
          <w:rFonts w:hint="default" w:cs="宋体"/>
          <w:sz w:val="21"/>
          <w:szCs w:val="21"/>
        </w:rPr>
      </w:pPr>
      <w:r>
        <w:rPr>
          <w:rFonts w:cs="宋体"/>
          <w:sz w:val="21"/>
          <w:szCs w:val="21"/>
        </w:rPr>
        <w:t>备注：1.本表反映部门本年度财政拨款“三公”经费支出预决算情况。其中，预算数为“三公”经费全年预算数，反映按规定程序调整后的预算数；决算数为包括本年度财政拨款和以前年度结转资金安排的实际支出。</w:t>
      </w:r>
      <w:r>
        <w:rPr>
          <w:rFonts w:cs="宋体"/>
          <w:sz w:val="21"/>
          <w:szCs w:val="21"/>
        </w:rPr>
        <w:br w:type="textWrapping"/>
      </w:r>
      <w:r>
        <w:rPr>
          <w:rFonts w:cs="宋体"/>
          <w:sz w:val="21"/>
          <w:szCs w:val="21"/>
        </w:rPr>
        <w:t xml:space="preserve">      2.本套报表金额单位转换时可能存在尾数误差。</w:t>
      </w:r>
      <w:r>
        <w:rPr>
          <w:rFonts w:cs="宋体"/>
          <w:sz w:val="21"/>
          <w:szCs w:val="21"/>
        </w:rPr>
        <w:br w:type="textWrapping"/>
      </w:r>
      <w:r>
        <w:rPr>
          <w:rFonts w:cs="宋体"/>
          <w:sz w:val="21"/>
          <w:szCs w:val="21"/>
        </w:rPr>
        <w:br w:type="textWrapping"/>
      </w:r>
    </w:p>
    <w:p>
      <w:pPr>
        <w:rPr>
          <w:rFonts w:hint="default" w:cs="宋体"/>
          <w:color w:val="000000"/>
          <w:sz w:val="21"/>
          <w:szCs w:val="21"/>
        </w:rPr>
      </w:pPr>
    </w:p>
    <w:p>
      <w:pPr>
        <w:rPr>
          <w:rFonts w:hint="default" w:cs="宋体"/>
          <w:color w:val="000000"/>
          <w:sz w:val="21"/>
          <w:szCs w:val="21"/>
        </w:rPr>
      </w:pPr>
    </w:p>
    <w:p>
      <w:pPr>
        <w:rPr>
          <w:rFonts w:hint="default" w:cs="宋体"/>
          <w:color w:val="000000"/>
          <w:sz w:val="21"/>
          <w:szCs w:val="21"/>
        </w:rPr>
      </w:pPr>
    </w:p>
    <w:p>
      <w:pPr>
        <w:rPr>
          <w:rFonts w:hint="default" w:cs="宋体"/>
          <w:color w:val="000000"/>
          <w:sz w:val="21"/>
          <w:szCs w:val="21"/>
        </w:rPr>
      </w:pPr>
    </w:p>
    <w:p>
      <w:pPr>
        <w:rPr>
          <w:rFonts w:hint="default" w:cs="宋体"/>
          <w:color w:val="000000"/>
          <w:sz w:val="21"/>
          <w:szCs w:val="21"/>
        </w:rPr>
      </w:pPr>
    </w:p>
    <w:p>
      <w:pPr>
        <w:rPr>
          <w:rFonts w:hint="default" w:cs="宋体"/>
          <w:color w:val="000000"/>
          <w:sz w:val="21"/>
          <w:szCs w:val="21"/>
        </w:rPr>
      </w:pPr>
    </w:p>
    <w:p>
      <w:pPr>
        <w:rPr>
          <w:rFonts w:hint="default" w:cs="宋体"/>
          <w:color w:val="000000"/>
          <w:sz w:val="21"/>
          <w:szCs w:val="21"/>
        </w:rPr>
      </w:pPr>
    </w:p>
    <w:p>
      <w:pPr>
        <w:rPr>
          <w:rFonts w:hint="default" w:cs="宋体"/>
          <w:color w:val="000000"/>
          <w:sz w:val="21"/>
          <w:szCs w:val="21"/>
        </w:rPr>
      </w:pPr>
    </w:p>
    <w:p>
      <w:pPr>
        <w:rPr>
          <w:rFonts w:hint="default" w:cs="宋体"/>
          <w:color w:val="000000"/>
          <w:sz w:val="21"/>
          <w:szCs w:val="21"/>
        </w:rPr>
      </w:pPr>
    </w:p>
    <w:p>
      <w:pPr>
        <w:pStyle w:val="13"/>
        <w:autoSpaceDE w:val="0"/>
        <w:ind w:firstLine="0" w:firstLineChars="0"/>
        <w:rPr>
          <w:rFonts w:cs="宋体"/>
          <w:sz w:val="21"/>
          <w:szCs w:val="21"/>
        </w:rPr>
      </w:pPr>
    </w:p>
    <w:sectPr>
      <w:headerReference r:id="rId4" w:type="default"/>
      <w:footerReference r:id="rId5" w:type="default"/>
      <w:pgSz w:w="23811" w:h="16838" w:orient="landscape"/>
      <w:pgMar w:top="567" w:right="454" w:bottom="567" w:left="1037" w:header="0" w:footer="283"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仿宋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hint="default"/>
      </w:rPr>
    </w:pPr>
    <w:r>
      <w:rPr>
        <w:rFonts w:hint="default"/>
      </w:rPr>
      <w:pict>
        <v:shape id="_x0000_s4097" o:spid="_x0000_s4097"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weight="0.5pt" joinstyle="miter"/>
          <v:imagedata o:title=""/>
          <o:lock v:ext="edit"/>
          <v:textbox inset="0mm,0mm,0mm,0mm" style="mso-fit-shape-to-text:t;">
            <w:txbxContent>
              <w:p>
                <w:pPr>
                  <w:pStyle w:val="4"/>
                  <w:rPr>
                    <w:rFonts w:hint="default"/>
                  </w:rPr>
                </w:pPr>
                <w:r>
                  <w:rPr>
                    <w:rFonts w:hint="default"/>
                  </w:rPr>
                  <w:fldChar w:fldCharType="begin"/>
                </w:r>
                <w:r>
                  <w:instrText xml:space="preserve"> PAGE  \* MERGEFORMAT </w:instrText>
                </w:r>
                <w:r>
                  <w:rPr>
                    <w:rFonts w:hint="default"/>
                  </w:rPr>
                  <w:fldChar w:fldCharType="separate"/>
                </w:r>
                <w:r>
                  <w:rPr>
                    <w:rFonts w:hint="default"/>
                  </w:rPr>
                  <w:t>- 14 -</w:t>
                </w:r>
                <w:r>
                  <w:rPr>
                    <w:rFonts w:hint="default"/>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both"/>
      <w:rPr>
        <w:rFonts w:hint="default"/>
      </w:rPr>
    </w:pPr>
    <w:r>
      <w:rPr>
        <w:rFonts w:hint="default"/>
      </w:rPr>
      <w:pict>
        <v:shape id="_x0000_s4098" o:spid="_x0000_s4098" o:spt="202" type="#_x0000_t202" style="position:absolute;left:0pt;margin-top:0pt;height:144pt;width:144pt;mso-position-horizontal:center;mso-position-horizontal-relative:margin;mso-wrap-style:none;z-index:251660288;mso-width-relative:page;mso-height-relative:page;" filled="f" stroked="f" coordsize="21600,21600" o:allowoverlap="f">
          <v:path/>
          <v:fill on="f" focussize="0,0"/>
          <v:stroke on="f" weight="0.5pt" joinstyle="miter"/>
          <v:imagedata o:title=""/>
          <o:lock v:ext="edit"/>
          <v:textbox inset="0mm,0mm,0mm,0mm" style="mso-fit-shape-to-text:t;">
            <w:txbxContent>
              <w:p>
                <w:pPr>
                  <w:pStyle w:val="4"/>
                  <w:rPr>
                    <w:rFonts w:hint="default"/>
                  </w:rPr>
                </w:pPr>
                <w:r>
                  <w:rPr>
                    <w:rFonts w:hint="default"/>
                  </w:rPr>
                  <w:fldChar w:fldCharType="begin"/>
                </w:r>
                <w:r>
                  <w:instrText xml:space="preserve">PAGE   \* MERGEFORMAT</w:instrText>
                </w:r>
                <w:r>
                  <w:rPr>
                    <w:rFonts w:hint="default"/>
                  </w:rPr>
                  <w:fldChar w:fldCharType="separate"/>
                </w:r>
                <w:r>
                  <w:rPr>
                    <w:rFonts w:hint="default"/>
                    <w:lang w:val="zh-CN"/>
                  </w:rPr>
                  <w:t>-</w:t>
                </w:r>
                <w:r>
                  <w:rPr>
                    <w:rFonts w:hint="default"/>
                  </w:rPr>
                  <w:t xml:space="preserve"> 45 -</w:t>
                </w:r>
                <w:r>
                  <w:rPr>
                    <w:rFonts w:hint="default"/>
                  </w:rPr>
                  <w:fldChar w:fldCharType="end"/>
                </w:r>
              </w:p>
            </w:txbxContent>
          </v:textbox>
        </v:shape>
      </w:pict>
    </w:r>
    <w:r>
      <w:rPr>
        <w:rFonts w:hint="default"/>
      </w:rPr>
      <w:pict>
        <v:shape id="_x0000_s4099" o:spid="_x0000_s4099"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v:path/>
          <v:fill on="f" focussize="0,0"/>
          <v:stroke on="f" weight="0.5pt" joinstyle="miter"/>
          <v:imagedata o:title=""/>
          <o:lock v:ext="edit"/>
          <v:textbox inset="0mm,0mm,0mm,0mm">
            <w:txbxContent>
              <w:p>
                <w:pPr>
                  <w:pStyle w:val="4"/>
                  <w:jc w:val="both"/>
                  <w:rPr>
                    <w:rFonts w:hint="default" w:cs="宋体"/>
                  </w:rPr>
                </w:pPr>
                <w:r>
                  <w:rPr>
                    <w:rFonts w:cs="宋体"/>
                  </w:rPr>
                  <w:t>— 27.1 —</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NTJhYTMzYzczNDA1MDgyNDA2Mjg5NTZiNGM0ZTdjYTMifQ=="/>
  </w:docVars>
  <w:rsids>
    <w:rsidRoot w:val="00B03CCD"/>
    <w:rsid w:val="0007112F"/>
    <w:rsid w:val="000A2D68"/>
    <w:rsid w:val="000C7327"/>
    <w:rsid w:val="000D2FB7"/>
    <w:rsid w:val="00103626"/>
    <w:rsid w:val="00186846"/>
    <w:rsid w:val="001C26AA"/>
    <w:rsid w:val="001E613F"/>
    <w:rsid w:val="002171A5"/>
    <w:rsid w:val="002D3F5F"/>
    <w:rsid w:val="002E5443"/>
    <w:rsid w:val="002E5DEB"/>
    <w:rsid w:val="00367ECB"/>
    <w:rsid w:val="003C3533"/>
    <w:rsid w:val="003F4E79"/>
    <w:rsid w:val="00474B94"/>
    <w:rsid w:val="00496D1E"/>
    <w:rsid w:val="004A04D8"/>
    <w:rsid w:val="00512E87"/>
    <w:rsid w:val="00514D20"/>
    <w:rsid w:val="0054392C"/>
    <w:rsid w:val="00550ABE"/>
    <w:rsid w:val="005C37F2"/>
    <w:rsid w:val="005D7452"/>
    <w:rsid w:val="006471FC"/>
    <w:rsid w:val="00674031"/>
    <w:rsid w:val="0068792B"/>
    <w:rsid w:val="006C54B6"/>
    <w:rsid w:val="006D0D40"/>
    <w:rsid w:val="00721EA4"/>
    <w:rsid w:val="007B214C"/>
    <w:rsid w:val="007B35F5"/>
    <w:rsid w:val="007B419D"/>
    <w:rsid w:val="00873B80"/>
    <w:rsid w:val="008F3325"/>
    <w:rsid w:val="00953D5B"/>
    <w:rsid w:val="009B67B8"/>
    <w:rsid w:val="009C248B"/>
    <w:rsid w:val="00A24F94"/>
    <w:rsid w:val="00AA4181"/>
    <w:rsid w:val="00AF4B7C"/>
    <w:rsid w:val="00B03CCD"/>
    <w:rsid w:val="00B06B72"/>
    <w:rsid w:val="00B16A12"/>
    <w:rsid w:val="00B37E7E"/>
    <w:rsid w:val="00B43A89"/>
    <w:rsid w:val="00C24801"/>
    <w:rsid w:val="00C32CD7"/>
    <w:rsid w:val="00C400B8"/>
    <w:rsid w:val="00C560D6"/>
    <w:rsid w:val="00C75316"/>
    <w:rsid w:val="00CB539F"/>
    <w:rsid w:val="00D01984"/>
    <w:rsid w:val="00D60977"/>
    <w:rsid w:val="00E354D1"/>
    <w:rsid w:val="00E71F25"/>
    <w:rsid w:val="00E76273"/>
    <w:rsid w:val="00E76362"/>
    <w:rsid w:val="00EC2CEE"/>
    <w:rsid w:val="00EE0459"/>
    <w:rsid w:val="00F56C68"/>
    <w:rsid w:val="00F73F90"/>
    <w:rsid w:val="00FA413A"/>
    <w:rsid w:val="01474EBF"/>
    <w:rsid w:val="01F3521E"/>
    <w:rsid w:val="03B87EA0"/>
    <w:rsid w:val="03E3214F"/>
    <w:rsid w:val="044C50BA"/>
    <w:rsid w:val="05BC6D49"/>
    <w:rsid w:val="06194FF1"/>
    <w:rsid w:val="06A2550B"/>
    <w:rsid w:val="06F80EE2"/>
    <w:rsid w:val="07001CCA"/>
    <w:rsid w:val="075678DB"/>
    <w:rsid w:val="079D7CC7"/>
    <w:rsid w:val="08051BCA"/>
    <w:rsid w:val="086C12F4"/>
    <w:rsid w:val="08BA052C"/>
    <w:rsid w:val="08DB07BA"/>
    <w:rsid w:val="0969353F"/>
    <w:rsid w:val="098305D0"/>
    <w:rsid w:val="0A5C4B69"/>
    <w:rsid w:val="0A86124A"/>
    <w:rsid w:val="0AB54CC0"/>
    <w:rsid w:val="0B9335CE"/>
    <w:rsid w:val="0C7927C4"/>
    <w:rsid w:val="0C9B098C"/>
    <w:rsid w:val="0D673E11"/>
    <w:rsid w:val="0DDA54E4"/>
    <w:rsid w:val="0E3A5F83"/>
    <w:rsid w:val="0F836721"/>
    <w:rsid w:val="0FA25D96"/>
    <w:rsid w:val="107B59E5"/>
    <w:rsid w:val="10EC0126"/>
    <w:rsid w:val="10F70B9A"/>
    <w:rsid w:val="111445C7"/>
    <w:rsid w:val="114278C6"/>
    <w:rsid w:val="1158083A"/>
    <w:rsid w:val="11643A4B"/>
    <w:rsid w:val="11ED0F98"/>
    <w:rsid w:val="11F03528"/>
    <w:rsid w:val="12C921C4"/>
    <w:rsid w:val="13871C70"/>
    <w:rsid w:val="13A71CB4"/>
    <w:rsid w:val="13AF1D43"/>
    <w:rsid w:val="13CE1647"/>
    <w:rsid w:val="13FD55AB"/>
    <w:rsid w:val="14200702"/>
    <w:rsid w:val="163A6CEE"/>
    <w:rsid w:val="173708E3"/>
    <w:rsid w:val="17C374FC"/>
    <w:rsid w:val="189079DC"/>
    <w:rsid w:val="189B0D0B"/>
    <w:rsid w:val="18B43F7C"/>
    <w:rsid w:val="194A1770"/>
    <w:rsid w:val="1953238A"/>
    <w:rsid w:val="19B906A4"/>
    <w:rsid w:val="1B6F15B6"/>
    <w:rsid w:val="1BAA2EDC"/>
    <w:rsid w:val="1C5C0973"/>
    <w:rsid w:val="1CA55E64"/>
    <w:rsid w:val="1D014A01"/>
    <w:rsid w:val="1D022362"/>
    <w:rsid w:val="1D1B04B0"/>
    <w:rsid w:val="1DBD6767"/>
    <w:rsid w:val="1DC52125"/>
    <w:rsid w:val="1DD26311"/>
    <w:rsid w:val="1E374ACB"/>
    <w:rsid w:val="1ECF0A66"/>
    <w:rsid w:val="1EF67CA4"/>
    <w:rsid w:val="1F020D3A"/>
    <w:rsid w:val="1F2C5189"/>
    <w:rsid w:val="1F4B0B02"/>
    <w:rsid w:val="1FBB35CD"/>
    <w:rsid w:val="1FCD26AF"/>
    <w:rsid w:val="20642787"/>
    <w:rsid w:val="21556F04"/>
    <w:rsid w:val="22403BD3"/>
    <w:rsid w:val="24B92327"/>
    <w:rsid w:val="24C14514"/>
    <w:rsid w:val="2533755C"/>
    <w:rsid w:val="25791755"/>
    <w:rsid w:val="26396DF4"/>
    <w:rsid w:val="27167136"/>
    <w:rsid w:val="27B23302"/>
    <w:rsid w:val="29310A5F"/>
    <w:rsid w:val="29C37A35"/>
    <w:rsid w:val="2A076083"/>
    <w:rsid w:val="2A73162E"/>
    <w:rsid w:val="2B167953"/>
    <w:rsid w:val="2B200583"/>
    <w:rsid w:val="2B8209DE"/>
    <w:rsid w:val="2C6762A3"/>
    <w:rsid w:val="2EBF7B3E"/>
    <w:rsid w:val="2FCA4B37"/>
    <w:rsid w:val="2FE029D7"/>
    <w:rsid w:val="2FF06E00"/>
    <w:rsid w:val="30562E26"/>
    <w:rsid w:val="30586FEC"/>
    <w:rsid w:val="315F0B22"/>
    <w:rsid w:val="319D022C"/>
    <w:rsid w:val="31C90022"/>
    <w:rsid w:val="31D84415"/>
    <w:rsid w:val="32285F6F"/>
    <w:rsid w:val="32770556"/>
    <w:rsid w:val="329C0913"/>
    <w:rsid w:val="32AA0460"/>
    <w:rsid w:val="3337290D"/>
    <w:rsid w:val="33E31118"/>
    <w:rsid w:val="33EF7674"/>
    <w:rsid w:val="342D7BC6"/>
    <w:rsid w:val="352930DB"/>
    <w:rsid w:val="35573069"/>
    <w:rsid w:val="355F6038"/>
    <w:rsid w:val="358C217E"/>
    <w:rsid w:val="36C9128A"/>
    <w:rsid w:val="37841E99"/>
    <w:rsid w:val="37BF1123"/>
    <w:rsid w:val="383C3F15"/>
    <w:rsid w:val="38BE4696"/>
    <w:rsid w:val="3939115E"/>
    <w:rsid w:val="39B82A39"/>
    <w:rsid w:val="39C42CA8"/>
    <w:rsid w:val="39DC4FD6"/>
    <w:rsid w:val="39F03D7A"/>
    <w:rsid w:val="39F33306"/>
    <w:rsid w:val="3A2C1C67"/>
    <w:rsid w:val="3B1705E5"/>
    <w:rsid w:val="3B18334B"/>
    <w:rsid w:val="3B36794F"/>
    <w:rsid w:val="3C566AD6"/>
    <w:rsid w:val="3C6A5B02"/>
    <w:rsid w:val="3D2757A1"/>
    <w:rsid w:val="3D3D4FC4"/>
    <w:rsid w:val="3DDF3AB1"/>
    <w:rsid w:val="3E1D0952"/>
    <w:rsid w:val="3E42660A"/>
    <w:rsid w:val="3E7555B1"/>
    <w:rsid w:val="3E787ED9"/>
    <w:rsid w:val="3EEC37F3"/>
    <w:rsid w:val="3F032E93"/>
    <w:rsid w:val="3F0527E5"/>
    <w:rsid w:val="3F694D83"/>
    <w:rsid w:val="3F885DCC"/>
    <w:rsid w:val="3FCD675E"/>
    <w:rsid w:val="4004000C"/>
    <w:rsid w:val="411B6CE5"/>
    <w:rsid w:val="412070D7"/>
    <w:rsid w:val="41314E40"/>
    <w:rsid w:val="41E0734B"/>
    <w:rsid w:val="42047235"/>
    <w:rsid w:val="426554D0"/>
    <w:rsid w:val="426C1EA8"/>
    <w:rsid w:val="42736402"/>
    <w:rsid w:val="42A01D3A"/>
    <w:rsid w:val="42E86A87"/>
    <w:rsid w:val="43307B09"/>
    <w:rsid w:val="43BB152F"/>
    <w:rsid w:val="44C37687"/>
    <w:rsid w:val="45CB699A"/>
    <w:rsid w:val="465B470D"/>
    <w:rsid w:val="469D6AD4"/>
    <w:rsid w:val="471E6C84"/>
    <w:rsid w:val="4748792B"/>
    <w:rsid w:val="475D719D"/>
    <w:rsid w:val="47674801"/>
    <w:rsid w:val="48225EF7"/>
    <w:rsid w:val="488F422B"/>
    <w:rsid w:val="48E36915"/>
    <w:rsid w:val="495C4A24"/>
    <w:rsid w:val="497135DF"/>
    <w:rsid w:val="4A263DF2"/>
    <w:rsid w:val="4A6F6675"/>
    <w:rsid w:val="4B135857"/>
    <w:rsid w:val="4B7951CB"/>
    <w:rsid w:val="4B7C315C"/>
    <w:rsid w:val="4DAC4ACA"/>
    <w:rsid w:val="4DBE01D2"/>
    <w:rsid w:val="4F0C6BA3"/>
    <w:rsid w:val="4F186D58"/>
    <w:rsid w:val="4FEA65B7"/>
    <w:rsid w:val="50F06B6E"/>
    <w:rsid w:val="52234D33"/>
    <w:rsid w:val="522F6E0C"/>
    <w:rsid w:val="52463BA1"/>
    <w:rsid w:val="52F163D4"/>
    <w:rsid w:val="531A2DB4"/>
    <w:rsid w:val="53C0244D"/>
    <w:rsid w:val="53DD4D4E"/>
    <w:rsid w:val="53E578CE"/>
    <w:rsid w:val="541330F0"/>
    <w:rsid w:val="54272666"/>
    <w:rsid w:val="543B029D"/>
    <w:rsid w:val="54861779"/>
    <w:rsid w:val="552256E1"/>
    <w:rsid w:val="554E5773"/>
    <w:rsid w:val="555A3CBC"/>
    <w:rsid w:val="556F628B"/>
    <w:rsid w:val="5582012B"/>
    <w:rsid w:val="558E4E05"/>
    <w:rsid w:val="55BE2E85"/>
    <w:rsid w:val="56530F5D"/>
    <w:rsid w:val="567700D3"/>
    <w:rsid w:val="56FF7E9E"/>
    <w:rsid w:val="578867FC"/>
    <w:rsid w:val="5842572D"/>
    <w:rsid w:val="5A3B59D6"/>
    <w:rsid w:val="5AD134D8"/>
    <w:rsid w:val="5C263CE4"/>
    <w:rsid w:val="5C5D2777"/>
    <w:rsid w:val="5CF66BF3"/>
    <w:rsid w:val="5D290C69"/>
    <w:rsid w:val="5F2D4A41"/>
    <w:rsid w:val="60A16203"/>
    <w:rsid w:val="60C74F6C"/>
    <w:rsid w:val="61025A59"/>
    <w:rsid w:val="613D5BBC"/>
    <w:rsid w:val="61536C39"/>
    <w:rsid w:val="62944DD7"/>
    <w:rsid w:val="6319381F"/>
    <w:rsid w:val="63C25DC5"/>
    <w:rsid w:val="63C62057"/>
    <w:rsid w:val="64571EF5"/>
    <w:rsid w:val="64FB113D"/>
    <w:rsid w:val="656152C6"/>
    <w:rsid w:val="6587477F"/>
    <w:rsid w:val="658C3A08"/>
    <w:rsid w:val="65C031CA"/>
    <w:rsid w:val="65CE6852"/>
    <w:rsid w:val="66267C04"/>
    <w:rsid w:val="663F505A"/>
    <w:rsid w:val="66967186"/>
    <w:rsid w:val="66EE5541"/>
    <w:rsid w:val="67787CAA"/>
    <w:rsid w:val="67924660"/>
    <w:rsid w:val="68407834"/>
    <w:rsid w:val="6883293E"/>
    <w:rsid w:val="688412AD"/>
    <w:rsid w:val="68EB1B71"/>
    <w:rsid w:val="68EF4E9D"/>
    <w:rsid w:val="69475C96"/>
    <w:rsid w:val="6AAD2300"/>
    <w:rsid w:val="6B474EF5"/>
    <w:rsid w:val="6BBF53FD"/>
    <w:rsid w:val="6C560CAE"/>
    <w:rsid w:val="6C576495"/>
    <w:rsid w:val="6D903FF5"/>
    <w:rsid w:val="6DA955B8"/>
    <w:rsid w:val="6DE346AB"/>
    <w:rsid w:val="6DE5391A"/>
    <w:rsid w:val="6EFD1324"/>
    <w:rsid w:val="6F327621"/>
    <w:rsid w:val="6F5A53AC"/>
    <w:rsid w:val="6FAC003D"/>
    <w:rsid w:val="6FE55E12"/>
    <w:rsid w:val="6FFB2E76"/>
    <w:rsid w:val="708F6F7F"/>
    <w:rsid w:val="70D94BD3"/>
    <w:rsid w:val="71C34D91"/>
    <w:rsid w:val="72DB435C"/>
    <w:rsid w:val="72E2613A"/>
    <w:rsid w:val="72F771F4"/>
    <w:rsid w:val="736650B0"/>
    <w:rsid w:val="73934AD2"/>
    <w:rsid w:val="750837F0"/>
    <w:rsid w:val="754758CF"/>
    <w:rsid w:val="764F62AB"/>
    <w:rsid w:val="765C45EC"/>
    <w:rsid w:val="768A7619"/>
    <w:rsid w:val="772E1EBA"/>
    <w:rsid w:val="77EB79F7"/>
    <w:rsid w:val="796D60A4"/>
    <w:rsid w:val="79A031D5"/>
    <w:rsid w:val="7A1525F7"/>
    <w:rsid w:val="7B420052"/>
    <w:rsid w:val="7B861484"/>
    <w:rsid w:val="7BD06A28"/>
    <w:rsid w:val="7C3A7C0B"/>
    <w:rsid w:val="7C5248E4"/>
    <w:rsid w:val="7C566698"/>
    <w:rsid w:val="7C5866A3"/>
    <w:rsid w:val="7D552AD9"/>
    <w:rsid w:val="7D7406BB"/>
    <w:rsid w:val="7DE94331"/>
    <w:rsid w:val="7F446A19"/>
    <w:rsid w:val="7F7452B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10">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2">
    <w:name w:val="annotation text"/>
    <w:basedOn w:val="1"/>
    <w:uiPriority w:val="0"/>
  </w:style>
  <w:style w:type="paragraph" w:styleId="3">
    <w:name w:val="Balloon Text"/>
    <w:basedOn w:val="1"/>
    <w:link w:val="17"/>
    <w:qFormat/>
    <w:uiPriority w:val="0"/>
    <w:rPr>
      <w:sz w:val="18"/>
      <w:szCs w:val="18"/>
    </w:rPr>
  </w:style>
  <w:style w:type="paragraph" w:styleId="4">
    <w:name w:val="footer"/>
    <w:basedOn w:val="1"/>
    <w:qFormat/>
    <w:uiPriority w:val="0"/>
    <w:pPr>
      <w:tabs>
        <w:tab w:val="center" w:pos="4153"/>
        <w:tab w:val="right" w:pos="8306"/>
      </w:tabs>
      <w:snapToGrid w:val="0"/>
    </w:pPr>
    <w:rPr>
      <w:sz w:val="18"/>
      <w:szCs w:val="18"/>
    </w:rPr>
  </w:style>
  <w:style w:type="paragraph" w:styleId="5">
    <w:name w:val="header"/>
    <w:basedOn w:val="1"/>
    <w:link w:val="18"/>
    <w:qFormat/>
    <w:uiPriority w:val="99"/>
    <w:pPr>
      <w:tabs>
        <w:tab w:val="center" w:pos="4153"/>
        <w:tab w:val="right" w:pos="8306"/>
      </w:tabs>
      <w:snapToGrid w:val="0"/>
      <w:jc w:val="center"/>
    </w:pPr>
    <w:rPr>
      <w:sz w:val="18"/>
      <w:szCs w:val="18"/>
    </w:rPr>
  </w:style>
  <w:style w:type="paragraph" w:styleId="6">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7">
    <w:name w:val="Normal (Web)"/>
    <w:basedOn w:val="1"/>
    <w:unhideWhenUsed/>
    <w:qFormat/>
    <w:uiPriority w:val="0"/>
    <w:pPr>
      <w:spacing w:before="100" w:beforeAutospacing="1" w:after="100" w:afterAutospacing="1"/>
    </w:p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qFormat/>
    <w:uiPriority w:val="0"/>
    <w:rPr>
      <w:b/>
    </w:rPr>
  </w:style>
  <w:style w:type="character" w:styleId="12">
    <w:name w:val="annotation reference"/>
    <w:basedOn w:val="10"/>
    <w:uiPriority w:val="0"/>
    <w:rPr>
      <w:sz w:val="21"/>
      <w:szCs w:val="21"/>
    </w:rPr>
  </w:style>
  <w:style w:type="paragraph" w:customStyle="1" w:styleId="13">
    <w:name w:val="列出段落1"/>
    <w:basedOn w:val="1"/>
    <w:qFormat/>
    <w:uiPriority w:val="99"/>
    <w:pPr>
      <w:ind w:firstLine="420" w:firstLineChars="200"/>
    </w:pPr>
    <w:rPr>
      <w:rFonts w:hint="default"/>
    </w:rPr>
  </w:style>
  <w:style w:type="paragraph" w:customStyle="1" w:styleId="14">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5">
    <w:name w:val="21"/>
    <w:qFormat/>
    <w:uiPriority w:val="0"/>
    <w:rPr>
      <w:rFonts w:hint="default" w:ascii="Wingdings" w:hAnsi="Wingdings" w:cs="Wingdings"/>
      <w:b/>
      <w:bCs/>
    </w:rPr>
  </w:style>
  <w:style w:type="paragraph" w:customStyle="1" w:styleId="16">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7">
    <w:name w:val="批注框文本 字符"/>
    <w:basedOn w:val="10"/>
    <w:link w:val="3"/>
    <w:qFormat/>
    <w:uiPriority w:val="0"/>
    <w:rPr>
      <w:rFonts w:ascii="宋体" w:hAnsi="宋体"/>
      <w:sz w:val="18"/>
      <w:szCs w:val="18"/>
    </w:rPr>
  </w:style>
  <w:style w:type="character" w:customStyle="1" w:styleId="18">
    <w:name w:val="页眉 字符"/>
    <w:basedOn w:val="10"/>
    <w:link w:val="5"/>
    <w:uiPriority w:val="99"/>
    <w:rPr>
      <w:rFonts w:ascii="宋体" w:hAnsi="宋体"/>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44</Pages>
  <Words>18547</Words>
  <Characters>26278</Characters>
  <Lines>234</Lines>
  <Paragraphs>66</Paragraphs>
  <TotalTime>176</TotalTime>
  <ScaleCrop>false</ScaleCrop>
  <LinksUpToDate>false</LinksUpToDate>
  <CharactersWithSpaces>27000</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一身都是月</cp:lastModifiedBy>
  <dcterms:modified xsi:type="dcterms:W3CDTF">2025-10-22T02:17:32Z</dcterms:modified>
  <cp:revision>49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BB46EABDBB2749749395447164B066B3_12</vt:lpwstr>
  </property>
</Properties>
</file>