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垫江县五洞镇农业服务中心</w:t>
      </w: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spacing w:before="0" w:beforeAutospacing="0" w:after="0" w:afterAutospacing="0" w:line="600" w:lineRule="exact"/>
        <w:ind w:firstLine="630" w:firstLineChars="196"/>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spacing w:before="0" w:beforeAutospacing="0" w:after="0" w:afterAutospacing="0" w:line="600" w:lineRule="exact"/>
        <w:ind w:firstLine="630" w:firstLineChars="196"/>
        <w:rPr>
          <w:rFonts w:hint="default" w:ascii="黑体" w:hAnsi="黑体" w:eastAsia="黑体" w:cs="黑体"/>
          <w:sz w:val="32"/>
          <w:szCs w:val="32"/>
        </w:rPr>
      </w:pPr>
      <w:r>
        <w:rPr>
          <w:rStyle w:val="11"/>
          <w:rFonts w:ascii="楷体" w:hAnsi="楷体" w:eastAsia="楷体" w:cs="楷体"/>
          <w:sz w:val="32"/>
          <w:szCs w:val="32"/>
          <w:shd w:val="clear" w:color="auto" w:fill="FFFFFF"/>
        </w:rPr>
        <w:t>（一）职能职责</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snapToGrid w:val="0"/>
        <w:spacing w:line="600" w:lineRule="exact"/>
        <w:ind w:firstLine="643" w:firstLineChars="200"/>
        <w:rPr>
          <w:rFonts w:hint="default" w:ascii="方正仿宋_GBK" w:hAnsi="仿宋" w:eastAsia="方正仿宋_GBK"/>
          <w:sz w:val="32"/>
          <w:szCs w:val="32"/>
        </w:rPr>
      </w:pPr>
      <w:r>
        <w:rPr>
          <w:rStyle w:val="11"/>
          <w:rFonts w:ascii="楷体" w:hAnsi="楷体" w:eastAsia="楷体" w:cs="楷体"/>
          <w:sz w:val="32"/>
          <w:szCs w:val="32"/>
          <w:shd w:val="clear" w:color="auto" w:fill="FFFFFF"/>
        </w:rPr>
        <w:t>（二）机构设置</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1、事业单位1个。垫江县五洞镇农业服务中心。</w:t>
      </w:r>
    </w:p>
    <w:p>
      <w:pPr>
        <w:snapToGrid w:val="0"/>
        <w:spacing w:line="600"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2、人员情况：编制数7人，年末实有人员6人。</w:t>
      </w:r>
    </w:p>
    <w:p>
      <w:pPr>
        <w:pStyle w:val="7"/>
        <w:shd w:val="clear" w:color="auto" w:fill="FFFFFF"/>
        <w:spacing w:before="0" w:beforeAutospacing="0" w:after="0" w:afterAutospacing="0" w:line="600" w:lineRule="exact"/>
        <w:ind w:firstLine="630" w:firstLineChars="196"/>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2023年度收入总计220.95万元，支出总计</w:t>
      </w:r>
      <w:r>
        <w:rPr>
          <w:rFonts w:ascii="方正仿宋_GBK" w:hAnsi="方正仿宋_GBK" w:eastAsia="方正仿宋_GBK" w:cs="方正仿宋_GBK"/>
          <w:sz w:val="32"/>
          <w:szCs w:val="32"/>
        </w:rPr>
        <w:t>220.95</w:t>
      </w:r>
      <w:r>
        <w:rPr>
          <w:rFonts w:ascii="方正仿宋_GBK" w:hAnsi="方正仿宋_GBK" w:eastAsia="方正仿宋_GBK" w:cs="方正仿宋_GBK"/>
          <w:sz w:val="32"/>
          <w:szCs w:val="32"/>
          <w:shd w:val="clear" w:color="auto" w:fill="FFFFFF"/>
        </w:rPr>
        <w:t>万元。收支较上年决算数增加220.95万元，增长100.00%，主要原因是</w:t>
      </w:r>
      <w:r>
        <w:rPr>
          <w:rFonts w:ascii="方正仿宋_GBK" w:hAnsi="仿宋" w:eastAsia="方正仿宋_GBK"/>
          <w:sz w:val="32"/>
          <w:szCs w:val="32"/>
        </w:rPr>
        <w:t>本单位为新增单位，故增长</w:t>
      </w:r>
      <w:r>
        <w:rPr>
          <w:rFonts w:ascii="方正仿宋_GBK" w:hAnsi="方正仿宋_GBK" w:eastAsia="方正仿宋_GBK" w:cs="方正仿宋_GBK"/>
          <w:sz w:val="32"/>
          <w:szCs w:val="32"/>
          <w:shd w:val="clear" w:color="auto" w:fill="FFFFFF"/>
        </w:rPr>
        <w:t>100.00%</w:t>
      </w:r>
      <w:r>
        <w:rPr>
          <w:rFonts w:ascii="方正仿宋_GBK" w:hAnsi="仿宋" w:eastAsia="方正仿宋_GBK"/>
          <w:sz w:val="32"/>
          <w:szCs w:val="32"/>
        </w:rPr>
        <w:t>。</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2023年度收入合计220.95万元，较上年决算数增加220.95万元，增长100.00%，主要原因是</w:t>
      </w:r>
      <w:r>
        <w:rPr>
          <w:rFonts w:ascii="方正仿宋_GBK" w:hAnsi="仿宋" w:eastAsia="方正仿宋_GBK"/>
          <w:sz w:val="32"/>
          <w:szCs w:val="32"/>
        </w:rPr>
        <w:t>本单位为新增单位，故增长</w:t>
      </w:r>
      <w:r>
        <w:rPr>
          <w:rFonts w:ascii="方正仿宋_GBK" w:hAnsi="方正仿宋_GBK" w:eastAsia="方正仿宋_GBK" w:cs="方正仿宋_GBK"/>
          <w:sz w:val="32"/>
          <w:szCs w:val="32"/>
          <w:shd w:val="clear" w:color="auto" w:fill="FFFFFF"/>
        </w:rPr>
        <w:t>100.00%</w:t>
      </w:r>
      <w:r>
        <w:rPr>
          <w:rFonts w:ascii="方正仿宋_GBK" w:hAnsi="仿宋" w:eastAsia="方正仿宋_GBK"/>
          <w:sz w:val="32"/>
          <w:szCs w:val="32"/>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220.95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220.95</w:t>
      </w:r>
      <w:r>
        <w:rPr>
          <w:rFonts w:ascii="方正仿宋_GBK" w:hAnsi="方正仿宋_GBK" w:eastAsia="方正仿宋_GBK" w:cs="方正仿宋_GBK"/>
          <w:sz w:val="32"/>
          <w:szCs w:val="32"/>
          <w:shd w:val="clear" w:color="auto" w:fill="FFFFFF"/>
        </w:rPr>
        <w:t>万元，较上年决算数增加220.95万元，增长100.00%，主要原因是</w:t>
      </w:r>
      <w:r>
        <w:rPr>
          <w:rFonts w:ascii="方正仿宋_GBK" w:hAnsi="仿宋" w:eastAsia="方正仿宋_GBK"/>
          <w:sz w:val="32"/>
          <w:szCs w:val="32"/>
        </w:rPr>
        <w:t>本单位为新增单位，故增长</w:t>
      </w:r>
      <w:r>
        <w:rPr>
          <w:rFonts w:ascii="方正仿宋_GBK" w:hAnsi="方正仿宋_GBK" w:eastAsia="方正仿宋_GBK" w:cs="方正仿宋_GBK"/>
          <w:sz w:val="32"/>
          <w:szCs w:val="32"/>
          <w:shd w:val="clear" w:color="auto" w:fill="FFFFFF"/>
        </w:rPr>
        <w:t>100.00%</w:t>
      </w:r>
      <w:r>
        <w:rPr>
          <w:rFonts w:ascii="方正仿宋_GBK" w:hAnsi="仿宋" w:eastAsia="方正仿宋_GBK"/>
          <w:sz w:val="32"/>
          <w:szCs w:val="32"/>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178.37</w:t>
      </w:r>
      <w:r>
        <w:rPr>
          <w:rFonts w:ascii="方正仿宋_GBK" w:hAnsi="方正仿宋_GBK" w:eastAsia="方正仿宋_GBK" w:cs="方正仿宋_GBK"/>
          <w:sz w:val="32"/>
          <w:szCs w:val="32"/>
          <w:shd w:val="clear" w:color="auto" w:fill="FFFFFF"/>
        </w:rPr>
        <w:t>万元，占80.73%；项目支出</w:t>
      </w:r>
      <w:r>
        <w:rPr>
          <w:rFonts w:ascii="方正仿宋_GBK" w:hAnsi="方正仿宋_GBK" w:eastAsia="方正仿宋_GBK" w:cs="方正仿宋_GBK"/>
          <w:sz w:val="32"/>
          <w:szCs w:val="32"/>
        </w:rPr>
        <w:t>42.58</w:t>
      </w:r>
      <w:r>
        <w:rPr>
          <w:rFonts w:ascii="方正仿宋_GBK" w:hAnsi="方正仿宋_GBK" w:eastAsia="方正仿宋_GBK" w:cs="方正仿宋_GBK"/>
          <w:sz w:val="32"/>
          <w:szCs w:val="32"/>
          <w:shd w:val="clear" w:color="auto" w:fill="FFFFFF"/>
        </w:rPr>
        <w:t>万元，占19.27%；经营支出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仿宋" w:eastAsia="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ascii="方正仿宋_GBK" w:hAnsi="仿宋" w:eastAsia="方正仿宋_GBK"/>
          <w:sz w:val="32"/>
          <w:szCs w:val="32"/>
        </w:rPr>
        <w:t>本单位为新增单位，故无上年增减变动情况。</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2023年度财政拨款收、支总计220.95万元。与2022年相比，财政拨款收、支总计各增加220.95万元，增长100.00%。主要原因是</w:t>
      </w:r>
      <w:r>
        <w:rPr>
          <w:rFonts w:ascii="方正仿宋_GBK" w:hAnsi="仿宋" w:eastAsia="方正仿宋_GBK"/>
          <w:sz w:val="32"/>
          <w:szCs w:val="32"/>
        </w:rPr>
        <w:t>本单位为新增单位，故增长</w:t>
      </w:r>
      <w:r>
        <w:rPr>
          <w:rFonts w:ascii="方正仿宋_GBK" w:hAnsi="方正仿宋_GBK" w:eastAsia="方正仿宋_GBK" w:cs="方正仿宋_GBK"/>
          <w:sz w:val="32"/>
          <w:szCs w:val="32"/>
          <w:shd w:val="clear" w:color="auto" w:fill="FFFFFF"/>
        </w:rPr>
        <w:t>100.00%</w:t>
      </w:r>
      <w:r>
        <w:rPr>
          <w:rFonts w:ascii="方正仿宋_GBK" w:hAnsi="仿宋" w:eastAsia="方正仿宋_GBK"/>
          <w:sz w:val="32"/>
          <w:szCs w:val="32"/>
        </w:rPr>
        <w:t>。</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220.95</w:t>
      </w:r>
      <w:r>
        <w:rPr>
          <w:rFonts w:ascii="方正仿宋_GBK" w:hAnsi="方正仿宋_GBK" w:eastAsia="方正仿宋_GBK" w:cs="方正仿宋_GBK"/>
          <w:sz w:val="32"/>
          <w:szCs w:val="32"/>
          <w:shd w:val="clear" w:color="auto" w:fill="FFFFFF"/>
        </w:rPr>
        <w:t>万元，较上年决算数增加220.95万元，增长100.00%。主要原因是</w:t>
      </w:r>
      <w:r>
        <w:rPr>
          <w:rFonts w:ascii="方正仿宋_GBK" w:hAnsi="仿宋" w:eastAsia="方正仿宋_GBK"/>
          <w:sz w:val="32"/>
          <w:szCs w:val="32"/>
        </w:rPr>
        <w:t>本单位为新增单位，故增长</w:t>
      </w:r>
      <w:r>
        <w:rPr>
          <w:rFonts w:ascii="方正仿宋_GBK" w:hAnsi="方正仿宋_GBK" w:eastAsia="方正仿宋_GBK" w:cs="方正仿宋_GBK"/>
          <w:sz w:val="32"/>
          <w:szCs w:val="32"/>
          <w:shd w:val="clear" w:color="auto" w:fill="FFFFFF"/>
        </w:rPr>
        <w:t>100.00%</w:t>
      </w:r>
      <w:r>
        <w:rPr>
          <w:rFonts w:ascii="方正仿宋_GBK" w:hAnsi="仿宋" w:eastAsia="方正仿宋_GBK"/>
          <w:sz w:val="32"/>
          <w:szCs w:val="32"/>
        </w:rPr>
        <w:t>。</w:t>
      </w:r>
      <w:r>
        <w:rPr>
          <w:rFonts w:ascii="方正仿宋_GBK" w:hAnsi="方正仿宋_GBK" w:eastAsia="方正仿宋_GBK" w:cs="方正仿宋_GBK"/>
          <w:sz w:val="32"/>
          <w:szCs w:val="32"/>
          <w:shd w:val="clear" w:color="auto" w:fill="FFFFFF"/>
        </w:rPr>
        <w:t>较年初预算数增加43.96万元，增长24.84%。主要原因是农林水支出176.1万元，占79.7%，较年初预算数增加42.59万元，增长31.9%，此外，年初财政拨款结转和结余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220.95</w:t>
      </w:r>
      <w:r>
        <w:rPr>
          <w:rFonts w:ascii="方正仿宋_GBK" w:hAnsi="方正仿宋_GBK" w:eastAsia="方正仿宋_GBK" w:cs="方正仿宋_GBK"/>
          <w:sz w:val="32"/>
          <w:szCs w:val="32"/>
          <w:shd w:val="clear" w:color="auto" w:fill="FFFFFF"/>
        </w:rPr>
        <w:t>万元，较上年决算数增加220.95万元，增长100.00%。主要原因是</w:t>
      </w:r>
      <w:r>
        <w:rPr>
          <w:rFonts w:ascii="方正仿宋_GBK" w:hAnsi="仿宋" w:eastAsia="方正仿宋_GBK"/>
          <w:sz w:val="32"/>
          <w:szCs w:val="32"/>
        </w:rPr>
        <w:t>本单位为新增单位，故增长</w:t>
      </w:r>
      <w:r>
        <w:rPr>
          <w:rFonts w:ascii="方正仿宋_GBK" w:hAnsi="方正仿宋_GBK" w:eastAsia="方正仿宋_GBK" w:cs="方正仿宋_GBK"/>
          <w:sz w:val="32"/>
          <w:szCs w:val="32"/>
          <w:shd w:val="clear" w:color="auto" w:fill="FFFFFF"/>
        </w:rPr>
        <w:t>100.00%</w:t>
      </w:r>
      <w:r>
        <w:rPr>
          <w:rFonts w:ascii="方正仿宋_GBK" w:hAnsi="仿宋" w:eastAsia="方正仿宋_GBK"/>
          <w:sz w:val="32"/>
          <w:szCs w:val="32"/>
        </w:rPr>
        <w:t>。</w:t>
      </w:r>
      <w:r>
        <w:rPr>
          <w:rFonts w:ascii="方正仿宋_GBK" w:hAnsi="方正仿宋_GBK" w:eastAsia="方正仿宋_GBK" w:cs="方正仿宋_GBK"/>
          <w:sz w:val="32"/>
          <w:szCs w:val="32"/>
          <w:shd w:val="clear" w:color="auto" w:fill="FFFFFF"/>
        </w:rPr>
        <w:t>较年初预算数增加43.96万元，增长24.84%。主要原因是农林水支出176.1万元，占79.7%，较年初预算数增加42.59万元，增长31.9%。</w:t>
      </w:r>
    </w:p>
    <w:p>
      <w:pPr>
        <w:pStyle w:val="7"/>
        <w:snapToGrid w:val="0"/>
        <w:spacing w:before="0" w:beforeAutospacing="0" w:after="0" w:afterAutospacing="0" w:line="600" w:lineRule="exact"/>
        <w:ind w:firstLine="643" w:firstLineChars="200"/>
        <w:jc w:val="both"/>
        <w:rPr>
          <w:rFonts w:hint="default" w:ascii="方正仿宋_GBK" w:hAnsi="仿宋" w:eastAsia="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ascii="方正仿宋_GBK" w:hAnsi="仿宋" w:eastAsia="方正仿宋_GBK"/>
          <w:sz w:val="32"/>
          <w:szCs w:val="32"/>
        </w:rPr>
        <w:t>本单位为新增单位，故无增减变动情况。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26.84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12.15</w:t>
      </w:r>
      <w:r>
        <w:rPr>
          <w:rFonts w:ascii="方正仿宋_GBK" w:hAnsi="方正仿宋_GBK" w:eastAsia="方正仿宋_GBK" w:cs="方正仿宋_GBK"/>
          <w:sz w:val="32"/>
          <w:szCs w:val="32"/>
          <w:shd w:val="clear" w:color="auto" w:fill="FFFFFF"/>
        </w:rPr>
        <w:t>%，较年初预算数减少1.32万元，下降4.69%，主要原因是退休1人，社会保障与就业支出减少。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5.51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2.49</w:t>
      </w:r>
      <w:r>
        <w:rPr>
          <w:rFonts w:ascii="方正仿宋_GBK" w:hAnsi="方正仿宋_GBK" w:eastAsia="方正仿宋_GBK" w:cs="方正仿宋_GBK"/>
          <w:sz w:val="32"/>
          <w:szCs w:val="32"/>
          <w:shd w:val="clear" w:color="auto" w:fill="FFFFFF"/>
        </w:rPr>
        <w:t>%，较年初预算数减少1.46万元，下降20.95%，主要原因是退休1人，社会保障与就业支出减少。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（3）农林水支出</w:t>
      </w:r>
      <w:r>
        <w:rPr>
          <w:rFonts w:ascii="方正仿宋_GBK" w:hAnsi="方正仿宋_GBK" w:eastAsia="方正仿宋_GBK" w:cs="方正仿宋_GBK"/>
          <w:sz w:val="32"/>
          <w:szCs w:val="32"/>
        </w:rPr>
        <w:t>176.10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79.70</w:t>
      </w:r>
      <w:r>
        <w:rPr>
          <w:rFonts w:ascii="方正仿宋_GBK" w:hAnsi="方正仿宋_GBK" w:eastAsia="方正仿宋_GBK" w:cs="方正仿宋_GBK"/>
          <w:sz w:val="32"/>
          <w:szCs w:val="32"/>
          <w:shd w:val="clear" w:color="auto" w:fill="FFFFFF"/>
        </w:rPr>
        <w:t>%，较年初预算数增加42.59万元，增长31.90%，主要原因是工作需要年中县财政局追加了森林资源培育和防汛项目经费。</w:t>
      </w:r>
    </w:p>
    <w:p>
      <w:pPr>
        <w:spacing w:line="60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住房保障支出12.50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5.66</w:t>
      </w:r>
      <w:r>
        <w:rPr>
          <w:rFonts w:ascii="方正仿宋_GBK" w:hAnsi="方正仿宋_GBK" w:eastAsia="方正仿宋_GBK" w:cs="方正仿宋_GBK"/>
          <w:sz w:val="32"/>
          <w:szCs w:val="32"/>
          <w:shd w:val="clear" w:color="auto" w:fill="FFFFFF"/>
        </w:rPr>
        <w:t>%，较年初预算数增加4.14万元，增长49.52%，主要原因是根据实际支出情况年中追加预算支出。</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178.37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164.63</w:t>
      </w:r>
      <w:r>
        <w:rPr>
          <w:rFonts w:ascii="方正仿宋_GBK" w:hAnsi="方正仿宋_GBK" w:eastAsia="方正仿宋_GBK" w:cs="方正仿宋_GBK"/>
          <w:sz w:val="32"/>
          <w:szCs w:val="32"/>
          <w:shd w:val="clear" w:color="auto" w:fill="FFFFFF"/>
        </w:rPr>
        <w:t>万元，较上年决算数增加164.63万元，增长100.00%，主要原因是</w:t>
      </w:r>
      <w:r>
        <w:rPr>
          <w:rFonts w:ascii="方正仿宋_GBK" w:hAnsi="仿宋" w:eastAsia="方正仿宋_GBK"/>
          <w:sz w:val="32"/>
          <w:szCs w:val="32"/>
        </w:rPr>
        <w:t>本单位为新增单位，故</w:t>
      </w:r>
      <w:r>
        <w:rPr>
          <w:rFonts w:ascii="方正仿宋_GBK" w:hAnsi="方正仿宋_GBK" w:eastAsia="方正仿宋_GBK" w:cs="方正仿宋_GBK"/>
          <w:sz w:val="32"/>
          <w:szCs w:val="32"/>
          <w:shd w:val="clear" w:color="auto" w:fill="FFFFFF"/>
        </w:rPr>
        <w:t>增长100.00%</w:t>
      </w:r>
      <w:r>
        <w:rPr>
          <w:rFonts w:ascii="方正仿宋_GBK" w:hAnsi="仿宋" w:eastAsia="方正仿宋_GBK"/>
          <w:sz w:val="32"/>
          <w:szCs w:val="32"/>
        </w:rPr>
        <w:t>。</w:t>
      </w:r>
      <w:r>
        <w:rPr>
          <w:rFonts w:ascii="方正仿宋_GBK" w:hAnsi="方正仿宋_GBK" w:eastAsia="方正仿宋_GBK" w:cs="方正仿宋_GBK"/>
          <w:sz w:val="32"/>
          <w:szCs w:val="32"/>
          <w:shd w:val="clear" w:color="auto" w:fill="FFFFFF"/>
        </w:rPr>
        <w:t>人员经费用途主要包</w:t>
      </w:r>
      <w:r>
        <w:rPr>
          <w:rFonts w:ascii="方正仿宋_GBK" w:hAnsi="方正仿宋_GBK" w:eastAsia="方正仿宋_GBK" w:cs="方正仿宋_GBK"/>
          <w:color w:val="000000" w:themeColor="text1"/>
          <w:sz w:val="32"/>
          <w:szCs w:val="32"/>
          <w:shd w:val="clear" w:color="auto" w:fill="FFFFFF"/>
        </w:rPr>
        <w:t>括人员基本工资、</w:t>
      </w:r>
      <w:r>
        <w:rPr>
          <w:rFonts w:ascii="方正仿宋_GBK" w:hAnsi="方正仿宋_GBK" w:eastAsia="方正仿宋_GBK" w:cs="方正仿宋_GBK"/>
          <w:sz w:val="32"/>
          <w:szCs w:val="32"/>
          <w:shd w:val="clear" w:color="auto" w:fill="FFFFFF"/>
        </w:rPr>
        <w:t>超额绩效工资、基础绩效工资、养老保险费、医疗保险费、职业年金费、工伤保险费、住房公积金、退休职工医保垫底资金等费用。公用经费</w:t>
      </w:r>
      <w:r>
        <w:rPr>
          <w:rFonts w:ascii="方正仿宋_GBK" w:hAnsi="方正仿宋_GBK" w:eastAsia="方正仿宋_GBK" w:cs="方正仿宋_GBK"/>
          <w:sz w:val="32"/>
          <w:szCs w:val="32"/>
        </w:rPr>
        <w:t>13.74</w:t>
      </w:r>
      <w:r>
        <w:rPr>
          <w:rFonts w:ascii="方正仿宋_GBK" w:hAnsi="方正仿宋_GBK" w:eastAsia="方正仿宋_GBK" w:cs="方正仿宋_GBK"/>
          <w:sz w:val="32"/>
          <w:szCs w:val="32"/>
          <w:shd w:val="clear" w:color="auto" w:fill="FFFFFF"/>
        </w:rPr>
        <w:t>万元，较上年决算数增加13.74万元，增长100.00%，主要原因是</w:t>
      </w:r>
      <w:r>
        <w:rPr>
          <w:rFonts w:ascii="方正仿宋_GBK" w:hAnsi="仿宋" w:eastAsia="方正仿宋_GBK"/>
          <w:sz w:val="32"/>
          <w:szCs w:val="32"/>
        </w:rPr>
        <w:t>本单位为新增单位，故</w:t>
      </w:r>
      <w:r>
        <w:rPr>
          <w:rFonts w:ascii="方正仿宋_GBK" w:hAnsi="方正仿宋_GBK" w:eastAsia="方正仿宋_GBK" w:cs="方正仿宋_GBK"/>
          <w:sz w:val="32"/>
          <w:szCs w:val="32"/>
          <w:shd w:val="clear" w:color="auto" w:fill="FFFFFF"/>
        </w:rPr>
        <w:t>增长100.00%</w:t>
      </w:r>
      <w:r>
        <w:rPr>
          <w:rFonts w:ascii="方正仿宋_GBK" w:hAnsi="仿宋" w:eastAsia="方正仿宋_GBK"/>
          <w:sz w:val="32"/>
          <w:szCs w:val="32"/>
        </w:rPr>
        <w:t>。</w:t>
      </w:r>
      <w:r>
        <w:rPr>
          <w:rFonts w:ascii="方正仿宋_GBK" w:hAnsi="方正仿宋_GBK" w:eastAsia="方正仿宋_GBK" w:cs="方正仿宋_GBK"/>
          <w:sz w:val="32"/>
          <w:szCs w:val="32"/>
          <w:shd w:val="clear" w:color="auto" w:fill="FFFFFF"/>
        </w:rPr>
        <w:t>公用经费用途主要包括日常办公费、差旅费等。</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olor w:val="000000" w:themeColor="text1"/>
          <w:sz w:val="32"/>
          <w:szCs w:val="32"/>
          <w:shd w:val="clear" w:color="auto" w:fill="FFFFFF"/>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2023年度无国有资本经营预算财政拨款支出。</w:t>
      </w:r>
    </w:p>
    <w:p>
      <w:pPr>
        <w:pStyle w:val="7"/>
        <w:snapToGrid w:val="0"/>
        <w:spacing w:before="0" w:beforeAutospacing="0" w:after="0" w:afterAutospacing="0" w:line="600" w:lineRule="exact"/>
        <w:ind w:firstLine="643" w:firstLineChars="200"/>
        <w:jc w:val="both"/>
        <w:rPr>
          <w:rStyle w:val="11"/>
          <w:rFonts w:hint="default" w:ascii="方正仿宋_GBK" w:hAnsi="方正仿宋_GBK" w:eastAsia="方正仿宋_GBK" w:cs="方正仿宋_GBK"/>
          <w:b w:val="0"/>
          <w:sz w:val="32"/>
          <w:szCs w:val="32"/>
        </w:rPr>
      </w:pPr>
      <w:r>
        <w:rPr>
          <w:rStyle w:val="11"/>
          <w:rFonts w:ascii="黑体" w:hAnsi="黑体" w:eastAsia="黑体" w:cs="黑体"/>
          <w:sz w:val="32"/>
          <w:szCs w:val="32"/>
          <w:shd w:val="clear" w:color="auto" w:fill="FFFFFF"/>
        </w:rPr>
        <w:t>三、“三公”经费情况说明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2023年度“三公”经费支出共计0.00万元，较年初预算数无增减，主要原因是我单位2023年未发生“三公”经费支出。较上年支出数无增减，主要原因是我单位本年及上年均未发生“三公”经费支出。</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7"/>
        <w:snapToGrid w:val="0"/>
        <w:spacing w:before="0" w:beforeAutospacing="0" w:after="0" w:afterAutospacing="0" w:line="600" w:lineRule="exact"/>
        <w:ind w:firstLine="640" w:firstLineChars="20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7"/>
        <w:snapToGrid w:val="0"/>
        <w:spacing w:before="0" w:beforeAutospacing="0" w:after="0" w:afterAutospacing="0" w:line="600" w:lineRule="exact"/>
        <w:ind w:firstLine="643" w:firstLineChars="200"/>
        <w:jc w:val="both"/>
        <w:rPr>
          <w:rFonts w:hint="default" w:ascii="方正仿宋_GBK" w:hAnsi="仿宋" w:eastAsia="方正仿宋_GBK"/>
          <w:sz w:val="32"/>
          <w:szCs w:val="32"/>
        </w:rPr>
      </w:pPr>
      <w:r>
        <w:rPr>
          <w:rFonts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2023年度因公出国（境）共计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Style w:val="11"/>
          <w:rFonts w:hint="default" w:ascii="方正仿宋_GBK" w:hAnsi="仿宋" w:eastAsia="方正仿宋_GBK"/>
          <w:b w:val="0"/>
          <w:sz w:val="32"/>
          <w:szCs w:val="32"/>
        </w:rPr>
      </w:pPr>
      <w:r>
        <w:rPr>
          <w:rStyle w:val="11"/>
          <w:rFonts w:ascii="黑体" w:hAnsi="黑体" w:eastAsia="黑体" w:cs="黑体"/>
          <w:sz w:val="32"/>
          <w:szCs w:val="32"/>
          <w:shd w:val="clear" w:color="auto" w:fill="FFFFFF"/>
        </w:rPr>
        <w:t>四、其他需要说明的事项</w:t>
      </w:r>
    </w:p>
    <w:p>
      <w:pPr>
        <w:pStyle w:val="13"/>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hint="default"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主要原因是上年和本年均未发生培训费支出</w:t>
      </w:r>
      <w:r>
        <w:rPr>
          <w:rFonts w:ascii="方正仿宋_GBK" w:hAnsi="方正仿宋_GBK" w:eastAsia="方正仿宋_GBK" w:cs="方正仿宋_GBK"/>
          <w:sz w:val="32"/>
          <w:szCs w:val="32"/>
          <w:shd w:val="clear" w:color="auto" w:fill="FFFFFF"/>
        </w:rPr>
        <w:t>。</w:t>
      </w:r>
    </w:p>
    <w:p>
      <w:pPr>
        <w:pStyle w:val="13"/>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w:t>
      </w:r>
      <w:bookmarkStart w:id="0" w:name="_GoBack"/>
      <w:bookmarkEnd w:id="0"/>
      <w:r>
        <w:rPr>
          <w:rFonts w:ascii="方正仿宋_GBK" w:eastAsia="方正仿宋_GBK"/>
          <w:bCs/>
          <w:sz w:val="32"/>
          <w:szCs w:val="32"/>
        </w:rPr>
        <w:t>按照部门决算列报口径，我单位不在机关运行经费统计范围之内。</w:t>
      </w:r>
    </w:p>
    <w:p>
      <w:pPr>
        <w:pStyle w:val="13"/>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（四）政府采购支出情况说明</w:t>
      </w:r>
    </w:p>
    <w:p>
      <w:pPr>
        <w:pStyle w:val="13"/>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snapToGrid w:val="0"/>
        <w:spacing w:before="0" w:beforeAutospacing="0" w:after="0" w:afterAutospacing="0" w:line="600" w:lineRule="exact"/>
        <w:ind w:firstLine="643" w:firstLineChars="200"/>
        <w:jc w:val="both"/>
        <w:rPr>
          <w:rStyle w:val="11"/>
          <w:rFonts w:hint="default" w:ascii="方正仿宋_GBK" w:hAnsi="方正仿宋_GBK" w:eastAsia="方正仿宋_GBK" w:cs="方正仿宋_GBK"/>
          <w:b w:val="0"/>
          <w:color w:val="FF0000"/>
          <w:sz w:val="32"/>
          <w:szCs w:val="32"/>
          <w:shd w:val="clear" w:color="auto" w:fill="FFFFFF"/>
        </w:rPr>
      </w:pPr>
      <w:r>
        <w:rPr>
          <w:rStyle w:val="11"/>
          <w:rFonts w:ascii="黑体" w:hAnsi="黑体" w:eastAsia="黑体" w:cs="黑体"/>
          <w:sz w:val="32"/>
          <w:szCs w:val="32"/>
          <w:shd w:val="clear" w:color="auto" w:fill="FFFFFF"/>
        </w:rPr>
        <w:t>五、预算绩效管理情况说明</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根据预算绩效管理要求，我单位对部门2个二级项目开展了绩效自评，涉及财政拨款项目支出资金42.58万元。</w:t>
      </w:r>
    </w:p>
    <w:tbl>
      <w:tblPr>
        <w:tblStyle w:val="8"/>
        <w:tblW w:w="0" w:type="auto"/>
        <w:tblInd w:w="96" w:type="dxa"/>
        <w:tblLayout w:type="autofit"/>
        <w:tblCellMar>
          <w:top w:w="0" w:type="dxa"/>
          <w:left w:w="108" w:type="dxa"/>
          <w:bottom w:w="0" w:type="dxa"/>
          <w:right w:w="108" w:type="dxa"/>
        </w:tblCellMar>
      </w:tblPr>
      <w:tblGrid>
        <w:gridCol w:w="1051"/>
        <w:gridCol w:w="772"/>
        <w:gridCol w:w="772"/>
        <w:gridCol w:w="862"/>
        <w:gridCol w:w="730"/>
        <w:gridCol w:w="724"/>
        <w:gridCol w:w="816"/>
        <w:gridCol w:w="675"/>
        <w:gridCol w:w="585"/>
        <w:gridCol w:w="770"/>
        <w:gridCol w:w="678"/>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sz w:val="40"/>
                <w:szCs w:val="40"/>
              </w:rPr>
            </w:pPr>
            <w:r>
              <w:rPr>
                <w:rFonts w:ascii="微软雅黑" w:hAnsi="微软雅黑" w:eastAsia="微软雅黑" w:cs="宋体"/>
                <w:b/>
                <w:bCs/>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sz w:val="22"/>
                <w:szCs w:val="22"/>
              </w:rPr>
            </w:pPr>
            <w:r>
              <w:rPr>
                <w:rFonts w:cs="宋体"/>
                <w:b/>
                <w:bCs/>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森林植被恢复返还</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50023122T000002053461</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95.14</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sz w:val="22"/>
                <w:szCs w:val="22"/>
              </w:rPr>
            </w:pPr>
            <w:r>
              <w:rPr>
                <w:rFonts w:cs="宋体"/>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sz w:val="28"/>
                <w:szCs w:val="28"/>
              </w:rPr>
            </w:pPr>
            <w:r>
              <w:rPr>
                <w:rFonts w:ascii="微软雅黑" w:hAnsi="微软雅黑" w:eastAsia="微软雅黑" w:cs="宋体"/>
                <w:b/>
                <w:bCs/>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sz w:val="22"/>
                <w:szCs w:val="22"/>
              </w:rPr>
            </w:pPr>
            <w:r>
              <w:rPr>
                <w:rFonts w:cs="宋体"/>
                <w:b/>
                <w:bCs/>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sz w:val="22"/>
                <w:szCs w:val="22"/>
              </w:rPr>
            </w:pPr>
            <w:r>
              <w:rPr>
                <w:rFonts w:cs="宋体"/>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sz w:val="22"/>
                <w:szCs w:val="22"/>
              </w:rPr>
            </w:pPr>
            <w:r>
              <w:rPr>
                <w:rFonts w:cs="宋体"/>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sz w:val="22"/>
                <w:szCs w:val="22"/>
              </w:rPr>
            </w:pPr>
            <w:r>
              <w:rPr>
                <w:rFonts w:cs="宋体"/>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sz w:val="22"/>
                <w:szCs w:val="22"/>
              </w:rPr>
            </w:pPr>
            <w:r>
              <w:rPr>
                <w:rFonts w:cs="宋体"/>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sz w:val="22"/>
                <w:szCs w:val="22"/>
              </w:rPr>
            </w:pPr>
            <w:r>
              <w:rPr>
                <w:rFonts w:cs="宋体"/>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sz w:val="22"/>
                <w:szCs w:val="22"/>
              </w:rPr>
            </w:pPr>
            <w:r>
              <w:rPr>
                <w:rFonts w:cs="宋体"/>
                <w:sz w:val="22"/>
                <w:szCs w:val="22"/>
              </w:rPr>
              <w:t xml:space="preserve">355,794.55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355,794.55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sz w:val="28"/>
                <w:szCs w:val="28"/>
              </w:rPr>
            </w:pPr>
            <w:r>
              <w:rPr>
                <w:rFonts w:ascii="微软雅黑" w:hAnsi="微软雅黑" w:eastAsia="微软雅黑" w:cs="宋体"/>
                <w:b/>
                <w:bCs/>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sz w:val="22"/>
                <w:szCs w:val="22"/>
              </w:rPr>
            </w:pPr>
            <w:r>
              <w:rPr>
                <w:rFonts w:cs="宋体"/>
                <w:sz w:val="22"/>
                <w:szCs w:val="22"/>
              </w:rPr>
              <w:t>森林植被恢复</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sz w:val="22"/>
                <w:szCs w:val="22"/>
              </w:rPr>
            </w:pPr>
            <w:r>
              <w:rPr>
                <w:rFonts w:cs="宋体"/>
                <w:sz w:val="22"/>
                <w:szCs w:val="22"/>
              </w:rPr>
              <w:t>森林植被恢复</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sz w:val="22"/>
                <w:szCs w:val="22"/>
              </w:rPr>
            </w:pPr>
            <w:r>
              <w:rPr>
                <w:rFonts w:cs="宋体"/>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sz w:val="28"/>
                <w:szCs w:val="28"/>
              </w:rPr>
            </w:pPr>
            <w:r>
              <w:rPr>
                <w:rFonts w:ascii="微软雅黑" w:hAnsi="微软雅黑" w:eastAsia="微软雅黑" w:cs="宋体"/>
                <w:b/>
                <w:bCs/>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退化林修复面积</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亩</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3711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3711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退化林修复合格率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85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85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完成及时性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林地 生态合格率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90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兑现金额</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373974.55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355794.55</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4.86</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51.4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5.14</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bl>
    <w:p>
      <w:pPr>
        <w:pStyle w:val="14"/>
        <w:autoSpaceDE w:val="0"/>
        <w:spacing w:before="0" w:beforeAutospacing="0" w:after="0" w:afterAutospacing="0" w:line="600" w:lineRule="exact"/>
        <w:ind w:firstLine="640" w:firstLineChars="200"/>
        <w:rPr>
          <w:rFonts w:ascii="方正仿宋_GBK" w:hAnsi="方正仿宋_GBK" w:eastAsia="方正仿宋_GBK" w:cs="方正仿宋_GBK"/>
          <w:sz w:val="32"/>
          <w:szCs w:val="32"/>
          <w:highlight w:val="yellow"/>
          <w:shd w:val="clear" w:color="auto" w:fill="FFFFFF"/>
        </w:rPr>
      </w:pPr>
    </w:p>
    <w:tbl>
      <w:tblPr>
        <w:tblStyle w:val="8"/>
        <w:tblW w:w="0" w:type="auto"/>
        <w:tblInd w:w="96" w:type="dxa"/>
        <w:tblLayout w:type="autofit"/>
        <w:tblCellMar>
          <w:top w:w="0" w:type="dxa"/>
          <w:left w:w="108" w:type="dxa"/>
          <w:bottom w:w="0" w:type="dxa"/>
          <w:right w:w="108" w:type="dxa"/>
        </w:tblCellMar>
      </w:tblPr>
      <w:tblGrid>
        <w:gridCol w:w="912"/>
        <w:gridCol w:w="1016"/>
        <w:gridCol w:w="1016"/>
        <w:gridCol w:w="821"/>
        <w:gridCol w:w="650"/>
        <w:gridCol w:w="694"/>
        <w:gridCol w:w="778"/>
        <w:gridCol w:w="603"/>
        <w:gridCol w:w="562"/>
        <w:gridCol w:w="734"/>
        <w:gridCol w:w="649"/>
      </w:tblGrid>
      <w:tr>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sz w:val="40"/>
                <w:szCs w:val="40"/>
              </w:rPr>
            </w:pPr>
            <w:r>
              <w:rPr>
                <w:rFonts w:ascii="微软雅黑" w:hAnsi="微软雅黑" w:eastAsia="微软雅黑" w:cs="宋体"/>
                <w:b/>
                <w:bCs/>
                <w:sz w:val="40"/>
                <w:szCs w:val="40"/>
              </w:rPr>
              <w:t>2023年度二级项目绩效自评表</w:t>
            </w:r>
          </w:p>
        </w:tc>
      </w:tr>
      <w:tr>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21" w:firstLineChars="100"/>
              <w:jc w:val="right"/>
              <w:rPr>
                <w:rFonts w:hint="default" w:cs="宋体"/>
                <w:b/>
                <w:bCs/>
                <w:sz w:val="22"/>
                <w:szCs w:val="22"/>
              </w:rPr>
            </w:pPr>
            <w:r>
              <w:rPr>
                <w:rFonts w:cs="宋体"/>
                <w:b/>
                <w:bCs/>
                <w:sz w:val="22"/>
                <w:szCs w:val="22"/>
              </w:rPr>
              <w:t>状态：绩效审核已审</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下达2022年水利救灾资金预算（第一批）</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50023123T000002753663</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　</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杨晓梅</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b/>
                <w:bCs/>
                <w:sz w:val="22"/>
                <w:szCs w:val="22"/>
              </w:rPr>
            </w:pPr>
            <w:r>
              <w:rPr>
                <w:rFonts w:cs="宋体"/>
                <w:b/>
                <w:bCs/>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pPr>
              <w:rPr>
                <w:rFonts w:hint="default" w:cs="宋体"/>
                <w:sz w:val="22"/>
                <w:szCs w:val="22"/>
              </w:rPr>
            </w:pPr>
            <w:r>
              <w:rPr>
                <w:rFonts w:cs="宋体"/>
                <w:sz w:val="22"/>
                <w:szCs w:val="22"/>
              </w:rPr>
              <w:t>74562700</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sz w:val="28"/>
                <w:szCs w:val="28"/>
              </w:rPr>
            </w:pPr>
            <w:r>
              <w:rPr>
                <w:rFonts w:ascii="微软雅黑" w:hAnsi="微软雅黑" w:eastAsia="微软雅黑" w:cs="宋体"/>
                <w:b/>
                <w:bCs/>
                <w:sz w:val="28"/>
                <w:szCs w:val="28"/>
              </w:rPr>
              <w:t>资金情况</w:t>
            </w:r>
          </w:p>
        </w:tc>
      </w:tr>
      <w:tr>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sz w:val="22"/>
                <w:szCs w:val="22"/>
              </w:rPr>
            </w:pPr>
            <w:r>
              <w:rPr>
                <w:rFonts w:cs="宋体"/>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b/>
                <w:bCs/>
                <w:sz w:val="22"/>
                <w:szCs w:val="22"/>
              </w:rPr>
            </w:pPr>
            <w:r>
              <w:rPr>
                <w:rFonts w:cs="宋体"/>
                <w:b/>
                <w:bCs/>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执行率得分</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sz w:val="22"/>
                <w:szCs w:val="22"/>
              </w:rPr>
            </w:pPr>
            <w:r>
              <w:rPr>
                <w:rFonts w:cs="宋体"/>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sz w:val="22"/>
                <w:szCs w:val="22"/>
              </w:rPr>
            </w:pPr>
            <w:r>
              <w:rPr>
                <w:rFonts w:cs="宋体"/>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xml:space="preserve">10.00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pPr>
              <w:rPr>
                <w:rFonts w:hint="default" w:cs="宋体"/>
                <w:sz w:val="22"/>
                <w:szCs w:val="22"/>
              </w:rPr>
            </w:pPr>
            <w:r>
              <w:rPr>
                <w:rFonts w:cs="宋体"/>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nil"/>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 xml:space="preserve">70,000.00 </w:t>
            </w:r>
          </w:p>
        </w:tc>
        <w:tc>
          <w:tcPr>
            <w:tcW w:w="0" w:type="auto"/>
            <w:tcBorders>
              <w:top w:val="nil"/>
              <w:left w:val="nil"/>
              <w:bottom w:val="single" w:color="auto" w:sz="4" w:space="0"/>
              <w:right w:val="single" w:color="auto" w:sz="4" w:space="0"/>
            </w:tcBorders>
            <w:shd w:val="clear" w:color="auto" w:fill="auto"/>
            <w:noWrap/>
            <w:vAlign w:val="center"/>
          </w:tcPr>
          <w:p>
            <w:pPr>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sz w:val="28"/>
                <w:szCs w:val="28"/>
              </w:rPr>
            </w:pPr>
            <w:r>
              <w:rPr>
                <w:rFonts w:ascii="微软雅黑" w:hAnsi="微软雅黑" w:eastAsia="微软雅黑" w:cs="宋体"/>
                <w:b/>
                <w:bCs/>
                <w:sz w:val="28"/>
                <w:szCs w:val="28"/>
              </w:rPr>
              <w:t>绩效目标</w:t>
            </w:r>
          </w:p>
        </w:tc>
      </w:tr>
      <w:tr>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全年目标实际完成情况</w:t>
            </w:r>
          </w:p>
        </w:tc>
      </w:tr>
      <w:tr>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sz w:val="22"/>
                <w:szCs w:val="22"/>
              </w:rPr>
            </w:pPr>
            <w:r>
              <w:rPr>
                <w:rFonts w:cs="宋体"/>
                <w:sz w:val="22"/>
                <w:szCs w:val="22"/>
              </w:rPr>
              <w:t>保障农业生产灌溉</w:t>
            </w:r>
          </w:p>
        </w:tc>
        <w:tc>
          <w:tcPr>
            <w:tcW w:w="0" w:type="auto"/>
            <w:gridSpan w:val="4"/>
            <w:tcBorders>
              <w:top w:val="single" w:color="auto" w:sz="4" w:space="0"/>
              <w:left w:val="nil"/>
              <w:bottom w:val="single" w:color="auto" w:sz="4" w:space="0"/>
              <w:right w:val="single" w:color="auto" w:sz="4" w:space="0"/>
            </w:tcBorders>
            <w:shd w:val="clear" w:color="auto" w:fill="auto"/>
          </w:tcPr>
          <w:p>
            <w:pPr>
              <w:rPr>
                <w:rFonts w:hint="default" w:cs="宋体"/>
                <w:sz w:val="22"/>
                <w:szCs w:val="22"/>
              </w:rPr>
            </w:pPr>
            <w:r>
              <w:rPr>
                <w:rFonts w:cs="宋体"/>
                <w:sz w:val="22"/>
                <w:szCs w:val="22"/>
              </w:rPr>
              <w:t>保障农业生产灌溉</w:t>
            </w:r>
          </w:p>
        </w:tc>
        <w:tc>
          <w:tcPr>
            <w:tcW w:w="0" w:type="auto"/>
            <w:gridSpan w:val="3"/>
            <w:tcBorders>
              <w:top w:val="single" w:color="auto" w:sz="4" w:space="0"/>
              <w:left w:val="nil"/>
              <w:bottom w:val="single" w:color="auto" w:sz="4" w:space="0"/>
              <w:right w:val="single" w:color="auto" w:sz="4" w:space="0"/>
            </w:tcBorders>
            <w:shd w:val="clear" w:color="auto" w:fill="auto"/>
          </w:tcPr>
          <w:p>
            <w:pPr>
              <w:rPr>
                <w:rFonts w:hint="default" w:cs="宋体"/>
                <w:sz w:val="22"/>
                <w:szCs w:val="22"/>
              </w:rPr>
            </w:pPr>
            <w:r>
              <w:rPr>
                <w:rFonts w:cs="宋体"/>
                <w:sz w:val="22"/>
                <w:szCs w:val="22"/>
              </w:rPr>
              <w:t>已完成</w:t>
            </w:r>
          </w:p>
        </w:tc>
      </w:tr>
      <w:tr>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sz w:val="28"/>
                <w:szCs w:val="28"/>
              </w:rPr>
            </w:pPr>
            <w:r>
              <w:rPr>
                <w:rFonts w:ascii="微软雅黑" w:hAnsi="微软雅黑" w:eastAsia="微软雅黑" w:cs="宋体"/>
                <w:b/>
                <w:bCs/>
                <w:sz w:val="28"/>
                <w:szCs w:val="28"/>
              </w:rPr>
              <w:t>绩效指标</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pPr>
              <w:jc w:val="center"/>
              <w:rPr>
                <w:rFonts w:hint="default" w:cs="宋体"/>
                <w:b/>
                <w:bCs/>
                <w:sz w:val="22"/>
                <w:szCs w:val="22"/>
              </w:rPr>
            </w:pPr>
            <w:r>
              <w:rPr>
                <w:rFonts w:cs="宋体"/>
                <w:b/>
                <w:bCs/>
                <w:sz w:val="22"/>
                <w:szCs w:val="22"/>
              </w:rPr>
              <w:t>说明</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涉及村居</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水利救灾覆盖率</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资金拨付及时性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保障农业生产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97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r>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项目经费</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万元</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sz w:val="22"/>
                <w:szCs w:val="22"/>
              </w:rPr>
            </w:pPr>
            <w:r>
              <w:rPr>
                <w:rFonts w:cs="宋体"/>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sz w:val="22"/>
                <w:szCs w:val="22"/>
              </w:rPr>
            </w:pPr>
            <w:r>
              <w:rPr>
                <w:rFonts w:cs="宋体"/>
                <w:sz w:val="22"/>
                <w:szCs w:val="22"/>
              </w:rPr>
              <w:t>　</w:t>
            </w:r>
          </w:p>
        </w:tc>
      </w:tr>
    </w:tbl>
    <w:p>
      <w:pPr>
        <w:pStyle w:val="14"/>
        <w:autoSpaceDE w:val="0"/>
        <w:spacing w:before="0" w:beforeAutospacing="0" w:after="0" w:afterAutospacing="0" w:line="600" w:lineRule="exact"/>
        <w:ind w:firstLine="640" w:firstLineChars="200"/>
        <w:rPr>
          <w:rFonts w:ascii="方正仿宋_GBK" w:hAnsi="方正仿宋_GBK" w:eastAsia="方正仿宋_GBK" w:cs="方正仿宋_GBK"/>
          <w:color w:val="0070C0"/>
          <w:sz w:val="32"/>
          <w:szCs w:val="32"/>
          <w:shd w:val="clear" w:color="auto" w:fill="FFFFFF"/>
        </w:rPr>
      </w:pPr>
    </w:p>
    <w:p>
      <w:pPr>
        <w:pStyle w:val="14"/>
        <w:autoSpaceDE w:val="0"/>
        <w:spacing w:before="0" w:beforeAutospacing="0" w:after="0" w:afterAutospacing="0" w:line="600"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4"/>
        <w:autoSpaceDE w:val="0"/>
        <w:spacing w:before="0" w:beforeAutospacing="0" w:after="0" w:afterAutospacing="0" w:line="600" w:lineRule="exact"/>
        <w:ind w:firstLine="640" w:firstLineChars="20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3"/>
        <w:autoSpaceDE w:val="0"/>
        <w:spacing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3"/>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3"/>
        <w:autoSpaceDE w:val="0"/>
        <w:spacing w:line="600" w:lineRule="exact"/>
        <w:ind w:firstLine="643"/>
        <w:rPr>
          <w:rStyle w:val="11"/>
          <w:rFonts w:ascii="楷体" w:hAnsi="楷体" w:eastAsia="楷体" w:cs="楷体"/>
          <w:bCs/>
          <w:sz w:val="32"/>
          <w:szCs w:val="32"/>
          <w:shd w:val="clear" w:color="auto" w:fill="FFFFFF"/>
        </w:rPr>
      </w:pP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napToGrid w:val="0"/>
        <w:spacing w:before="0" w:beforeAutospacing="0" w:after="0" w:afterAutospacing="0" w:line="600" w:lineRule="exact"/>
        <w:ind w:firstLine="643" w:firstLineChars="200"/>
        <w:jc w:val="both"/>
        <w:rPr>
          <w:rStyle w:val="11"/>
          <w:rFonts w:hint="default" w:ascii="方正仿宋_GBK" w:hAnsi="方正仿宋_GBK" w:eastAsia="方正仿宋_GBK" w:cs="方正仿宋_GBK"/>
          <w:b w:val="0"/>
          <w:sz w:val="32"/>
          <w:szCs w:val="32"/>
        </w:rPr>
      </w:pP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本单位决算公开信息反馈和联系方式：023-74562700</w:t>
      </w:r>
    </w:p>
    <w:p>
      <w:pPr>
        <w:pStyle w:val="13"/>
        <w:autoSpaceDE w:val="0"/>
        <w:ind w:firstLine="0" w:firstLineChars="0"/>
        <w:rPr>
          <w:rStyle w:val="11"/>
          <w:rFonts w:ascii="方正仿宋_GBK" w:hAnsi="方正仿宋_GBK" w:eastAsia="方正仿宋_GBK" w:cs="方正仿宋_GBK"/>
          <w:sz w:val="32"/>
          <w:szCs w:val="32"/>
          <w:shd w:val="clear" w:color="auto" w:fill="FFFF00"/>
        </w:rPr>
      </w:pPr>
    </w:p>
    <w:p>
      <w:pPr>
        <w:pStyle w:val="13"/>
        <w:autoSpaceDE w:val="0"/>
        <w:ind w:firstLine="0" w:firstLineChars="0"/>
        <w:rPr>
          <w:rStyle w:val="11"/>
          <w:rFonts w:ascii="方正仿宋_GBK" w:hAnsi="方正仿宋_GBK" w:eastAsia="方正仿宋_GBK" w:cs="方正仿宋_GBK"/>
          <w:sz w:val="32"/>
          <w:szCs w:val="32"/>
          <w:shd w:val="clear" w:color="auto" w:fill="FFFF00"/>
        </w:rPr>
      </w:pPr>
    </w:p>
    <w:p>
      <w:pPr>
        <w:pStyle w:val="13"/>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公开单位：垫江县五洞镇农业服务中心</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26.84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5.51</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176.10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12.50</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220.95</w:t>
            </w:r>
          </w:p>
        </w:tc>
      </w:tr>
    </w:tbl>
    <w:p>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公开单位：垫江县五洞镇农业服务中心</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220.95</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220.95</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26.24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26.24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4.47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4.47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12.85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12.85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176.10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176.10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133.52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133.52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35.58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35.58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垫江县五洞镇农业服务中心</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220.95</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178.37</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42.58</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0.60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26.24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26.24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8.93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4.47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12.85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12.85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5.51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176.10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42.58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133.52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35.58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35.58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35.58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12.50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垫江县五洞镇农业服务中心</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26.84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176.10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176.10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12.50</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220.95</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220.95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220.95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bl>
    <w:p>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垫江县五洞镇农业服务中心</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220.95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178.37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42.58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26.84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0.60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0.60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26.24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26.24</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8.93</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4.47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4.47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12.85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12.85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5.51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5.51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5.51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176.10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133.52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42.58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133.52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133.52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133.52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133.52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35.58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35.58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35.58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35.58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2130314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防汛</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12.50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12.50</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垫江县五洞镇农业服务中心</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151.19</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13.74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31.33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2.01</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6.61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78.41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0.07</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8.93</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0.40</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4.47</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5.51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0.16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7.86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12.50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1.82</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0.29</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1.46</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13.45</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10.64</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0.60</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0.86</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0.84</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2.21</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0.28</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1.13</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164.63</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13.74</w:t>
            </w:r>
          </w:p>
        </w:tc>
      </w:tr>
    </w:tbl>
    <w:p>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垫江县五洞镇农业服务中心</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备注：本表反映单位本年度政府性基金预算财政拨款收入支出及结转和结余情况。本单位无政府性基金收支，故本表无数据。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垫江县五洞镇农业服务中心</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备注：本表反映单位本年度国有资本经营预算财政拨款支出情况。本单位无国有资本经营收支，故本表无数据。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垫江县五洞镇农业服务中心</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3"/>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rPr>
                    <w:rFonts w:hint="default"/>
                  </w:rP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PAGE   \* MERGEFORMAT</w:instrText>
                </w:r>
                <w:r>
                  <w:rPr>
                    <w:rFonts w:hint="default"/>
                  </w:rPr>
                  <w:fldChar w:fldCharType="separate"/>
                </w:r>
                <w:r>
                  <w:rPr>
                    <w:rFonts w:hint="default"/>
                    <w:lang w:val="zh-CN"/>
                  </w:rPr>
                  <w:t>-</w:t>
                </w:r>
                <w:r>
                  <w:rPr>
                    <w:rFonts w:hint="default"/>
                  </w:rPr>
                  <w:t xml:space="preserve"> 23 -</w:t>
                </w:r>
                <w: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NotTrackFormatting/>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JhYTMzYzczNDA1MDgyNDA2Mjg5NTZiNGM0ZTdjYTMifQ=="/>
  </w:docVars>
  <w:rsids>
    <w:rsidRoot w:val="00B03CCD"/>
    <w:rsid w:val="00031870"/>
    <w:rsid w:val="000510FA"/>
    <w:rsid w:val="000A6F6E"/>
    <w:rsid w:val="001035C1"/>
    <w:rsid w:val="001164C0"/>
    <w:rsid w:val="00116D44"/>
    <w:rsid w:val="001456AC"/>
    <w:rsid w:val="00153E61"/>
    <w:rsid w:val="00173ED4"/>
    <w:rsid w:val="001808D2"/>
    <w:rsid w:val="0018793C"/>
    <w:rsid w:val="00194CF9"/>
    <w:rsid w:val="001C4EAD"/>
    <w:rsid w:val="001D062C"/>
    <w:rsid w:val="001F51F3"/>
    <w:rsid w:val="00201BDB"/>
    <w:rsid w:val="0027614F"/>
    <w:rsid w:val="00280FF2"/>
    <w:rsid w:val="00292957"/>
    <w:rsid w:val="002C2F55"/>
    <w:rsid w:val="002C5054"/>
    <w:rsid w:val="002D06B4"/>
    <w:rsid w:val="002E6422"/>
    <w:rsid w:val="002F3C03"/>
    <w:rsid w:val="00327104"/>
    <w:rsid w:val="00327C50"/>
    <w:rsid w:val="00341E85"/>
    <w:rsid w:val="00347F47"/>
    <w:rsid w:val="00351120"/>
    <w:rsid w:val="003A04BB"/>
    <w:rsid w:val="003C4526"/>
    <w:rsid w:val="003D5B01"/>
    <w:rsid w:val="003E60F1"/>
    <w:rsid w:val="003F68BA"/>
    <w:rsid w:val="00406876"/>
    <w:rsid w:val="0042351D"/>
    <w:rsid w:val="00423CBB"/>
    <w:rsid w:val="004467F7"/>
    <w:rsid w:val="0045138A"/>
    <w:rsid w:val="00451809"/>
    <w:rsid w:val="00480C41"/>
    <w:rsid w:val="00496B1C"/>
    <w:rsid w:val="004C61BA"/>
    <w:rsid w:val="005218AC"/>
    <w:rsid w:val="00525B4D"/>
    <w:rsid w:val="00550ABE"/>
    <w:rsid w:val="00595904"/>
    <w:rsid w:val="005D19C1"/>
    <w:rsid w:val="005D5460"/>
    <w:rsid w:val="005E5128"/>
    <w:rsid w:val="005F0339"/>
    <w:rsid w:val="006763EA"/>
    <w:rsid w:val="006A2DD3"/>
    <w:rsid w:val="006A5896"/>
    <w:rsid w:val="006F29A7"/>
    <w:rsid w:val="006F63DD"/>
    <w:rsid w:val="00777DAE"/>
    <w:rsid w:val="007B1511"/>
    <w:rsid w:val="007B419D"/>
    <w:rsid w:val="00800253"/>
    <w:rsid w:val="008222C6"/>
    <w:rsid w:val="00873EAE"/>
    <w:rsid w:val="00890A32"/>
    <w:rsid w:val="008D18F1"/>
    <w:rsid w:val="008D4909"/>
    <w:rsid w:val="008F675A"/>
    <w:rsid w:val="009443F3"/>
    <w:rsid w:val="009701C7"/>
    <w:rsid w:val="009A340A"/>
    <w:rsid w:val="009B67B8"/>
    <w:rsid w:val="009C02F0"/>
    <w:rsid w:val="009D4316"/>
    <w:rsid w:val="009F46DA"/>
    <w:rsid w:val="00A31514"/>
    <w:rsid w:val="00A35416"/>
    <w:rsid w:val="00A3606C"/>
    <w:rsid w:val="00A404A0"/>
    <w:rsid w:val="00A71E6C"/>
    <w:rsid w:val="00A75F94"/>
    <w:rsid w:val="00A90D02"/>
    <w:rsid w:val="00A93755"/>
    <w:rsid w:val="00AB7E70"/>
    <w:rsid w:val="00B03CCD"/>
    <w:rsid w:val="00B31FD1"/>
    <w:rsid w:val="00BB266B"/>
    <w:rsid w:val="00C022EF"/>
    <w:rsid w:val="00C414A0"/>
    <w:rsid w:val="00C77FED"/>
    <w:rsid w:val="00C928A3"/>
    <w:rsid w:val="00CB4BB7"/>
    <w:rsid w:val="00CB745C"/>
    <w:rsid w:val="00D114E3"/>
    <w:rsid w:val="00D40699"/>
    <w:rsid w:val="00D72114"/>
    <w:rsid w:val="00DA473A"/>
    <w:rsid w:val="00DE7A51"/>
    <w:rsid w:val="00E03115"/>
    <w:rsid w:val="00E13C92"/>
    <w:rsid w:val="00E23891"/>
    <w:rsid w:val="00ED3EA7"/>
    <w:rsid w:val="00F549FC"/>
    <w:rsid w:val="00F5676C"/>
    <w:rsid w:val="00F73F90"/>
    <w:rsid w:val="00FF38B4"/>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6A46F0"/>
    <w:rsid w:val="107B59E5"/>
    <w:rsid w:val="10EC0126"/>
    <w:rsid w:val="10F70B9A"/>
    <w:rsid w:val="111445C7"/>
    <w:rsid w:val="114278C6"/>
    <w:rsid w:val="1158083A"/>
    <w:rsid w:val="11643A4B"/>
    <w:rsid w:val="11ED0F98"/>
    <w:rsid w:val="11F03528"/>
    <w:rsid w:val="12861D4C"/>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D527BE"/>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C672ED"/>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DA43E8D"/>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B2137B"/>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1E41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344EA"/>
    <w:rsid w:val="613D5BBC"/>
    <w:rsid w:val="61536C39"/>
    <w:rsid w:val="62944DD7"/>
    <w:rsid w:val="6319381F"/>
    <w:rsid w:val="63937B9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B5A6919"/>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DFFDB30"/>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link w:val="19"/>
    <w:qFormat/>
    <w:uiPriority w:val="99"/>
    <w:pPr>
      <w:tabs>
        <w:tab w:val="center" w:pos="4153"/>
        <w:tab w:val="right" w:pos="8306"/>
      </w:tabs>
      <w:snapToGrid w:val="0"/>
    </w:pPr>
    <w:rPr>
      <w:sz w:val="18"/>
      <w:szCs w:val="18"/>
    </w:rPr>
  </w:style>
  <w:style w:type="paragraph" w:styleId="5">
    <w:name w:val="header"/>
    <w:basedOn w:val="1"/>
    <w:link w:val="18"/>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annotation reference"/>
    <w:basedOn w:val="10"/>
    <w:qFormat/>
    <w:uiPriority w:val="0"/>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0"/>
    <w:link w:val="3"/>
    <w:qFormat/>
    <w:uiPriority w:val="0"/>
    <w:rPr>
      <w:rFonts w:ascii="宋体" w:hAnsi="宋体"/>
      <w:sz w:val="18"/>
      <w:szCs w:val="18"/>
    </w:rPr>
  </w:style>
  <w:style w:type="character" w:customStyle="1" w:styleId="18">
    <w:name w:val="页眉 字符"/>
    <w:basedOn w:val="10"/>
    <w:link w:val="5"/>
    <w:qFormat/>
    <w:uiPriority w:val="99"/>
    <w:rPr>
      <w:rFonts w:ascii="宋体" w:hAnsi="宋体"/>
      <w:sz w:val="18"/>
      <w:szCs w:val="18"/>
    </w:rPr>
  </w:style>
  <w:style w:type="character" w:customStyle="1" w:styleId="19">
    <w:name w:val="页脚 字符"/>
    <w:basedOn w:val="10"/>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8998</Words>
  <Characters>11194</Characters>
  <Lines>98</Lines>
  <Paragraphs>27</Paragraphs>
  <TotalTime>44</TotalTime>
  <ScaleCrop>false</ScaleCrop>
  <LinksUpToDate>false</LinksUpToDate>
  <CharactersWithSpaces>11695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一身都是月</cp:lastModifiedBy>
  <dcterms:modified xsi:type="dcterms:W3CDTF">2026-01-27T02:40:39Z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BB46EABDBB2749749395447164B066B3_12</vt:lpwstr>
  </property>
</Properties>
</file>