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rPr>
      </w:pPr>
      <w:bookmarkStart w:id="0" w:name="_GoBack"/>
      <w:r>
        <w:rPr>
          <w:rFonts w:ascii="方正小标宋_GBK" w:hAnsi="方正小标宋_GBK" w:eastAsia="方正小标宋_GBK" w:cs="方正小标宋_GBK"/>
          <w:sz w:val="44"/>
          <w:szCs w:val="44"/>
        </w:rPr>
        <w:t>垫江县五洞镇人民政府（本级）</w:t>
      </w:r>
    </w:p>
    <w:p>
      <w:pPr>
        <w:pStyle w:val="6"/>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bookmarkEnd w:id="0"/>
    </w:p>
    <w:p>
      <w:pPr>
        <w:pStyle w:val="6"/>
        <w:widowControl w:val="0"/>
        <w:adjustRightInd w:val="0"/>
        <w:snapToGrid w:val="0"/>
        <w:spacing w:before="0" w:beforeAutospacing="0" w:after="0" w:afterAutospacing="0" w:line="594" w:lineRule="exact"/>
        <w:ind w:firstLine="640" w:firstLineChars="200"/>
        <w:jc w:val="both"/>
        <w:rPr>
          <w:rFonts w:hint="default" w:ascii="方正黑体_GBK" w:hAnsi="方正黑体_GBK" w:eastAsia="方正黑体_GBK" w:cs="方正黑体_GBK"/>
          <w:sz w:val="32"/>
          <w:szCs w:val="32"/>
        </w:rPr>
      </w:pP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黑体_GBK" w:hAnsi="方正黑体_GBK" w:eastAsia="方正黑体_GBK" w:cs="方正黑体_GBK"/>
          <w:sz w:val="32"/>
          <w:szCs w:val="32"/>
        </w:rPr>
        <w:t>一、单位基本情况</w:t>
      </w:r>
    </w:p>
    <w:p>
      <w:pPr>
        <w:pStyle w:val="6"/>
        <w:widowControl w:val="0"/>
        <w:adjustRightInd w:val="0"/>
        <w:snapToGrid w:val="0"/>
        <w:spacing w:before="0" w:beforeAutospacing="0" w:after="0" w:afterAutospacing="0" w:line="594" w:lineRule="exact"/>
        <w:ind w:firstLine="640" w:firstLineChars="200"/>
        <w:jc w:val="both"/>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（一）职能职责</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（1）党政办公室：负责机关文秘、会务、档案、保密、后勤服务、政务公开等工作；</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（2）党群工作办公室：负责党建、人事、群团、宣传、党务公开等工作；</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（3）人大办公室：负责镇人民代表大会、主席团履行法定职权，组织人大代表视察、调研、评议等工作；</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（4）经济发展办公室：负责促进镇、村（社区）经济发展、商贸物流、旅游、招商引资、科技普及、统计与普查等工作；</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（5）财政办公室：负责财政收支、预决算、总会计、财政资金监督检查、绩效评价、机关财务管理、国有资产管理、农村财务管理等工作；</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（6）民政和社会事务办公室：负责民政、计生、残疾人事业、老龄、城乡低保、医疗救助对象等工作；</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（7）平安建设办公室：负责普法教育、防邪、禁毒、综治、信访、维稳、矛盾纠纷调解等工作；</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（8）规划建设管理环保办公室：负责承担辖区内规划、建设、市政、生态环境保护、辖区内农村公路的建设、养护工作等工作；</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（9）应急管理办公室：负责安全生产、灾害防治、消防、应急救援等工作；</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10）综合行政执法办公室：负责综合行政执法方面法律、法规和规章的宣传教育工作、集中行使依法授权或委托的农林水利、规划建设、环境保护、卫生健康、市容环卫、文化旅游、民政管理、消防等领域的行政执法权。</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rPr>
        <w:t>（二）机构设置</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五洞镇人民政府（本级）共设置10个综合办事机构：党政办公室、党群工作办公室、人大办公室、经济发展办公室、财政办公室、民政和社会事务办公室、平安建设办公室、规划建设管理环保办公室、应急管理办公室、综合行政执法办公室。年末实有行政人员19人，较去年年末的20人少1人。</w:t>
      </w:r>
    </w:p>
    <w:p>
      <w:pPr>
        <w:pStyle w:val="6"/>
        <w:shd w:val="clear" w:color="auto" w:fill="FFFFFF"/>
        <w:adjustRightInd w:val="0"/>
        <w:snapToGrid w:val="0"/>
        <w:spacing w:before="0" w:beforeAutospacing="0" w:after="0" w:afterAutospacing="0" w:line="594" w:lineRule="exac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二、单位决算收支情况说明</w:t>
      </w:r>
    </w:p>
    <w:p>
      <w:pPr>
        <w:pStyle w:val="11"/>
        <w:autoSpaceDE w:val="0"/>
        <w:adjustRightInd w:val="0"/>
        <w:snapToGrid w:val="0"/>
        <w:spacing w:line="594"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2024年度收入总计2786.91万元，支出总计</w:t>
      </w:r>
      <w:r>
        <w:rPr>
          <w:rFonts w:ascii="方正仿宋_GBK" w:hAnsi="方正仿宋_GBK" w:eastAsia="方正仿宋_GBK" w:cs="方正仿宋_GBK"/>
          <w:sz w:val="32"/>
          <w:szCs w:val="32"/>
        </w:rPr>
        <w:t>2786.91</w:t>
      </w:r>
      <w:r>
        <w:rPr>
          <w:rFonts w:ascii="方正仿宋_GBK" w:hAnsi="方正仿宋_GBK" w:eastAsia="方正仿宋_GBK" w:cs="方正仿宋_GBK"/>
          <w:sz w:val="32"/>
          <w:szCs w:val="32"/>
          <w:shd w:val="clear" w:color="auto" w:fill="FFFFFF"/>
        </w:rPr>
        <w:t>万元。收、支与2023年度相比，增加559.67万元，增长25.13%，主要原因是年中根据实际工作需追加安排土地征收补偿费、农村基础设施建设、农业生产发展等项目资金增加。</w:t>
      </w:r>
    </w:p>
    <w:p>
      <w:pPr>
        <w:pStyle w:val="6"/>
        <w:shd w:val="clear" w:color="auto" w:fill="FFFFFF"/>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2024年度收入合计2763.90万元，与2023年度相比，增加554.56万元，增长25.10%，主要原因是年中根据实际工作需追加安排土地征收补偿费、农村基础设施建设、农业生产发展等项目资金增加。其中：财政拨款收入</w:t>
      </w:r>
      <w:r>
        <w:rPr>
          <w:rFonts w:ascii="方正仿宋_GBK" w:hAnsi="方正仿宋_GBK" w:eastAsia="方正仿宋_GBK" w:cs="方正仿宋_GBK"/>
          <w:sz w:val="32"/>
          <w:szCs w:val="32"/>
        </w:rPr>
        <w:t>2763.90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23.00</w:t>
      </w:r>
      <w:r>
        <w:rPr>
          <w:rFonts w:ascii="方正仿宋_GBK" w:hAnsi="方正仿宋_GBK" w:eastAsia="方正仿宋_GBK" w:cs="方正仿宋_GBK"/>
          <w:sz w:val="32"/>
          <w:szCs w:val="32"/>
          <w:shd w:val="clear" w:color="auto" w:fill="FFFFFF"/>
        </w:rPr>
        <w:t>万元。</w:t>
      </w:r>
    </w:p>
    <w:p>
      <w:pPr>
        <w:pStyle w:val="6"/>
        <w:shd w:val="clear" w:color="auto" w:fill="FFFFFF"/>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2786.91</w:t>
      </w:r>
      <w:r>
        <w:rPr>
          <w:rFonts w:ascii="方正仿宋_GBK" w:hAnsi="方正仿宋_GBK" w:eastAsia="方正仿宋_GBK" w:cs="方正仿宋_GBK"/>
          <w:sz w:val="32"/>
          <w:szCs w:val="32"/>
          <w:shd w:val="clear" w:color="auto" w:fill="FFFFFF"/>
        </w:rPr>
        <w:t>万元，与2023年度相比，增加559.67万元，增长25.13%，主要原因是年中根据实际工作需追加安排土地征收补偿费、农村基础设施建设、农业生产发展等项目资金增加。其中：基本支出</w:t>
      </w:r>
      <w:r>
        <w:rPr>
          <w:rFonts w:ascii="方正仿宋_GBK" w:hAnsi="方正仿宋_GBK" w:eastAsia="方正仿宋_GBK" w:cs="方正仿宋_GBK"/>
          <w:sz w:val="32"/>
          <w:szCs w:val="32"/>
        </w:rPr>
        <w:t>978.02</w:t>
      </w:r>
      <w:r>
        <w:rPr>
          <w:rFonts w:ascii="方正仿宋_GBK" w:hAnsi="方正仿宋_GBK" w:eastAsia="方正仿宋_GBK" w:cs="方正仿宋_GBK"/>
          <w:sz w:val="32"/>
          <w:szCs w:val="32"/>
          <w:shd w:val="clear" w:color="auto" w:fill="FFFFFF"/>
        </w:rPr>
        <w:t>万元，占35.09%；项目支出</w:t>
      </w:r>
      <w:r>
        <w:rPr>
          <w:rFonts w:ascii="方正仿宋_GBK" w:hAnsi="方正仿宋_GBK" w:eastAsia="方正仿宋_GBK" w:cs="方正仿宋_GBK"/>
          <w:sz w:val="32"/>
          <w:szCs w:val="32"/>
        </w:rPr>
        <w:t>1808.89</w:t>
      </w:r>
      <w:r>
        <w:rPr>
          <w:rFonts w:ascii="方正仿宋_GBK" w:hAnsi="方正仿宋_GBK" w:eastAsia="方正仿宋_GBK" w:cs="方正仿宋_GBK"/>
          <w:sz w:val="32"/>
          <w:szCs w:val="32"/>
          <w:shd w:val="clear" w:color="auto" w:fill="FFFFFF"/>
        </w:rPr>
        <w:t>万元，占64.91%；经营支出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bCs/>
          <w:sz w:val="32"/>
          <w:szCs w:val="32"/>
          <w:shd w:val="clear" w:color="auto" w:fill="FFFFFF"/>
        </w:rPr>
        <w:t>近两年均无结转结余。</w:t>
      </w:r>
    </w:p>
    <w:p>
      <w:pPr>
        <w:pStyle w:val="6"/>
        <w:adjustRightInd w:val="0"/>
        <w:snapToGrid w:val="0"/>
        <w:spacing w:before="0" w:beforeAutospacing="0" w:after="0" w:afterAutospacing="0" w:line="594"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（二）财政拨款收入支出决算总体情况说明</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2786.91万元。与2023年相比，财政拨款收、支总计各增加559.67万元，增长25.13%。主要原因是年中根据实际工作需追加安排土地征收补偿费、农村基础设施建设、农业生产发展等项目资金增加。</w:t>
      </w:r>
    </w:p>
    <w:p>
      <w:pPr>
        <w:pStyle w:val="6"/>
        <w:adjustRightInd w:val="0"/>
        <w:snapToGrid w:val="0"/>
        <w:spacing w:before="0" w:beforeAutospacing="0" w:after="0" w:afterAutospacing="0" w:line="594"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（三）一般公共预算财政拨款收入支出决算情况说明</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2206.41</w:t>
      </w:r>
      <w:r>
        <w:rPr>
          <w:rFonts w:ascii="方正仿宋_GBK" w:hAnsi="方正仿宋_GBK" w:eastAsia="方正仿宋_GBK" w:cs="方正仿宋_GBK"/>
          <w:sz w:val="32"/>
          <w:szCs w:val="32"/>
          <w:shd w:val="clear" w:color="auto" w:fill="FFFFFF"/>
        </w:rPr>
        <w:t>万元，与2023年度相比，减少2.70万元，下降0.12%。主要原因是缩减日常公用经费。较年初预算数增加452.40万元，增长25.79%。主要原因是工资、社保、公积金调标，导致经费增加。此外，年初财政拨款结转和结余</w:t>
      </w:r>
      <w:r>
        <w:rPr>
          <w:rFonts w:ascii="方正仿宋_GBK" w:hAnsi="方正仿宋_GBK" w:eastAsia="方正仿宋_GBK" w:cs="方正仿宋_GBK"/>
          <w:sz w:val="32"/>
          <w:szCs w:val="32"/>
        </w:rPr>
        <w:t>23.00</w:t>
      </w:r>
      <w:r>
        <w:rPr>
          <w:rFonts w:ascii="方正仿宋_GBK" w:hAnsi="方正仿宋_GBK" w:eastAsia="方正仿宋_GBK" w:cs="方正仿宋_GBK"/>
          <w:sz w:val="32"/>
          <w:szCs w:val="32"/>
          <w:shd w:val="clear" w:color="auto" w:fill="FFFFFF"/>
        </w:rPr>
        <w:t>万元。</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2229.42</w:t>
      </w:r>
      <w:r>
        <w:rPr>
          <w:rFonts w:ascii="方正仿宋_GBK" w:hAnsi="方正仿宋_GBK" w:eastAsia="方正仿宋_GBK" w:cs="方正仿宋_GBK"/>
          <w:sz w:val="32"/>
          <w:szCs w:val="32"/>
          <w:shd w:val="clear" w:color="auto" w:fill="FFFFFF"/>
        </w:rPr>
        <w:t>万元，与2023年度相比，增加2.41万元，增长0.11%。主要原因是增加部分项目经费。较年初预算数增加475.41万元，增长27.10%。主要原因是工资、社保、公积金调标、项目经费增加等，导致经费增加。</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bCs/>
          <w:sz w:val="32"/>
          <w:szCs w:val="32"/>
          <w:shd w:val="clear" w:color="auto" w:fill="FFFFFF"/>
        </w:rPr>
        <w:t>近两年均无结转结余。</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b w:val="0"/>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adjustRightInd w:val="0"/>
        <w:snapToGrid w:val="0"/>
        <w:spacing w:before="0" w:beforeAutospacing="0" w:after="0" w:afterAutospacing="0" w:line="594"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700.32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31.41</w:t>
      </w:r>
      <w:r>
        <w:rPr>
          <w:rFonts w:ascii="方正仿宋_GBK" w:hAnsi="方正仿宋_GBK" w:eastAsia="方正仿宋_GBK" w:cs="方正仿宋_GBK"/>
          <w:sz w:val="32"/>
          <w:szCs w:val="32"/>
          <w:shd w:val="clear" w:color="auto" w:fill="FFFFFF"/>
        </w:rPr>
        <w:t>%，较年初预算数减少342.48万元，下降32.84%，主要原因是追减基层政权建设、调查工作经费等经费。</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10.34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0.46</w:t>
      </w:r>
      <w:r>
        <w:rPr>
          <w:rFonts w:ascii="方正仿宋_GBK" w:hAnsi="方正仿宋_GBK" w:eastAsia="方正仿宋_GBK" w:cs="方正仿宋_GBK"/>
          <w:sz w:val="32"/>
          <w:szCs w:val="32"/>
          <w:shd w:val="clear" w:color="auto" w:fill="FFFFFF"/>
        </w:rPr>
        <w:t>%，较年初预算数增加10.34万元，增长100.00%，主要原因是追加平安建设、农村交通安全劝导站等经费。</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0.13</w:t>
      </w:r>
      <w:r>
        <w:rPr>
          <w:rFonts w:ascii="方正仿宋_GBK" w:hAnsi="方正仿宋_GBK" w:eastAsia="方正仿宋_GBK" w:cs="方正仿宋_GBK"/>
          <w:sz w:val="32"/>
          <w:szCs w:val="32"/>
          <w:shd w:val="clear" w:color="auto" w:fill="FFFFFF"/>
        </w:rPr>
        <w:t>%，较年初预算数增加3.00万元，增长100.00%，主要原因是追加科技项目 等经费。</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6.40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0.29</w:t>
      </w:r>
      <w:r>
        <w:rPr>
          <w:rFonts w:ascii="方正仿宋_GBK" w:hAnsi="方正仿宋_GBK" w:eastAsia="方正仿宋_GBK" w:cs="方正仿宋_GBK"/>
          <w:sz w:val="32"/>
          <w:szCs w:val="32"/>
          <w:shd w:val="clear" w:color="auto" w:fill="FFFFFF"/>
        </w:rPr>
        <w:t>%，较年初预算数增加0.56万元，增长9.59%，主要原因是追减文化站免费开发补助资金。</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179.54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8.05</w:t>
      </w:r>
      <w:r>
        <w:rPr>
          <w:rFonts w:ascii="方正仿宋_GBK" w:hAnsi="方正仿宋_GBK" w:eastAsia="方正仿宋_GBK" w:cs="方正仿宋_GBK"/>
          <w:sz w:val="32"/>
          <w:szCs w:val="32"/>
          <w:shd w:val="clear" w:color="auto" w:fill="FFFFFF"/>
        </w:rPr>
        <w:t>%，较年初预算数增加51.40万元，增长40.11%，主要原因是追加信访疑难资金、退役军人再就业帮扶、残疾人事业发展等经费。</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42.40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1.90</w:t>
      </w:r>
      <w:r>
        <w:rPr>
          <w:rFonts w:ascii="方正仿宋_GBK" w:hAnsi="方正仿宋_GBK" w:eastAsia="方正仿宋_GBK" w:cs="方正仿宋_GBK"/>
          <w:sz w:val="32"/>
          <w:szCs w:val="32"/>
          <w:shd w:val="clear" w:color="auto" w:fill="FFFFFF"/>
        </w:rPr>
        <w:t>%，较年初预算数增加14.61万元，增长52.57%，主要原因是追加严重精神障碍患者监护人以奖代补、计划生育特殊家庭节日走访慰问、居民医保参保工作等经费。</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1.35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0.06</w:t>
      </w:r>
      <w:r>
        <w:rPr>
          <w:rFonts w:ascii="方正仿宋_GBK" w:hAnsi="方正仿宋_GBK" w:eastAsia="方正仿宋_GBK" w:cs="方正仿宋_GBK"/>
          <w:sz w:val="32"/>
          <w:szCs w:val="32"/>
          <w:shd w:val="clear" w:color="auto" w:fill="FFFFFF"/>
        </w:rPr>
        <w:t>%，较年初预算数增加1.35万元，增长100.00%，主要原因是追加国有林保护修复补助。</w:t>
      </w:r>
    </w:p>
    <w:p>
      <w:pPr>
        <w:pStyle w:val="6"/>
        <w:adjustRightInd w:val="0"/>
        <w:snapToGrid w:val="0"/>
        <w:spacing w:before="0" w:beforeAutospacing="0" w:after="0" w:afterAutospacing="0" w:line="594"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58.78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2.64</w:t>
      </w:r>
      <w:r>
        <w:rPr>
          <w:rFonts w:ascii="方正仿宋_GBK" w:hAnsi="方正仿宋_GBK" w:eastAsia="方正仿宋_GBK" w:cs="方正仿宋_GBK"/>
          <w:sz w:val="32"/>
          <w:szCs w:val="32"/>
          <w:shd w:val="clear" w:color="auto" w:fill="FFFFFF"/>
        </w:rPr>
        <w:t>%，较年初预算数增加39.78万元，增长209.37%，主要原因是追加城镇基础设施建设、市政设施运行维护等经费。</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526.88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23.63</w:t>
      </w:r>
      <w:r>
        <w:rPr>
          <w:rFonts w:ascii="方正仿宋_GBK" w:hAnsi="方正仿宋_GBK" w:eastAsia="方正仿宋_GBK" w:cs="方正仿宋_GBK"/>
          <w:sz w:val="32"/>
          <w:szCs w:val="32"/>
          <w:shd w:val="clear" w:color="auto" w:fill="FFFFFF"/>
        </w:rPr>
        <w:t>%，较年初预算数增加38.57万元，增长7.90%，主要原因是追加营造林项目、抗旱提水工程等经费。</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248.29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11.14</w:t>
      </w:r>
      <w:r>
        <w:rPr>
          <w:rFonts w:ascii="方正仿宋_GBK" w:hAnsi="方正仿宋_GBK" w:eastAsia="方正仿宋_GBK" w:cs="方正仿宋_GBK"/>
          <w:sz w:val="32"/>
          <w:szCs w:val="32"/>
          <w:shd w:val="clear" w:color="auto" w:fill="FFFFFF"/>
        </w:rPr>
        <w:t>%，较年初预算数增加248.29万元，增长100.00%，主要原因是追加农村公路建设补助等经费。</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327.70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14.70</w:t>
      </w:r>
      <w:r>
        <w:rPr>
          <w:rFonts w:ascii="方正仿宋_GBK" w:hAnsi="方正仿宋_GBK" w:eastAsia="方正仿宋_GBK" w:cs="方正仿宋_GBK"/>
          <w:sz w:val="32"/>
          <w:szCs w:val="32"/>
          <w:shd w:val="clear" w:color="auto" w:fill="FFFFFF"/>
        </w:rPr>
        <w:t>%，较年初预算数增加322.70万元，增长6454.00%，主要原因是追加支持中小企业发展资金。</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（12）商业服务业等支出</w:t>
      </w:r>
      <w:r>
        <w:rPr>
          <w:rFonts w:ascii="方正仿宋_GBK" w:hAnsi="方正仿宋_GBK" w:eastAsia="方正仿宋_GBK" w:cs="方正仿宋_GBK"/>
          <w:sz w:val="32"/>
          <w:szCs w:val="32"/>
        </w:rPr>
        <w:t>4.60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%，较年初预算数增加4.60万元，增长100.00%，主要原因是追加限上企业、个体发展补助、统计人员补助等经费。</w:t>
      </w:r>
    </w:p>
    <w:p>
      <w:pPr>
        <w:widowControl w:val="0"/>
        <w:adjustRightInd w:val="0"/>
        <w:snapToGrid w:val="0"/>
        <w:spacing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住房保障支出41.88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1.88</w:t>
      </w:r>
      <w:r>
        <w:rPr>
          <w:rFonts w:ascii="方正仿宋_GBK" w:hAnsi="方正仿宋_GBK" w:eastAsia="方正仿宋_GBK" w:cs="方正仿宋_GBK"/>
          <w:sz w:val="32"/>
          <w:szCs w:val="32"/>
          <w:shd w:val="clear" w:color="auto" w:fill="FFFFFF"/>
        </w:rPr>
        <w:t>%，较年初预算数增加4.75万元，增长12.79%，主要原因是追加农村危房改造补助资金。</w:t>
      </w:r>
    </w:p>
    <w:p>
      <w:pPr>
        <w:adjustRightInd w:val="0"/>
        <w:snapToGrid w:val="0"/>
        <w:spacing w:line="594" w:lineRule="exact"/>
        <w:ind w:firstLine="640" w:firstLineChars="200"/>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（14）</w:t>
      </w:r>
      <w:r>
        <w:rPr>
          <w:rFonts w:ascii="方正仿宋_GBK" w:hAnsi="方正仿宋_GBK" w:eastAsia="方正仿宋_GBK" w:cs="方正仿宋_GBK"/>
          <w:sz w:val="32"/>
          <w:szCs w:val="32"/>
        </w:rPr>
        <w:t>灾害防治及应急管理支出77.94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%，较年初预算数增加77.94万元，增长100.00%，主要原因是追加自然灾害救灾补助资金、地质灾害避险搬迁项目资金。</w:t>
      </w:r>
      <w:r>
        <w:rPr>
          <w:rFonts w:ascii="方正仿宋_GBK" w:eastAsia="方正仿宋_GBK"/>
          <w:color w:val="000000"/>
          <w:sz w:val="32"/>
          <w:szCs w:val="32"/>
          <w:shd w:val="clear" w:color="auto" w:fill="FFFFFF"/>
        </w:rPr>
        <w:t xml:space="preserve">  </w:t>
      </w:r>
    </w:p>
    <w:p>
      <w:pPr>
        <w:adjustRightInd w:val="0"/>
        <w:snapToGrid w:val="0"/>
        <w:spacing w:line="594" w:lineRule="exact"/>
        <w:ind w:firstLine="640" w:firstLineChars="200"/>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（四）一般公共预算财政拨款基本支出决算情况说明</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978.02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821.22</w:t>
      </w:r>
      <w:r>
        <w:rPr>
          <w:rFonts w:ascii="方正仿宋_GBK" w:hAnsi="方正仿宋_GBK" w:eastAsia="方正仿宋_GBK" w:cs="方正仿宋_GBK"/>
          <w:sz w:val="32"/>
          <w:szCs w:val="32"/>
          <w:shd w:val="clear" w:color="auto" w:fill="FFFFFF"/>
        </w:rPr>
        <w:t>万元，与2023年度相比，减少54.46万元，下降6.22%，主要原因是</w:t>
      </w:r>
      <w:r>
        <w:rPr>
          <w:rFonts w:ascii="方正仿宋_GBK" w:hAnsi="仿宋" w:eastAsia="方正仿宋_GBK" w:cs="仿宋"/>
          <w:color w:val="000000"/>
          <w:sz w:val="32"/>
          <w:szCs w:val="32"/>
        </w:rPr>
        <w:t>人员减少，导致人员经费减少。</w:t>
      </w:r>
      <w:r>
        <w:rPr>
          <w:rFonts w:ascii="方正仿宋_GBK" w:hAnsi="方正仿宋_GBK" w:eastAsia="方正仿宋_GBK" w:cs="方正仿宋_GBK"/>
          <w:sz w:val="32"/>
          <w:szCs w:val="32"/>
          <w:shd w:val="clear" w:color="auto" w:fill="FFFFFF"/>
        </w:rPr>
        <w:t>人员经费用途</w:t>
      </w:r>
      <w:r>
        <w:rPr>
          <w:rFonts w:ascii="方正仿宋_GBK" w:eastAsia="方正仿宋_GBK"/>
          <w:color w:val="000000"/>
          <w:sz w:val="32"/>
          <w:szCs w:val="32"/>
          <w:shd w:val="clear" w:color="auto" w:fill="FFFFFF"/>
        </w:rPr>
        <w:t>主要包括基本工资、津贴补贴、奖金、绩效工资、机关事业单位基本养老保险缴费、职业年金缴费、职工基本医疗保险缴费、其他社会保障缴费、住房公积金、医疗费、其他工资福利支出等支出。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156.80</w:t>
      </w:r>
      <w:r>
        <w:rPr>
          <w:rFonts w:ascii="方正仿宋_GBK" w:hAnsi="方正仿宋_GBK" w:eastAsia="方正仿宋_GBK" w:cs="方正仿宋_GBK"/>
          <w:sz w:val="32"/>
          <w:szCs w:val="32"/>
          <w:shd w:val="clear" w:color="auto" w:fill="FFFFFF"/>
        </w:rPr>
        <w:t>万元，与2023年度相比，减少27.73万元，下降15.03%，主要原因是缩减差旅费、“三公”经费等支出，导致公用经费减少。公用经费用途主要包括办公费、印刷费、水费、电费、邮电费、差旅费、维修（护）费、租赁费、会议费、培训费、公务接待费、专用材料费、劳务费、委托业务费、工会经费、福利费、公务用车运行维护费、其他交通费用、其他商品和服务支出、办公设备购置。</w:t>
      </w:r>
    </w:p>
    <w:p>
      <w:pPr>
        <w:pStyle w:val="6"/>
        <w:adjustRightInd w:val="0"/>
        <w:snapToGrid w:val="0"/>
        <w:spacing w:before="0" w:beforeAutospacing="0" w:after="0" w:afterAutospacing="0" w:line="594"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（五）政府性基金预算收支决算情况说明</w:t>
      </w:r>
    </w:p>
    <w:p>
      <w:pPr>
        <w:pStyle w:val="6"/>
        <w:adjustRightInd w:val="0"/>
        <w:snapToGrid w:val="0"/>
        <w:spacing w:before="0" w:beforeAutospacing="0" w:after="0" w:afterAutospacing="0" w:line="594"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557.49</w:t>
      </w:r>
      <w:r>
        <w:rPr>
          <w:rFonts w:ascii="方正仿宋_GBK" w:hAnsi="方正仿宋_GBK" w:eastAsia="方正仿宋_GBK" w:cs="方正仿宋_GBK"/>
          <w:sz w:val="32"/>
          <w:szCs w:val="32"/>
          <w:shd w:val="clear" w:color="auto" w:fill="FFFFFF"/>
        </w:rPr>
        <w:t>万元，与2023年度相比，增加557.29万元，增长278645.00%，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增加了土地征收补偿费等项目支出。</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557.49</w:t>
      </w:r>
      <w:r>
        <w:rPr>
          <w:rFonts w:ascii="方正仿宋_GBK" w:hAnsi="方正仿宋_GBK" w:eastAsia="方正仿宋_GBK" w:cs="方正仿宋_GBK"/>
          <w:sz w:val="32"/>
          <w:szCs w:val="32"/>
          <w:shd w:val="clear" w:color="auto" w:fill="FFFFFF"/>
        </w:rPr>
        <w:t>万元，与2023年度相比，增加557.29万元，增长278645.00%，</w:t>
      </w:r>
      <w:r>
        <w:rPr>
          <w:rFonts w:ascii="方正仿宋_GBK" w:eastAsia="方正仿宋_GBK"/>
          <w:sz w:val="32"/>
          <w:szCs w:val="32"/>
          <w:shd w:val="clear" w:color="auto" w:fill="FFFFFF"/>
        </w:rPr>
        <w:t>主要原因是</w:t>
      </w:r>
      <w:r>
        <w:rPr>
          <w:rFonts w:ascii="方正仿宋_GBK" w:eastAsia="方正仿宋_GBK"/>
          <w:color w:val="000000"/>
          <w:sz w:val="32"/>
          <w:szCs w:val="32"/>
          <w:shd w:val="clear" w:color="auto" w:fill="FFFFFF"/>
        </w:rPr>
        <w:t>增加了土地征收补偿费等项目支出。</w:t>
      </w:r>
    </w:p>
    <w:p>
      <w:pPr>
        <w:pStyle w:val="11"/>
        <w:widowControl w:val="0"/>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（六）国有资本经营预算财政拨款支出决算情况说明</w:t>
      </w:r>
    </w:p>
    <w:p>
      <w:pPr>
        <w:pStyle w:val="11"/>
        <w:widowControl w:val="0"/>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2024年度国有资本经营预算财政拨本年支出0.00万元，基本支出0.00万元，项目支出0.00万元，本单位2024年度无国有资本经营预算财政拨款支出。</w:t>
      </w:r>
    </w:p>
    <w:p>
      <w:pPr>
        <w:pStyle w:val="6"/>
        <w:shd w:val="clear" w:color="auto" w:fill="FFFFFF"/>
        <w:adjustRightInd w:val="0"/>
        <w:snapToGrid w:val="0"/>
        <w:spacing w:before="0" w:beforeAutospacing="0" w:after="0" w:afterAutospacing="0" w:line="594" w:lineRule="exac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三、财政拨款“三公”经费情况说明</w:t>
      </w:r>
    </w:p>
    <w:p>
      <w:pPr>
        <w:pStyle w:val="11"/>
        <w:autoSpaceDE w:val="0"/>
        <w:adjustRightInd w:val="0"/>
        <w:snapToGrid w:val="0"/>
        <w:spacing w:line="594"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（一）“三公”经费支出总体情况说明</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7.95</w:t>
      </w:r>
      <w:r>
        <w:rPr>
          <w:rFonts w:ascii="方正仿宋_GBK" w:hAnsi="方正仿宋_GBK" w:eastAsia="方正仿宋_GBK" w:cs="方正仿宋_GBK"/>
          <w:sz w:val="32"/>
          <w:szCs w:val="32"/>
          <w:shd w:val="clear" w:color="auto" w:fill="FFFFFF"/>
        </w:rPr>
        <w:t>万元，较年初预算数增加2.45万元，增长44.55%，主要原因是加大招商引资力度，增加了招商引资中公务接待费。较上年支出数减少0.79万元，下降9.04%，主要原因是严格控制公务用车使用和其他公务接待等因素，导致“三公”经费减少。</w:t>
      </w:r>
    </w:p>
    <w:p>
      <w:pPr>
        <w:pStyle w:val="6"/>
        <w:adjustRightInd w:val="0"/>
        <w:snapToGrid w:val="0"/>
        <w:spacing w:before="0" w:beforeAutospacing="0" w:after="0" w:afterAutospacing="0" w:line="594"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（二）“三公”经费分项支出情况</w:t>
      </w:r>
    </w:p>
    <w:p>
      <w:pPr>
        <w:pStyle w:val="11"/>
        <w:widowControl w:val="0"/>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11"/>
        <w:widowControl w:val="0"/>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公务车购置费0.00万元。费用支出较年初预算数无增减，主要原因是年初预算数未安排且本年未发生公务车购置费用。较上年支出数无增减，主要原因是上年和本年均未发生公务车购置费用。</w:t>
      </w:r>
    </w:p>
    <w:p>
      <w:pPr>
        <w:pStyle w:val="6"/>
        <w:adjustRightInd w:val="0"/>
        <w:snapToGrid w:val="0"/>
        <w:spacing w:before="0" w:beforeAutospacing="0" w:after="0" w:afterAutospacing="0" w:line="594" w:lineRule="exact"/>
        <w:ind w:firstLine="640" w:firstLineChars="200"/>
        <w:jc w:val="both"/>
        <w:rPr>
          <w:rFonts w:hint="default" w:ascii="方正仿宋_GBK" w:eastAsia="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3.25</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shd w:val="clear" w:color="auto" w:fill="FFFFFF"/>
        </w:rPr>
        <w:t>主要用于</w:t>
      </w:r>
      <w:r>
        <w:rPr>
          <w:rFonts w:ascii="方正仿宋_GBK" w:eastAsia="方正仿宋_GBK"/>
          <w:color w:val="000000"/>
          <w:sz w:val="32"/>
          <w:szCs w:val="32"/>
          <w:shd w:val="clear" w:color="auto" w:fill="FFFFFF"/>
        </w:rPr>
        <w:t>按规定保留的公务用车机要文件交换、市内因公出行等工作所需车辆的燃料费、维修费、过桥过路费、保险费等支出。</w:t>
      </w:r>
      <w:r>
        <w:rPr>
          <w:rFonts w:ascii="方正仿宋_GBK" w:hAnsi="方正仿宋_GBK" w:eastAsia="方正仿宋_GBK" w:cs="方正仿宋_GBK"/>
          <w:sz w:val="32"/>
          <w:szCs w:val="32"/>
          <w:shd w:val="clear" w:color="auto" w:fill="FFFFFF"/>
        </w:rPr>
        <w:t>费用支出较年初预算数增加0.15万元，增长4.84%，主要原因是森林防火期间，用于查看各处安全隐患及开展宣传等工作。较上年支出数减少0.79万元，下降19.55%，主要原因是严格控制公务用车使用次数。</w:t>
      </w:r>
    </w:p>
    <w:p>
      <w:pPr>
        <w:pStyle w:val="11"/>
        <w:widowControl w:val="0"/>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4.69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主要用于招商引资接待费用。</w:t>
      </w:r>
      <w:r>
        <w:rPr>
          <w:rFonts w:ascii="方正仿宋_GBK" w:hAnsi="方正仿宋_GBK" w:eastAsia="方正仿宋_GBK" w:cs="方正仿宋_GBK"/>
          <w:sz w:val="32"/>
          <w:szCs w:val="32"/>
          <w:shd w:val="clear" w:color="auto" w:fill="FFFFFF"/>
        </w:rPr>
        <w:t>费用支出较年初预算数增加2.29万元，增长95.42%，</w:t>
      </w:r>
      <w:r>
        <w:rPr>
          <w:rFonts w:hint="eastAsia" w:ascii="方正仿宋_GBK" w:hAnsi="方正仿宋_GBK" w:eastAsia="方正仿宋_GBK" w:cs="方正仿宋_GBK"/>
          <w:sz w:val="32"/>
          <w:szCs w:val="32"/>
          <w:shd w:val="clear" w:color="auto" w:fill="FFFFFF"/>
        </w:rPr>
        <w:t>主要原因是加大招商引资力度。</w:t>
      </w:r>
      <w:r>
        <w:rPr>
          <w:rFonts w:ascii="方正仿宋_GBK" w:hAnsi="方正仿宋_GBK" w:eastAsia="方正仿宋_GBK" w:cs="方正仿宋_GBK"/>
          <w:sz w:val="32"/>
          <w:szCs w:val="32"/>
          <w:shd w:val="clear" w:color="auto" w:fill="FFFFFF"/>
        </w:rPr>
        <w:t>较上年支出数减少0.01万元，下降0.21%，</w:t>
      </w:r>
      <w:r>
        <w:rPr>
          <w:rFonts w:hint="eastAsia" w:ascii="方正仿宋_GBK" w:hAnsi="方正仿宋_GBK" w:eastAsia="方正仿宋_GBK" w:cs="方正仿宋_GBK"/>
          <w:sz w:val="32"/>
          <w:szCs w:val="32"/>
          <w:shd w:val="clear" w:color="auto" w:fill="FFFFFF"/>
        </w:rPr>
        <w:t>主要原因是控制公务接待陪客人数，导致公务接待费减少。</w:t>
      </w:r>
    </w:p>
    <w:p>
      <w:pPr>
        <w:pStyle w:val="6"/>
        <w:adjustRightInd w:val="0"/>
        <w:snapToGrid w:val="0"/>
        <w:spacing w:before="0" w:beforeAutospacing="0" w:after="0" w:afterAutospacing="0" w:line="594"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（三）“三公”经费实物量情况</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1030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45.57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1.63</w:t>
      </w:r>
      <w:r>
        <w:rPr>
          <w:rFonts w:ascii="方正仿宋_GBK" w:hAnsi="方正仿宋_GBK" w:eastAsia="方正仿宋_GBK" w:cs="方正仿宋_GBK"/>
          <w:sz w:val="32"/>
          <w:szCs w:val="32"/>
          <w:shd w:val="clear" w:color="auto" w:fill="FFFFFF"/>
        </w:rPr>
        <w:t>万元。</w:t>
      </w:r>
    </w:p>
    <w:p>
      <w:pPr>
        <w:pStyle w:val="6"/>
        <w:shd w:val="clear" w:color="auto" w:fill="FFFFFF"/>
        <w:adjustRightInd w:val="0"/>
        <w:snapToGrid w:val="0"/>
        <w:spacing w:before="0" w:beforeAutospacing="0" w:after="0" w:afterAutospacing="0" w:line="594" w:lineRule="exac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四、其他需要说明的事项</w:t>
      </w:r>
    </w:p>
    <w:p>
      <w:pPr>
        <w:pStyle w:val="11"/>
        <w:autoSpaceDE w:val="0"/>
        <w:adjustRightInd w:val="0"/>
        <w:snapToGrid w:val="0"/>
        <w:spacing w:line="594"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（一）财政拨款会议费和培训费情况说明</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5.37</w:t>
      </w:r>
      <w:r>
        <w:rPr>
          <w:rFonts w:ascii="方正仿宋_GBK" w:hAnsi="方正仿宋_GBK" w:eastAsia="方正仿宋_GBK" w:cs="方正仿宋_GBK"/>
          <w:sz w:val="32"/>
          <w:szCs w:val="32"/>
          <w:shd w:val="clear" w:color="auto" w:fill="FFFFFF"/>
        </w:rPr>
        <w:t>万元，与2023年度相比，增加0.07万元，增长1.32%，主要原因是选举2名副镇长，会议次数增加。本年度培训费支出</w:t>
      </w:r>
      <w:r>
        <w:rPr>
          <w:rFonts w:ascii="方正仿宋_GBK" w:hAnsi="方正仿宋_GBK" w:eastAsia="方正仿宋_GBK" w:cs="方正仿宋_GBK"/>
          <w:sz w:val="32"/>
          <w:szCs w:val="32"/>
        </w:rPr>
        <w:t>2.17</w:t>
      </w:r>
      <w:r>
        <w:rPr>
          <w:rFonts w:ascii="方正仿宋_GBK" w:hAnsi="方正仿宋_GBK" w:eastAsia="方正仿宋_GBK" w:cs="方正仿宋_GBK"/>
          <w:sz w:val="32"/>
          <w:szCs w:val="32"/>
          <w:shd w:val="clear" w:color="auto" w:fill="FFFFFF"/>
        </w:rPr>
        <w:t>万元，与2023年度相比，无增减，主要原因是厉行勤俭节约控制培训支出。</w:t>
      </w:r>
    </w:p>
    <w:p>
      <w:pPr>
        <w:pStyle w:val="11"/>
        <w:autoSpaceDE w:val="0"/>
        <w:adjustRightInd w:val="0"/>
        <w:snapToGrid w:val="0"/>
        <w:spacing w:line="594"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（二）机关运行经费情况说明</w:t>
      </w:r>
    </w:p>
    <w:p>
      <w:pPr>
        <w:pStyle w:val="6"/>
        <w:widowControl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156.80</w:t>
      </w:r>
      <w:r>
        <w:rPr>
          <w:rFonts w:ascii="方正仿宋_GBK" w:hAnsi="方正仿宋_GBK" w:eastAsia="方正仿宋_GBK" w:cs="方正仿宋_GBK"/>
          <w:sz w:val="32"/>
          <w:szCs w:val="32"/>
          <w:shd w:val="clear" w:color="auto" w:fill="FFFFFF"/>
        </w:rPr>
        <w:t>万元，机关运行经费主要用于开支办公费、印刷费、水费、电费、邮电费、差旅费、维修（护）费、租赁费、会议费、培训费、公务接待费、专用材料费、劳务费、委托业务费、工会经费、福利费、公务用车运行维护费、其他交通费用、其他商品和服务支出、办公设备购置。机关运行经费较上年支出数减少27.73万元，下降15.03%，主要原因是缩减差旅费、“三公”经费等支出。</w:t>
      </w:r>
    </w:p>
    <w:p>
      <w:pPr>
        <w:pStyle w:val="11"/>
        <w:autoSpaceDE w:val="0"/>
        <w:adjustRightInd w:val="0"/>
        <w:snapToGrid w:val="0"/>
        <w:spacing w:line="594"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（三）国有资产占用情况说明</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adjustRightInd w:val="0"/>
        <w:snapToGrid w:val="0"/>
        <w:spacing w:line="594"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（四）政府采购支出情况说明</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0.99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0.99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%。主要用于采购办公用品等费用。</w:t>
      </w:r>
    </w:p>
    <w:p>
      <w:pPr>
        <w:pStyle w:val="12"/>
        <w:adjustRightInd w:val="0"/>
        <w:snapToGrid w:val="0"/>
        <w:spacing w:before="0" w:beforeAutospacing="0" w:after="0" w:afterAutospacing="0" w:line="594" w:lineRule="exact"/>
        <w:ind w:firstLine="640" w:firstLineChars="20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五、2024年度预算绩效管理情况说明</w:t>
      </w:r>
    </w:p>
    <w:p>
      <w:pPr>
        <w:pStyle w:val="11"/>
        <w:autoSpaceDE w:val="0"/>
        <w:adjustRightInd w:val="0"/>
        <w:snapToGrid w:val="0"/>
        <w:spacing w:line="594"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（一）单位自评情况</w:t>
      </w:r>
    </w:p>
    <w:p>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根据预算绩效管理要求，我单位对78个二级项目开展了绩效自评，涉及财政拨款项目支出资金1808.88万元。</w:t>
      </w:r>
    </w:p>
    <w:p>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我单位对</w:t>
      </w:r>
      <w:r>
        <w:rPr>
          <w:rFonts w:ascii="方正仿宋_GBK" w:hAnsi="方正仿宋_GBK" w:eastAsia="方正仿宋_GBK" w:cs="方正仿宋_GBK"/>
          <w:sz w:val="32"/>
          <w:szCs w:val="32"/>
          <w:shd w:val="clear" w:color="auto" w:fill="FFFFFF"/>
        </w:rPr>
        <w:t>离任村干部生活补贴</w:t>
      </w:r>
      <w:r>
        <w:rPr>
          <w:rFonts w:hint="eastAsia" w:ascii="方正仿宋_GBK" w:hAnsi="方正仿宋_GBK" w:eastAsia="方正仿宋_GBK" w:cs="方正仿宋_GBK"/>
          <w:sz w:val="32"/>
          <w:szCs w:val="32"/>
          <w:shd w:val="clear" w:color="auto" w:fill="FFFFFF"/>
        </w:rPr>
        <w:t>开展了绩效评价，涉及财政拨款项目资金12.29万元；</w:t>
      </w:r>
    </w:p>
    <w:tbl>
      <w:tblPr>
        <w:tblStyle w:val="7"/>
        <w:tblW w:w="0" w:type="auto"/>
        <w:tblInd w:w="97" w:type="dxa"/>
        <w:tblLayout w:type="autofit"/>
        <w:tblCellMar>
          <w:top w:w="0" w:type="dxa"/>
          <w:left w:w="108" w:type="dxa"/>
          <w:bottom w:w="0" w:type="dxa"/>
          <w:right w:w="108" w:type="dxa"/>
        </w:tblCellMar>
      </w:tblPr>
      <w:tblGrid>
        <w:gridCol w:w="1113"/>
        <w:gridCol w:w="665"/>
        <w:gridCol w:w="665"/>
        <w:gridCol w:w="843"/>
        <w:gridCol w:w="706"/>
        <w:gridCol w:w="741"/>
        <w:gridCol w:w="809"/>
        <w:gridCol w:w="705"/>
        <w:gridCol w:w="638"/>
        <w:gridCol w:w="775"/>
        <w:gridCol w:w="774"/>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800" w:firstLineChars="200"/>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离任村干部生活补贴</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50023123T000003558305</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adjustRightInd w:val="0"/>
              <w:snapToGrid w:val="0"/>
              <w:spacing w:line="594" w:lineRule="exact"/>
              <w:ind w:firstLine="440" w:firstLineChars="200"/>
              <w:rPr>
                <w:rFonts w:hint="eastAsia" w:eastAsia="宋体" w:cs="宋体"/>
                <w:color w:val="000000"/>
                <w:sz w:val="22"/>
                <w:szCs w:val="22"/>
                <w:lang w:eastAsia="zh-CN"/>
              </w:rPr>
            </w:pPr>
            <w:r>
              <w:rPr>
                <w:rFonts w:hint="eastAsia" w:cs="宋体"/>
                <w:color w:val="000000"/>
                <w:sz w:val="22"/>
                <w:szCs w:val="22"/>
                <w:lang w:eastAsia="zh-CN"/>
              </w:rPr>
              <w:t>023-74562700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122,882.00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离任村干部生活补贴经费，保障离任村干部生活质量。</w:t>
            </w:r>
          </w:p>
        </w:tc>
        <w:tc>
          <w:tcPr>
            <w:tcW w:w="0" w:type="auto"/>
            <w:gridSpan w:val="4"/>
            <w:tcBorders>
              <w:top w:val="single" w:color="auto" w:sz="4" w:space="0"/>
              <w:left w:val="nil"/>
              <w:bottom w:val="single" w:color="auto" w:sz="4" w:space="0"/>
              <w:right w:val="single" w:color="auto" w:sz="4" w:space="0"/>
            </w:tcBorders>
            <w:shd w:val="clear" w:color="auto" w:fill="auto"/>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离任村干部生活补贴经费，保障离任村干部生活质量。</w:t>
            </w:r>
          </w:p>
        </w:tc>
        <w:tc>
          <w:tcPr>
            <w:tcW w:w="0" w:type="auto"/>
            <w:gridSpan w:val="3"/>
            <w:tcBorders>
              <w:top w:val="single" w:color="auto" w:sz="4" w:space="0"/>
              <w:left w:val="nil"/>
              <w:bottom w:val="single" w:color="auto" w:sz="4" w:space="0"/>
              <w:right w:val="single" w:color="auto" w:sz="4" w:space="0"/>
            </w:tcBorders>
            <w:shd w:val="clear" w:color="auto" w:fill="auto"/>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离任村干部人数</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87</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补贴覆盖率</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资金支付及时率</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离任村干部满意度</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满意</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11.11</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离任村干部生活补贴金额</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122822</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122822</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bl>
    <w:p>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对</w:t>
      </w:r>
      <w:r>
        <w:rPr>
          <w:rFonts w:ascii="方正仿宋_GBK" w:hAnsi="方正仿宋_GBK" w:eastAsia="方正仿宋_GBK" w:cs="方正仿宋_GBK"/>
          <w:sz w:val="32"/>
          <w:szCs w:val="32"/>
          <w:shd w:val="clear" w:color="auto" w:fill="FFFFFF"/>
        </w:rPr>
        <w:t>地质灾害避险搬迁项目</w:t>
      </w:r>
      <w:r>
        <w:rPr>
          <w:rFonts w:hint="eastAsia" w:ascii="方正仿宋_GBK" w:hAnsi="方正仿宋_GBK" w:eastAsia="方正仿宋_GBK" w:cs="方正仿宋_GBK"/>
          <w:sz w:val="32"/>
          <w:szCs w:val="32"/>
          <w:shd w:val="clear" w:color="auto" w:fill="FFFFFF"/>
        </w:rPr>
        <w:t>开展了绩效评价，涉及财政拨款项目资金3.6万元。</w:t>
      </w:r>
    </w:p>
    <w:tbl>
      <w:tblPr>
        <w:tblStyle w:val="7"/>
        <w:tblW w:w="0" w:type="auto"/>
        <w:tblInd w:w="97" w:type="dxa"/>
        <w:tblLayout w:type="autofit"/>
        <w:tblCellMar>
          <w:top w:w="0" w:type="dxa"/>
          <w:left w:w="108" w:type="dxa"/>
          <w:bottom w:w="0" w:type="dxa"/>
          <w:right w:w="108" w:type="dxa"/>
        </w:tblCellMar>
      </w:tblPr>
      <w:tblGrid>
        <w:gridCol w:w="1118"/>
        <w:gridCol w:w="668"/>
        <w:gridCol w:w="668"/>
        <w:gridCol w:w="847"/>
        <w:gridCol w:w="709"/>
        <w:gridCol w:w="744"/>
        <w:gridCol w:w="812"/>
        <w:gridCol w:w="673"/>
        <w:gridCol w:w="640"/>
        <w:gridCol w:w="778"/>
        <w:gridCol w:w="777"/>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800" w:firstLineChars="200"/>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地质灾害避险搬迁项目</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50023123T000002774067</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adjustRightInd w:val="0"/>
              <w:snapToGrid w:val="0"/>
              <w:spacing w:line="594" w:lineRule="exact"/>
              <w:ind w:firstLine="440" w:firstLineChars="200"/>
              <w:rPr>
                <w:rFonts w:hint="eastAsia" w:eastAsia="宋体" w:cs="宋体"/>
                <w:color w:val="000000"/>
                <w:sz w:val="22"/>
                <w:szCs w:val="22"/>
                <w:lang w:eastAsia="zh-CN"/>
              </w:rPr>
            </w:pPr>
            <w:r>
              <w:rPr>
                <w:rFonts w:hint="eastAsia" w:cs="宋体"/>
                <w:color w:val="000000"/>
                <w:sz w:val="22"/>
                <w:szCs w:val="22"/>
                <w:lang w:eastAsia="zh-CN"/>
              </w:rPr>
              <w:t>023-74562700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36,000.00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地质灾害避险搬迁项目，涉及47人，9.4万元。</w:t>
            </w:r>
          </w:p>
        </w:tc>
        <w:tc>
          <w:tcPr>
            <w:tcW w:w="0" w:type="auto"/>
            <w:gridSpan w:val="4"/>
            <w:tcBorders>
              <w:top w:val="single" w:color="auto" w:sz="4" w:space="0"/>
              <w:left w:val="nil"/>
              <w:bottom w:val="single" w:color="auto" w:sz="4" w:space="0"/>
              <w:right w:val="single" w:color="auto" w:sz="4" w:space="0"/>
            </w:tcBorders>
            <w:shd w:val="clear" w:color="auto" w:fill="auto"/>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地质灾害避险搬迁项目，涉及47人，9.4万元。</w:t>
            </w:r>
          </w:p>
        </w:tc>
        <w:tc>
          <w:tcPr>
            <w:tcW w:w="0" w:type="auto"/>
            <w:gridSpan w:val="3"/>
            <w:tcBorders>
              <w:top w:val="single" w:color="auto" w:sz="4" w:space="0"/>
              <w:left w:val="nil"/>
              <w:bottom w:val="single" w:color="auto" w:sz="4" w:space="0"/>
              <w:right w:val="single" w:color="auto" w:sz="4" w:space="0"/>
            </w:tcBorders>
            <w:shd w:val="clear" w:color="auto" w:fill="auto"/>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涉及人数</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47</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47</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地质灾害避险工程合格率</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资金下达预算执行率</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地质灾害避险项目安全性</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涉及搬迁群众满意度</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项目资金总额</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万元</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3.6</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3.6</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bl>
    <w:p>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对</w:t>
      </w:r>
      <w:r>
        <w:rPr>
          <w:rFonts w:ascii="方正仿宋_GBK" w:hAnsi="方正仿宋_GBK" w:eastAsia="方正仿宋_GBK" w:cs="方正仿宋_GBK"/>
          <w:sz w:val="32"/>
          <w:szCs w:val="32"/>
          <w:shd w:val="clear" w:color="auto" w:fill="FFFFFF"/>
        </w:rPr>
        <w:t>食品药品安全协管员补助资金项目</w:t>
      </w:r>
      <w:r>
        <w:rPr>
          <w:rFonts w:hint="eastAsia" w:ascii="方正仿宋_GBK" w:hAnsi="方正仿宋_GBK" w:eastAsia="方正仿宋_GBK" w:cs="方正仿宋_GBK"/>
          <w:sz w:val="32"/>
          <w:szCs w:val="32"/>
          <w:shd w:val="clear" w:color="auto" w:fill="FFFFFF"/>
        </w:rPr>
        <w:t>开展了绩效评价，涉及财政拨款项目资金3.36万元。</w:t>
      </w:r>
    </w:p>
    <w:tbl>
      <w:tblPr>
        <w:tblStyle w:val="7"/>
        <w:tblW w:w="0" w:type="auto"/>
        <w:tblInd w:w="97" w:type="dxa"/>
        <w:tblLayout w:type="autofit"/>
        <w:tblCellMar>
          <w:top w:w="0" w:type="dxa"/>
          <w:left w:w="108" w:type="dxa"/>
          <w:bottom w:w="0" w:type="dxa"/>
          <w:right w:w="108" w:type="dxa"/>
        </w:tblCellMar>
      </w:tblPr>
      <w:tblGrid>
        <w:gridCol w:w="869"/>
        <w:gridCol w:w="719"/>
        <w:gridCol w:w="719"/>
        <w:gridCol w:w="869"/>
        <w:gridCol w:w="726"/>
        <w:gridCol w:w="762"/>
        <w:gridCol w:w="833"/>
        <w:gridCol w:w="689"/>
        <w:gridCol w:w="655"/>
        <w:gridCol w:w="797"/>
        <w:gridCol w:w="796"/>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800" w:firstLineChars="200"/>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食品药品安全协管员补助资金</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50023123T000003444610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adjustRightInd w:val="0"/>
              <w:snapToGrid w:val="0"/>
              <w:spacing w:line="594" w:lineRule="exact"/>
              <w:ind w:firstLine="440" w:firstLineChars="200"/>
              <w:rPr>
                <w:rFonts w:hint="eastAsia" w:eastAsia="宋体" w:cs="宋体"/>
                <w:color w:val="000000"/>
                <w:sz w:val="22"/>
                <w:szCs w:val="22"/>
                <w:lang w:eastAsia="zh-CN"/>
              </w:rPr>
            </w:pPr>
            <w:r>
              <w:rPr>
                <w:rFonts w:hint="eastAsia" w:cs="宋体"/>
                <w:color w:val="000000"/>
                <w:sz w:val="22"/>
                <w:szCs w:val="22"/>
                <w:lang w:eastAsia="zh-CN"/>
              </w:rPr>
              <w:t>023-74562700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nil"/>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 xml:space="preserve">33,600.00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食品药品安全协管员补助资金</w:t>
            </w:r>
          </w:p>
        </w:tc>
        <w:tc>
          <w:tcPr>
            <w:tcW w:w="0" w:type="auto"/>
            <w:gridSpan w:val="4"/>
            <w:tcBorders>
              <w:top w:val="single" w:color="auto" w:sz="4" w:space="0"/>
              <w:left w:val="nil"/>
              <w:bottom w:val="single" w:color="auto" w:sz="4" w:space="0"/>
              <w:right w:val="single" w:color="auto" w:sz="4" w:space="0"/>
            </w:tcBorders>
            <w:shd w:val="clear" w:color="auto" w:fill="auto"/>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食品药品安全协管员补助资金</w:t>
            </w:r>
          </w:p>
        </w:tc>
        <w:tc>
          <w:tcPr>
            <w:tcW w:w="0" w:type="auto"/>
            <w:gridSpan w:val="3"/>
            <w:tcBorders>
              <w:top w:val="single" w:color="auto" w:sz="4" w:space="0"/>
              <w:left w:val="nil"/>
              <w:bottom w:val="single" w:color="auto" w:sz="4" w:space="0"/>
              <w:right w:val="single" w:color="auto" w:sz="4" w:space="0"/>
            </w:tcBorders>
            <w:shd w:val="clear" w:color="auto" w:fill="auto"/>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560" w:firstLineChars="200"/>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2" w:firstLineChars="200"/>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涉及村社区个数</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个</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覆盖率</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资金兑付及时性</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产生的社会效益</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项目资金</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33600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33600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pPr>
              <w:adjustRightInd w:val="0"/>
              <w:snapToGrid w:val="0"/>
              <w:spacing w:line="594" w:lineRule="exact"/>
              <w:ind w:firstLine="440" w:firstLineChars="200"/>
              <w:rPr>
                <w:rFonts w:hint="default" w:cs="宋体"/>
                <w:color w:val="000000"/>
                <w:sz w:val="22"/>
                <w:szCs w:val="22"/>
              </w:rPr>
            </w:pPr>
            <w:r>
              <w:rPr>
                <w:rFonts w:cs="宋体"/>
                <w:color w:val="000000"/>
                <w:sz w:val="22"/>
                <w:szCs w:val="22"/>
              </w:rPr>
              <w:t>　</w:t>
            </w:r>
          </w:p>
        </w:tc>
      </w:tr>
    </w:tbl>
    <w:p>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highlight w:val="yellow"/>
          <w:shd w:val="clear" w:color="auto" w:fill="FFFFFF"/>
        </w:rPr>
      </w:pPr>
    </w:p>
    <w:p>
      <w:pPr>
        <w:pStyle w:val="12"/>
        <w:widowControl w:val="0"/>
        <w:autoSpaceDE w:val="0"/>
        <w:adjustRightInd w:val="0"/>
        <w:snapToGrid w:val="0"/>
        <w:spacing w:before="0" w:beforeAutospacing="0" w:after="0" w:afterAutospacing="0" w:line="594" w:lineRule="exact"/>
        <w:ind w:firstLine="640" w:firstLineChars="20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（二）单位绩效评价情况</w:t>
      </w:r>
    </w:p>
    <w:p>
      <w:pPr>
        <w:pStyle w:val="17"/>
        <w:widowControl w:val="0"/>
        <w:autoSpaceDE w:val="0"/>
        <w:adjustRightInd w:val="0"/>
        <w:snapToGrid w:val="0"/>
        <w:spacing w:line="594" w:lineRule="exact"/>
        <w:ind w:firstLine="640"/>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我单位未组织开展绩效评价。</w:t>
      </w:r>
    </w:p>
    <w:p>
      <w:pPr>
        <w:pStyle w:val="17"/>
        <w:widowControl w:val="0"/>
        <w:autoSpaceDE w:val="0"/>
        <w:adjustRightInd w:val="0"/>
        <w:snapToGrid w:val="0"/>
        <w:spacing w:line="594" w:lineRule="exact"/>
        <w:ind w:firstLine="640"/>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（三）财政绩效评价情况</w:t>
      </w:r>
    </w:p>
    <w:p>
      <w:pPr>
        <w:pStyle w:val="12"/>
        <w:widowControl w:val="0"/>
        <w:autoSpaceDE w:val="0"/>
        <w:adjustRightInd w:val="0"/>
        <w:snapToGrid w:val="0"/>
        <w:spacing w:before="0" w:beforeAutospacing="0" w:after="0" w:afterAutospacing="0" w:line="594" w:lineRule="exact"/>
        <w:ind w:firstLine="640" w:firstLineChars="200"/>
        <w:rPr>
          <w:rStyle w:val="13"/>
          <w:rFonts w:ascii="方正仿宋_GBK" w:hAnsi="方正仿宋_GBK" w:eastAsia="方正仿宋_GBK" w:cs="方正仿宋_GBK"/>
          <w:b w:val="0"/>
          <w:sz w:val="32"/>
          <w:szCs w:val="32"/>
          <w:shd w:val="clear" w:color="auto" w:fill="FFFFFF"/>
        </w:rPr>
      </w:pPr>
      <w:r>
        <w:rPr>
          <w:rStyle w:val="13"/>
          <w:rFonts w:hint="eastAsia" w:ascii="方正仿宋_GBK" w:hAnsi="方正仿宋_GBK" w:eastAsia="方正仿宋_GBK" w:cs="方正仿宋_GBK"/>
          <w:b w:val="0"/>
          <w:sz w:val="32"/>
          <w:szCs w:val="32"/>
          <w:shd w:val="clear" w:color="auto" w:fill="FFFFFF"/>
        </w:rPr>
        <w:t>县财政局未委托第三方对我单位开展绩效评价。</w:t>
      </w:r>
    </w:p>
    <w:p>
      <w:pPr>
        <w:pStyle w:val="12"/>
        <w:widowControl w:val="0"/>
        <w:autoSpaceDE w:val="0"/>
        <w:adjustRightInd w:val="0"/>
        <w:snapToGrid w:val="0"/>
        <w:spacing w:before="0" w:beforeAutospacing="0" w:after="0" w:afterAutospacing="0" w:line="594" w:lineRule="exact"/>
        <w:ind w:firstLine="640" w:firstLineChars="200"/>
        <w:rPr>
          <w:rFonts w:ascii="方正黑体_GBK" w:hAnsi="方正黑体_GBK" w:eastAsia="方正黑体_GBK" w:cs="方正黑体_GBK"/>
          <w:bCs/>
          <w:sz w:val="32"/>
          <w:szCs w:val="32"/>
        </w:rPr>
      </w:pPr>
      <w:r>
        <w:rPr>
          <w:rStyle w:val="10"/>
          <w:rFonts w:hint="eastAsia" w:ascii="方正黑体_GBK" w:hAnsi="方正黑体_GBK" w:eastAsia="方正黑体_GBK" w:cs="方正黑体_GBK"/>
          <w:b w:val="0"/>
          <w:bCs/>
          <w:sz w:val="32"/>
          <w:szCs w:val="32"/>
          <w:shd w:val="clear" w:color="auto" w:fill="FFFFFF"/>
        </w:rPr>
        <w:t>六、专业名词解释</w:t>
      </w:r>
    </w:p>
    <w:p>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bCs/>
          <w:sz w:val="32"/>
          <w:szCs w:val="32"/>
          <w:shd w:val="clear" w:color="auto" w:fill="FFFFFF"/>
        </w:rPr>
        <w:t>指本年度从本级财政部门取得的财政拨款，包括一般公共预算财政拨款和政府性基金预算财政拨款。</w:t>
      </w:r>
    </w:p>
    <w:p>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bCs/>
          <w:sz w:val="32"/>
          <w:szCs w:val="32"/>
          <w:shd w:val="clear" w:color="auto" w:fill="FFFFFF"/>
        </w:rPr>
        <w:t>指事业单位开展专业业务活动及其辅助活动取得的现金流入；事业单位收到的财政专户实际核拨的教育收费等资金在此反映。</w:t>
      </w:r>
    </w:p>
    <w:p>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bCs/>
          <w:sz w:val="32"/>
          <w:szCs w:val="32"/>
          <w:shd w:val="clear" w:color="auto" w:fill="FFFFFF"/>
        </w:rPr>
        <w:t>指事业单位在专业业务活动及其辅助活动之外开展非独立核算经营活动取得的现金流入。</w:t>
      </w:r>
    </w:p>
    <w:p>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（五）使用非财政拨款结余：</w:t>
      </w:r>
      <w:r>
        <w:rPr>
          <w:rFonts w:hint="eastAsia" w:ascii="方正仿宋_GBK" w:hAnsi="方正仿宋_GBK" w:eastAsia="方正仿宋_GBK" w:cs="方正仿宋_GBK"/>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bCs/>
          <w:sz w:val="32"/>
          <w:szCs w:val="32"/>
          <w:shd w:val="clear" w:color="auto" w:fill="FFFFFF"/>
        </w:rPr>
        <w:t>指单位上年结转本年使用的基本支出结转、项目支出结转和结余、经营结余。</w:t>
      </w:r>
    </w:p>
    <w:p>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bCs/>
          <w:sz w:val="32"/>
          <w:szCs w:val="32"/>
          <w:shd w:val="clear" w:color="auto" w:fill="FFFFFF"/>
        </w:rPr>
        <w:t>指单位按照国家有关规定，缴纳所得税、提取专用基金、转入非财政拨款结余等当年结余的分配情况。</w:t>
      </w:r>
    </w:p>
    <w:p>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bCs/>
          <w:sz w:val="32"/>
          <w:szCs w:val="32"/>
          <w:shd w:val="clear" w:color="auto" w:fill="FFFFFF"/>
        </w:rPr>
        <w:t>指单位结转下年的基本支出结转、项目支出结转和结余、经营结余。</w:t>
      </w:r>
    </w:p>
    <w:p>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bCs/>
          <w:sz w:val="32"/>
          <w:szCs w:val="32"/>
          <w:shd w:val="clear" w:color="auto" w:fill="FFFFFF"/>
        </w:rPr>
        <w:t>指在基本支出之外为完成特定行政任务和事业发展目标所发生的支出。</w:t>
      </w:r>
    </w:p>
    <w:p>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bCs/>
          <w:sz w:val="32"/>
          <w:szCs w:val="32"/>
          <w:shd w:val="clear" w:color="auto" w:fill="FFFFFF"/>
        </w:rPr>
        <w:t>指事业单位在专业业务活动及其辅助活动之外开展非独立核算经营活动发生的支出。</w:t>
      </w:r>
    </w:p>
    <w:p>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bCs/>
          <w:sz w:val="32"/>
          <w:szCs w:val="32"/>
          <w:shd w:val="clear" w:color="auto" w:fill="FFFFFF"/>
        </w:rPr>
        <w:t>反映单位开支的在职职工和编制外长期聘用人员的各类劳动报酬，以及为上述人员缴纳的各项社会保险费等。</w:t>
      </w:r>
    </w:p>
    <w:p>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bCs/>
          <w:sz w:val="32"/>
          <w:szCs w:val="32"/>
          <w:shd w:val="clear" w:color="auto" w:fill="FFFFFF"/>
        </w:rPr>
        <w:t>反映单位购买商品和服务的支出（不包括用于购置固定资产的支出、战略性和应急储备支出）。</w:t>
      </w:r>
    </w:p>
    <w:p>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bCs/>
          <w:sz w:val="32"/>
          <w:szCs w:val="32"/>
          <w:shd w:val="clear" w:color="auto" w:fill="FFFFFF"/>
        </w:rPr>
        <w:t>反映用于对个人和家庭的补助支出。</w:t>
      </w:r>
    </w:p>
    <w:p>
      <w:pPr>
        <w:pStyle w:val="12"/>
        <w:widowControl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bCs/>
          <w:sz w:val="32"/>
          <w:szCs w:val="32"/>
        </w:rPr>
      </w:pPr>
      <w:r>
        <w:rPr>
          <w:rStyle w:val="10"/>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adjustRightInd w:val="0"/>
        <w:snapToGrid w:val="0"/>
        <w:spacing w:before="0" w:beforeAutospacing="0" w:after="0" w:afterAutospacing="0" w:line="594" w:lineRule="exact"/>
        <w:ind w:firstLine="640" w:firstLineChars="200"/>
        <w:rPr>
          <w:rFonts w:ascii="方正黑体_GBK" w:hAnsi="方正仿宋_GBK" w:eastAsia="方正黑体_GBK" w:cs="方正仿宋_GBK"/>
          <w:b/>
          <w:sz w:val="32"/>
          <w:szCs w:val="32"/>
        </w:rPr>
      </w:pPr>
      <w:r>
        <w:rPr>
          <w:rStyle w:val="10"/>
          <w:rFonts w:hint="eastAsia" w:ascii="方正黑体_GBK" w:hAnsi="黑体" w:eastAsia="方正黑体_GBK" w:cs="黑体"/>
          <w:b w:val="0"/>
          <w:sz w:val="32"/>
          <w:szCs w:val="32"/>
          <w:shd w:val="clear" w:color="auto" w:fill="FFFFFF"/>
        </w:rPr>
        <w:t>七、决算公开联系方式及信息反馈渠道</w:t>
      </w:r>
    </w:p>
    <w:p>
      <w:pPr>
        <w:pStyle w:val="12"/>
        <w:adjustRightInd w:val="0"/>
        <w:snapToGrid w:val="0"/>
        <w:spacing w:before="0" w:beforeAutospacing="0" w:after="0" w:afterAutospacing="0" w:line="594"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本单位决算公开信息反馈和联系方式：023-</w:t>
      </w:r>
      <w:r>
        <w:rPr>
          <w:rFonts w:hint="eastAsia" w:ascii="方正仿宋_GBK" w:hAnsi="方正仿宋_GBK" w:eastAsia="方正仿宋_GBK" w:cs="方正仿宋_GBK"/>
          <w:sz w:val="32"/>
          <w:szCs w:val="32"/>
          <w:shd w:val="clear" w:color="auto" w:fill="FFFFFF"/>
          <w:lang w:eastAsia="zh-CN"/>
        </w:rPr>
        <w:t>74562700</w:t>
      </w:r>
    </w:p>
    <w:p>
      <w:pPr>
        <w:shd w:val="clear" w:color="auto" w:fill="FFFFFF"/>
        <w:adjustRightInd w:val="0"/>
        <w:snapToGrid w:val="0"/>
        <w:spacing w:line="594" w:lineRule="exact"/>
        <w:ind w:firstLine="643" w:firstLineChars="200"/>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ascii="Arial" w:hAnsi="Arial" w:cs="Arial"/>
                <w:color w:val="000000"/>
                <w:sz w:val="22"/>
                <w:szCs w:val="22"/>
              </w:rPr>
            </w:pPr>
            <w:r>
              <w:rPr>
                <w:rFonts w:cs="宋体"/>
                <w:sz w:val="20"/>
                <w:szCs w:val="20"/>
              </w:rPr>
              <w:t>单位：</w:t>
            </w:r>
            <w:r>
              <w:rPr>
                <w:sz w:val="20"/>
              </w:rPr>
              <w:t>垫江县五洞镇人民政府（本级）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40" w:firstLineChars="200"/>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2,206.41</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700.32</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557.49</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179.54</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42.40</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616.27</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526.88</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248.29</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41.88</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77.94</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2,763.90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2,786.91</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2,786.91</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2,786.91</w:t>
            </w:r>
          </w:p>
        </w:tc>
      </w:tr>
    </w:tbl>
    <w:p>
      <w:pPr>
        <w:adjustRightInd w:val="0"/>
        <w:snapToGrid w:val="0"/>
        <w:spacing w:line="594" w:lineRule="exact"/>
        <w:ind w:firstLine="420" w:firstLineChars="200"/>
        <w:rPr>
          <w:rFonts w:hint="default" w:cs="宋体"/>
          <w:sz w:val="21"/>
          <w:szCs w:val="21"/>
        </w:rPr>
      </w:pPr>
    </w:p>
    <w:p>
      <w:pPr>
        <w:adjustRightInd w:val="0"/>
        <w:snapToGrid w:val="0"/>
        <w:spacing w:line="594" w:lineRule="exact"/>
        <w:ind w:firstLine="400" w:firstLineChars="200"/>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adjustRightInd w:val="0"/>
        <w:snapToGrid w:val="0"/>
        <w:spacing w:line="594" w:lineRule="exact"/>
        <w:ind w:firstLine="400" w:firstLineChars="200"/>
        <w:rPr>
          <w:rFonts w:hint="default" w:cs="宋体"/>
          <w:sz w:val="20"/>
          <w:szCs w:val="20"/>
        </w:rPr>
      </w:pPr>
    </w:p>
    <w:p>
      <w:pPr>
        <w:adjustRightInd w:val="0"/>
        <w:snapToGrid w:val="0"/>
        <w:spacing w:line="594" w:lineRule="exact"/>
        <w:ind w:firstLine="400" w:firstLineChars="200"/>
        <w:rPr>
          <w:rFonts w:hint="default" w:cs="宋体"/>
          <w:sz w:val="20"/>
          <w:szCs w:val="20"/>
        </w:rPr>
      </w:pPr>
    </w:p>
    <w:p>
      <w:pPr>
        <w:adjustRightInd w:val="0"/>
        <w:snapToGrid w:val="0"/>
        <w:spacing w:line="594" w:lineRule="exact"/>
        <w:ind w:firstLine="400" w:firstLineChars="200"/>
        <w:rPr>
          <w:rFonts w:hint="default" w:cs="宋体"/>
          <w:sz w:val="20"/>
          <w:szCs w:val="20"/>
        </w:rPr>
      </w:pPr>
    </w:p>
    <w:p>
      <w:pPr>
        <w:adjustRightInd w:val="0"/>
        <w:snapToGrid w:val="0"/>
        <w:spacing w:line="594" w:lineRule="exact"/>
        <w:ind w:firstLine="400" w:firstLineChars="200"/>
        <w:rPr>
          <w:rFonts w:hint="default" w:cs="宋体"/>
          <w:sz w:val="20"/>
          <w:szCs w:val="20"/>
        </w:rPr>
      </w:pPr>
    </w:p>
    <w:p>
      <w:pPr>
        <w:adjustRightInd w:val="0"/>
        <w:snapToGrid w:val="0"/>
        <w:spacing w:line="594" w:lineRule="exact"/>
        <w:ind w:firstLine="400" w:firstLineChars="200"/>
        <w:rPr>
          <w:rFonts w:hint="default" w:cs="宋体"/>
          <w:sz w:val="20"/>
          <w:szCs w:val="20"/>
        </w:rPr>
      </w:pPr>
    </w:p>
    <w:p>
      <w:pPr>
        <w:adjustRightInd w:val="0"/>
        <w:snapToGrid w:val="0"/>
        <w:spacing w:line="594" w:lineRule="exact"/>
        <w:ind w:firstLine="400" w:firstLineChars="200"/>
        <w:rPr>
          <w:rFonts w:hint="default" w:cs="宋体"/>
          <w:sz w:val="20"/>
          <w:szCs w:val="20"/>
        </w:rPr>
      </w:pPr>
    </w:p>
    <w:p>
      <w:pPr>
        <w:adjustRightInd w:val="0"/>
        <w:snapToGrid w:val="0"/>
        <w:spacing w:line="594" w:lineRule="exact"/>
        <w:ind w:firstLine="400" w:firstLineChars="200"/>
        <w:rPr>
          <w:rFonts w:hint="default" w:cs="宋体"/>
          <w:sz w:val="20"/>
          <w:szCs w:val="20"/>
        </w:rPr>
      </w:pPr>
    </w:p>
    <w:p>
      <w:pPr>
        <w:adjustRightInd w:val="0"/>
        <w:snapToGrid w:val="0"/>
        <w:spacing w:line="594" w:lineRule="exact"/>
        <w:ind w:firstLine="400" w:firstLineChars="200"/>
        <w:rPr>
          <w:rFonts w:hint="default" w:cs="宋体"/>
          <w:sz w:val="20"/>
          <w:szCs w:val="20"/>
        </w:rPr>
      </w:pPr>
    </w:p>
    <w:p>
      <w:pPr>
        <w:adjustRightInd w:val="0"/>
        <w:snapToGrid w:val="0"/>
        <w:spacing w:line="594" w:lineRule="exact"/>
        <w:ind w:firstLine="400" w:firstLineChars="200"/>
        <w:rPr>
          <w:rFonts w:hint="default" w:cs="宋体"/>
          <w:sz w:val="20"/>
          <w:szCs w:val="20"/>
        </w:rPr>
      </w:pPr>
    </w:p>
    <w:p>
      <w:pPr>
        <w:adjustRightInd w:val="0"/>
        <w:snapToGrid w:val="0"/>
        <w:spacing w:line="594" w:lineRule="exact"/>
        <w:ind w:firstLine="400" w:firstLineChars="200"/>
        <w:rPr>
          <w:rFonts w:hint="default" w:cs="宋体"/>
          <w:sz w:val="20"/>
          <w:szCs w:val="20"/>
        </w:rPr>
      </w:pPr>
    </w:p>
    <w:p>
      <w:pPr>
        <w:adjustRightInd w:val="0"/>
        <w:snapToGrid w:val="0"/>
        <w:spacing w:line="594" w:lineRule="exact"/>
        <w:ind w:firstLine="400" w:firstLineChars="200"/>
        <w:rPr>
          <w:rFonts w:hint="default" w:cs="宋体"/>
          <w:sz w:val="20"/>
          <w:szCs w:val="20"/>
        </w:rPr>
      </w:pP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sz w:val="20"/>
              </w:rPr>
              <w:t>垫江县五洞镇人民政府（本级）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600"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00"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00"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00"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2,763.90</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2,763.90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700.32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700.32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人大会议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人大代表履职能力提升</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代表工作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658.34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纪检监察事务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其他纪检监察事务支出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招商引资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党委办公厅（室）及相关机构事务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2014004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信访业务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2040202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科学技术支出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20607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科学技术普及</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2060702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科普活动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残疾人就业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红十字事业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其他生活救助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2082501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其他城市生活救助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其他计划生育事务支出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医疗保障管理事务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医疗保障经办事务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森林保护修复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2110501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森林管护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608.74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608.74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城乡社区公共设施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小城镇基础设施建设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征地和拆迁补偿支出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农村基础设施建设支出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2120814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农业生产发展支出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516.88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516.88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其他林业和草原支出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2130314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防汛</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巩固拓展脱贫攻坚成果同乡村振兴有效衔接同</w:t>
            </w:r>
            <w:r>
              <w:rPr>
                <w:rFonts w:cs="宋体"/>
                <w:b/>
                <w:color w:val="000000"/>
                <w:sz w:val="20"/>
                <w:szCs w:val="20"/>
              </w:rPr>
              <w:t>乡村振兴</w:t>
            </w:r>
            <w:r>
              <w:rPr>
                <w:rFonts w:hint="eastAsia" w:cs="宋体"/>
                <w:b/>
                <w:color w:val="000000"/>
                <w:sz w:val="20"/>
                <w:szCs w:val="20"/>
                <w:lang w:eastAsia="zh-CN"/>
              </w:rPr>
              <w:t>有效衔接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247.33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247.33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242.82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资源勘探工业信息等支出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2150899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商业流通事务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2160299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其他商业流通事务支出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应急救援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其他自然灾害防治支出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adjustRightInd w:val="0"/>
        <w:snapToGrid w:val="0"/>
        <w:spacing w:line="594" w:lineRule="exact"/>
        <w:ind w:left="600" w:firstLine="400" w:firstLineChars="2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adjustRightInd w:val="0"/>
        <w:snapToGrid w:val="0"/>
        <w:spacing w:line="594" w:lineRule="exact"/>
        <w:ind w:firstLine="400" w:firstLineChars="200"/>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垫江县五洞镇人民政府（本级）</w:t>
            </w:r>
          </w:p>
        </w:tc>
        <w:tc>
          <w:tcPr>
            <w:tcW w:w="575"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600"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00"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00"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00"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2,786.91</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978.02</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1,808.89</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700.32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147.22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人大会议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人大代表履职能力提升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代表工作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658.34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105.24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105.24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纪检监察事务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其他纪检监察事务支出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招商引资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党委办公厅（室）及相关机构事务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2014004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信访业务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2040202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科学技术支出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20607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科学技术普及</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2060702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科普活动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残疾人就业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红十字事业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其他生活救助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2082501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其他城市生活救助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计划生育事务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其他计划生育事务支出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医疗保障管理事务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医疗保障经办事务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森林保护修复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2110501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森林管护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616.27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616.27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小城镇基础设施建设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征地和拆迁补偿支出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482.84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农村基础设施建设支出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2120814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农业生产发展支出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526.88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201.04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325.84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93.94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93.94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2130314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防汛</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hint="eastAsia" w:cs="宋体"/>
                <w:b/>
                <w:color w:val="000000"/>
                <w:sz w:val="20"/>
                <w:szCs w:val="20"/>
                <w:lang w:eastAsia="zh-CN"/>
              </w:rPr>
              <w:t>巩固拓展脱贫攻坚成果同乡村振兴有效衔接</w:t>
            </w:r>
            <w:r>
              <w:rPr>
                <w:rFonts w:cs="宋体"/>
                <w:b/>
                <w:color w:val="000000"/>
                <w:sz w:val="20"/>
                <w:szCs w:val="20"/>
              </w:rPr>
              <w:t>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201.04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247.33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201.04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161.64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资源勘探工业信息等支出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327.70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2150899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商业流通事务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2160299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其他商业流通事务支出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应急救援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adjustRightInd w:val="0"/>
        <w:snapToGrid w:val="0"/>
        <w:spacing w:line="594" w:lineRule="exact"/>
        <w:ind w:firstLine="400" w:firstLineChars="200"/>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adjustRightInd w:val="0"/>
        <w:snapToGrid w:val="0"/>
        <w:spacing w:line="594" w:lineRule="exact"/>
        <w:ind w:firstLine="420" w:firstLineChars="200"/>
        <w:rPr>
          <w:rFonts w:hint="default" w:cs="宋体"/>
          <w:sz w:val="21"/>
          <w:szCs w:val="21"/>
        </w:rPr>
      </w:pPr>
      <w:r>
        <w:rPr>
          <w:rFonts w:cs="宋体"/>
          <w:sz w:val="21"/>
          <w:szCs w:val="21"/>
        </w:rPr>
        <w:br w:type="page"/>
      </w:r>
    </w:p>
    <w:p>
      <w:pPr>
        <w:adjustRightInd w:val="0"/>
        <w:snapToGrid w:val="0"/>
        <w:spacing w:line="594" w:lineRule="exact"/>
        <w:ind w:firstLine="420" w:firstLineChars="200"/>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3040"/>
        <w:gridCol w:w="1498"/>
        <w:gridCol w:w="3221"/>
        <w:gridCol w:w="1671"/>
        <w:gridCol w:w="1671"/>
        <w:gridCol w:w="1671"/>
        <w:gridCol w:w="190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垫江县五洞镇人民政府（本级）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2,206.41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700.32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700.32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616.27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526.88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526.88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248.29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248.29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327.70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327.70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2,763.90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2,786.91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2,229.42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2,786.91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2,786.91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2,229.42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557.49</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bl>
    <w:p>
      <w:pPr>
        <w:adjustRightInd w:val="0"/>
        <w:snapToGrid w:val="0"/>
        <w:spacing w:line="594" w:lineRule="exact"/>
        <w:ind w:firstLine="400" w:firstLineChars="200"/>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垫江县五洞镇人民政府（本级）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600"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600"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2,229.42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978.02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1,251.39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700.32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147.22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人大代表履职能力提升</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658.34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105.24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105.24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105.24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2014004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科学技术普及</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2060702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科普活动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179.54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57.13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67.76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67.76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38.95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38.95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38.95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49.31</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526.88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201.04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325.84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93.94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93.94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hint="eastAsia" w:cs="宋体"/>
                <w:b/>
                <w:color w:val="000000"/>
                <w:sz w:val="20"/>
                <w:szCs w:val="20"/>
                <w:lang w:eastAsia="zh-CN"/>
              </w:rPr>
              <w:t>巩固拓展脱贫攻坚成果同乡村振兴有效衔接</w:t>
            </w:r>
            <w:r>
              <w:rPr>
                <w:rFonts w:cs="宋体"/>
                <w:b/>
                <w:color w:val="000000"/>
                <w:sz w:val="20"/>
                <w:szCs w:val="20"/>
              </w:rPr>
              <w:t>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201.04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201.04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161.64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161.64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327.70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327.70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77.94</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58.27</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w:t>
            </w:r>
          </w:p>
        </w:tc>
      </w:tr>
    </w:tbl>
    <w:p>
      <w:pPr>
        <w:adjustRightInd w:val="0"/>
        <w:snapToGrid w:val="0"/>
        <w:spacing w:line="594" w:lineRule="exact"/>
        <w:ind w:firstLine="400" w:firstLineChars="2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adjustRightInd w:val="0"/>
        <w:snapToGrid w:val="0"/>
        <w:spacing w:line="594" w:lineRule="exact"/>
        <w:ind w:firstLine="420" w:firstLineChars="2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垫江县五洞镇人民政府（本级）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600"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600"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361" w:firstLineChars="200"/>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552.42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90.96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821.22</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156.80</w:t>
            </w:r>
          </w:p>
        </w:tc>
      </w:tr>
    </w:tbl>
    <w:p>
      <w:pPr>
        <w:adjustRightInd w:val="0"/>
        <w:snapToGrid w:val="0"/>
        <w:spacing w:line="594" w:lineRule="exact"/>
        <w:ind w:firstLine="400" w:firstLineChars="200"/>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垫江县五洞镇人民政府（本级）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600"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00"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557.49</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557.49</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both"/>
              <w:textAlignment w:val="center"/>
              <w:rPr>
                <w:rFonts w:hint="default" w:cs="宋体"/>
                <w:color w:val="000000"/>
                <w:sz w:val="20"/>
                <w:szCs w:val="20"/>
              </w:rPr>
            </w:pPr>
            <w:r>
              <w:rPr>
                <w:rFonts w:cs="宋体"/>
                <w:color w:val="000000"/>
                <w:sz w:val="20"/>
                <w:szCs w:val="20"/>
              </w:rPr>
              <w:t>2120801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482.84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482.84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482.84</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both"/>
              <w:textAlignment w:val="center"/>
              <w:rPr>
                <w:rFonts w:hint="default" w:cs="宋体"/>
                <w:color w:val="000000"/>
                <w:sz w:val="20"/>
                <w:szCs w:val="20"/>
              </w:rPr>
            </w:pPr>
            <w:r>
              <w:rPr>
                <w:rFonts w:cs="宋体"/>
                <w:color w:val="000000"/>
                <w:sz w:val="20"/>
                <w:szCs w:val="20"/>
              </w:rPr>
              <w:t>2120804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both"/>
              <w:textAlignment w:val="center"/>
              <w:rPr>
                <w:rFonts w:hint="default" w:cs="宋体"/>
                <w:color w:val="000000"/>
                <w:sz w:val="20"/>
                <w:szCs w:val="20"/>
              </w:rPr>
            </w:pPr>
            <w:r>
              <w:rPr>
                <w:rFonts w:cs="宋体"/>
                <w:color w:val="000000"/>
                <w:sz w:val="20"/>
                <w:szCs w:val="20"/>
              </w:rPr>
              <w:t>2120814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47.66</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47.66</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47.66</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adjustRightInd w:val="0"/>
        <w:snapToGrid w:val="0"/>
        <w:spacing w:line="594" w:lineRule="exact"/>
        <w:ind w:firstLine="400" w:firstLineChars="200"/>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adjustRightInd w:val="0"/>
        <w:snapToGrid w:val="0"/>
        <w:spacing w:line="594" w:lineRule="exact"/>
        <w:ind w:firstLine="420" w:firstLineChars="200"/>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垫江县五洞镇人民政府（本级）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600"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600"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00"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00"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2" w:firstLineChars="200"/>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adjustRightInd w:val="0"/>
        <w:snapToGrid w:val="0"/>
        <w:spacing w:line="594" w:lineRule="exact"/>
        <w:ind w:firstLine="400" w:firstLineChars="20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adjustRightInd w:val="0"/>
        <w:snapToGrid w:val="0"/>
        <w:spacing w:line="594" w:lineRule="exact"/>
        <w:ind w:firstLine="420" w:firstLineChars="200"/>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adjustRightInd w:val="0"/>
              <w:snapToGrid w:val="0"/>
              <w:spacing w:line="594" w:lineRule="exact"/>
              <w:ind w:firstLine="643" w:firstLineChars="200"/>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adjustRightInd w:val="0"/>
              <w:snapToGrid w:val="0"/>
              <w:spacing w:line="594" w:lineRule="exact"/>
              <w:ind w:firstLine="400" w:firstLineChars="200"/>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adjustRightInd w:val="0"/>
              <w:snapToGrid w:val="0"/>
              <w:spacing w:line="594" w:lineRule="exact"/>
              <w:ind w:firstLine="400" w:firstLineChars="200"/>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垫江县五洞镇人民政府（本级）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adjustRightInd w:val="0"/>
              <w:snapToGrid w:val="0"/>
              <w:spacing w:line="594" w:lineRule="exact"/>
              <w:ind w:firstLine="400" w:firstLineChars="20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156.80</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156.80</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right="120" w:rightChars="5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right="120" w:rightChars="5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right="120" w:rightChars="5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206</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0.99</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0.99</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5.37</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0" w:firstLineChars="20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firstLine="320" w:firstLineChars="200"/>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2.17</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0" w:firstLineChars="20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firstLine="320" w:firstLineChars="200"/>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1" w:firstLineChars="200"/>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25.21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adjustRightInd w:val="0"/>
              <w:snapToGrid w:val="0"/>
              <w:spacing w:line="594" w:lineRule="exact"/>
              <w:ind w:firstLine="320" w:firstLineChars="200"/>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adjustRightInd w:val="0"/>
              <w:snapToGrid w:val="0"/>
              <w:spacing w:line="594" w:lineRule="exact"/>
              <w:ind w:firstLine="320" w:firstLineChars="200"/>
              <w:jc w:val="right"/>
              <w:rPr>
                <w:rFonts w:hint="default" w:cs="宋体"/>
                <w:color w:val="000000"/>
                <w:sz w:val="16"/>
                <w:szCs w:val="16"/>
              </w:rPr>
            </w:pPr>
          </w:p>
        </w:tc>
      </w:tr>
    </w:tbl>
    <w:p>
      <w:pPr>
        <w:adjustRightInd w:val="0"/>
        <w:snapToGrid w:val="0"/>
        <w:spacing w:line="594" w:lineRule="exact"/>
        <w:ind w:firstLine="360" w:firstLineChars="200"/>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文本框 2"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- 20 -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29 -</w:t>
                </w:r>
                <w: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JhYTMzYzczNDA1MDgyNDA2Mjg5NTZiNGM0ZTdjYTMifQ=="/>
  </w:docVars>
  <w:rsids>
    <w:rsidRoot w:val="00B03CCD"/>
    <w:rsid w:val="00006E61"/>
    <w:rsid w:val="00016BF7"/>
    <w:rsid w:val="000205CD"/>
    <w:rsid w:val="000239C6"/>
    <w:rsid w:val="000A430C"/>
    <w:rsid w:val="000A738D"/>
    <w:rsid w:val="000B3D89"/>
    <w:rsid w:val="000C6F89"/>
    <w:rsid w:val="000D7349"/>
    <w:rsid w:val="000E7A48"/>
    <w:rsid w:val="001318F7"/>
    <w:rsid w:val="00163A33"/>
    <w:rsid w:val="00174EB9"/>
    <w:rsid w:val="001776CA"/>
    <w:rsid w:val="00183878"/>
    <w:rsid w:val="00184F63"/>
    <w:rsid w:val="001C696E"/>
    <w:rsid w:val="001D3BB7"/>
    <w:rsid w:val="001E275C"/>
    <w:rsid w:val="00237FF0"/>
    <w:rsid w:val="00240F51"/>
    <w:rsid w:val="00246C1B"/>
    <w:rsid w:val="00262671"/>
    <w:rsid w:val="002762D9"/>
    <w:rsid w:val="0029608A"/>
    <w:rsid w:val="002A7DE2"/>
    <w:rsid w:val="002B254B"/>
    <w:rsid w:val="002B4C32"/>
    <w:rsid w:val="002E0D4F"/>
    <w:rsid w:val="0034050A"/>
    <w:rsid w:val="0034298D"/>
    <w:rsid w:val="00352B27"/>
    <w:rsid w:val="00374A7C"/>
    <w:rsid w:val="00391668"/>
    <w:rsid w:val="003B33C1"/>
    <w:rsid w:val="00407E91"/>
    <w:rsid w:val="0043793C"/>
    <w:rsid w:val="00442508"/>
    <w:rsid w:val="0044504F"/>
    <w:rsid w:val="00466C9B"/>
    <w:rsid w:val="00470EBE"/>
    <w:rsid w:val="00475B93"/>
    <w:rsid w:val="00486CFC"/>
    <w:rsid w:val="00491DDD"/>
    <w:rsid w:val="004B17E7"/>
    <w:rsid w:val="004C3D4D"/>
    <w:rsid w:val="004D1AE8"/>
    <w:rsid w:val="005445BD"/>
    <w:rsid w:val="00545291"/>
    <w:rsid w:val="00550ABE"/>
    <w:rsid w:val="00566A50"/>
    <w:rsid w:val="00572462"/>
    <w:rsid w:val="005736D7"/>
    <w:rsid w:val="005D2C42"/>
    <w:rsid w:val="00602807"/>
    <w:rsid w:val="006041F8"/>
    <w:rsid w:val="00623A85"/>
    <w:rsid w:val="0065709D"/>
    <w:rsid w:val="006B61DC"/>
    <w:rsid w:val="006C7FFA"/>
    <w:rsid w:val="006E06E7"/>
    <w:rsid w:val="00706BBF"/>
    <w:rsid w:val="007168EB"/>
    <w:rsid w:val="00764B66"/>
    <w:rsid w:val="00770383"/>
    <w:rsid w:val="00775AD5"/>
    <w:rsid w:val="007819D4"/>
    <w:rsid w:val="00793D4E"/>
    <w:rsid w:val="007B419D"/>
    <w:rsid w:val="007B7C4B"/>
    <w:rsid w:val="007C4CDC"/>
    <w:rsid w:val="007D0B5C"/>
    <w:rsid w:val="007D3D39"/>
    <w:rsid w:val="007D4B5D"/>
    <w:rsid w:val="007D787F"/>
    <w:rsid w:val="007F5290"/>
    <w:rsid w:val="007F6C24"/>
    <w:rsid w:val="00804D6D"/>
    <w:rsid w:val="00805BCF"/>
    <w:rsid w:val="00843A59"/>
    <w:rsid w:val="0085221C"/>
    <w:rsid w:val="00860601"/>
    <w:rsid w:val="00865002"/>
    <w:rsid w:val="008905A8"/>
    <w:rsid w:val="008D75A5"/>
    <w:rsid w:val="008E6451"/>
    <w:rsid w:val="008F3DAB"/>
    <w:rsid w:val="00907057"/>
    <w:rsid w:val="00915083"/>
    <w:rsid w:val="0092298C"/>
    <w:rsid w:val="0093421D"/>
    <w:rsid w:val="009555A9"/>
    <w:rsid w:val="00963A1C"/>
    <w:rsid w:val="0096494D"/>
    <w:rsid w:val="00984C6A"/>
    <w:rsid w:val="00994AF7"/>
    <w:rsid w:val="00994BBA"/>
    <w:rsid w:val="009B67B8"/>
    <w:rsid w:val="009C14C9"/>
    <w:rsid w:val="009D2B67"/>
    <w:rsid w:val="009E1452"/>
    <w:rsid w:val="009F1A7E"/>
    <w:rsid w:val="009F7BAC"/>
    <w:rsid w:val="00A33591"/>
    <w:rsid w:val="00A4674F"/>
    <w:rsid w:val="00A4762F"/>
    <w:rsid w:val="00A566F9"/>
    <w:rsid w:val="00A62EF5"/>
    <w:rsid w:val="00A66450"/>
    <w:rsid w:val="00AB36FC"/>
    <w:rsid w:val="00AC4267"/>
    <w:rsid w:val="00AC435C"/>
    <w:rsid w:val="00AE6A37"/>
    <w:rsid w:val="00AF2751"/>
    <w:rsid w:val="00AF4A4B"/>
    <w:rsid w:val="00B03CCD"/>
    <w:rsid w:val="00B232FA"/>
    <w:rsid w:val="00B62978"/>
    <w:rsid w:val="00B64256"/>
    <w:rsid w:val="00B73881"/>
    <w:rsid w:val="00B75D59"/>
    <w:rsid w:val="00B80558"/>
    <w:rsid w:val="00B857FC"/>
    <w:rsid w:val="00B96FE0"/>
    <w:rsid w:val="00BA1C25"/>
    <w:rsid w:val="00BE2B89"/>
    <w:rsid w:val="00BE6E07"/>
    <w:rsid w:val="00BE758C"/>
    <w:rsid w:val="00BF0D89"/>
    <w:rsid w:val="00BF49B1"/>
    <w:rsid w:val="00C0359A"/>
    <w:rsid w:val="00C057FB"/>
    <w:rsid w:val="00C10E9E"/>
    <w:rsid w:val="00C116C4"/>
    <w:rsid w:val="00C17162"/>
    <w:rsid w:val="00C20C3E"/>
    <w:rsid w:val="00C224B6"/>
    <w:rsid w:val="00C458AC"/>
    <w:rsid w:val="00C462C6"/>
    <w:rsid w:val="00C5163E"/>
    <w:rsid w:val="00C52777"/>
    <w:rsid w:val="00C634D7"/>
    <w:rsid w:val="00C867CA"/>
    <w:rsid w:val="00CB4DFC"/>
    <w:rsid w:val="00CC12F5"/>
    <w:rsid w:val="00CF2ACF"/>
    <w:rsid w:val="00D03AAF"/>
    <w:rsid w:val="00D16E60"/>
    <w:rsid w:val="00D31FD7"/>
    <w:rsid w:val="00D375E9"/>
    <w:rsid w:val="00D57AB7"/>
    <w:rsid w:val="00D82AB8"/>
    <w:rsid w:val="00D87F48"/>
    <w:rsid w:val="00D91C87"/>
    <w:rsid w:val="00D93047"/>
    <w:rsid w:val="00DA38B6"/>
    <w:rsid w:val="00DB7FD7"/>
    <w:rsid w:val="00DD0539"/>
    <w:rsid w:val="00E07662"/>
    <w:rsid w:val="00E1704D"/>
    <w:rsid w:val="00E3000F"/>
    <w:rsid w:val="00E368E9"/>
    <w:rsid w:val="00E7174F"/>
    <w:rsid w:val="00E7590F"/>
    <w:rsid w:val="00E90002"/>
    <w:rsid w:val="00E90656"/>
    <w:rsid w:val="00EC559A"/>
    <w:rsid w:val="00EE1E33"/>
    <w:rsid w:val="00EE511E"/>
    <w:rsid w:val="00EF06A3"/>
    <w:rsid w:val="00EF4BA2"/>
    <w:rsid w:val="00F0060D"/>
    <w:rsid w:val="00F0714B"/>
    <w:rsid w:val="00F40BEC"/>
    <w:rsid w:val="00F5520A"/>
    <w:rsid w:val="00F65998"/>
    <w:rsid w:val="00F73F90"/>
    <w:rsid w:val="00FA6DDA"/>
    <w:rsid w:val="00FB4B3B"/>
    <w:rsid w:val="00FC2164"/>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00497C"/>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7E20B6"/>
    <w:rsid w:val="1D992CC6"/>
    <w:rsid w:val="1DA52501"/>
    <w:rsid w:val="1DBD6767"/>
    <w:rsid w:val="1DC52125"/>
    <w:rsid w:val="1DD26311"/>
    <w:rsid w:val="1E374ACB"/>
    <w:rsid w:val="1ECF0A66"/>
    <w:rsid w:val="1EF67CA4"/>
    <w:rsid w:val="1F020D3A"/>
    <w:rsid w:val="1F2C5189"/>
    <w:rsid w:val="1F4B0B02"/>
    <w:rsid w:val="1FBB35CD"/>
    <w:rsid w:val="1FCD26AF"/>
    <w:rsid w:val="20642787"/>
    <w:rsid w:val="21312EF3"/>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B2647E"/>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AF2062"/>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C434D"/>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15246</Words>
  <Characters>25160</Characters>
  <Lines>215</Lines>
  <Paragraphs>60</Paragraphs>
  <TotalTime>54</TotalTime>
  <ScaleCrop>false</ScaleCrop>
  <LinksUpToDate>false</LinksUpToDate>
  <CharactersWithSpaces>25687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一身都是月</cp:lastModifiedBy>
  <dcterms:modified xsi:type="dcterms:W3CDTF">2025-12-18T02:01:21Z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BB46EABDBB2749749395447164B066B3_12</vt:lpwstr>
  </property>
  <property fmtid="{D5CDD505-2E9C-101B-9397-08002B2CF9AE}" pid="4" name="KSOTemplateDocerSaveRecord">
    <vt:lpwstr>eyJoZGlkIjoiYzg3YWQ3ZjdhMzgwZDlhY2E5ZWFiNWM2MWVlOWE4YTQiLCJ1c2VySWQiOiIyNzIzMjA1MzgifQ==</vt:lpwstr>
  </property>
</Properties>
</file>