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垫江县新民镇人民政府（本级）</w:t>
      </w:r>
    </w:p>
    <w:p>
      <w:pPr>
        <w:pStyle w:val="7"/>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一、单位基本情况</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（一）职能职责</w:t>
      </w:r>
    </w:p>
    <w:p>
      <w:pPr>
        <w:pStyle w:val="7"/>
        <w:spacing w:before="0" w:beforeAutospacing="0" w:after="0" w:afterAutospacing="0" w:line="597" w:lineRule="exact"/>
        <w:ind w:firstLine="640" w:firstLineChars="200"/>
        <w:rPr>
          <w:rFonts w:hint="default" w:ascii="Times New Roman" w:hAnsi="Times New Roman" w:eastAsia="方正仿宋_GBK" w:cs="宋体"/>
          <w:sz w:val="32"/>
          <w:szCs w:val="32"/>
        </w:rPr>
      </w:pPr>
      <w:r>
        <w:rPr>
          <w:rStyle w:val="11"/>
          <w:rFonts w:hint="eastAsia" w:ascii="方正仿宋_GBK" w:hAnsi="方正仿宋_GBK" w:eastAsia="方正仿宋_GBK" w:cs="方正仿宋_GBK"/>
          <w:b w:val="0"/>
          <w:bCs/>
          <w:sz w:val="32"/>
          <w:szCs w:val="32"/>
          <w:shd w:val="clear" w:color="auto" w:fill="FFFFFF"/>
          <w:lang w:val="en-US" w:eastAsia="zh-CN" w:bidi="ar-SA"/>
        </w:rPr>
        <w:t>1.</w:t>
      </w:r>
      <w:r>
        <w:rPr>
          <w:rFonts w:ascii="Times New Roman" w:hAnsi="Times New Roman" w:eastAsia="方正仿宋_GBK" w:cs="宋体"/>
          <w:sz w:val="32"/>
          <w:szCs w:val="32"/>
        </w:rPr>
        <w:t>加强基层党的建设。加强党的基层组织建设、夯实党在基层的执政根基，推动全面从严治党向基层延伸。</w:t>
      </w:r>
    </w:p>
    <w:p>
      <w:pPr>
        <w:pStyle w:val="7"/>
        <w:spacing w:before="0" w:beforeAutospacing="0" w:after="0" w:afterAutospacing="0" w:line="597" w:lineRule="exact"/>
        <w:ind w:firstLine="640" w:firstLineChars="200"/>
        <w:rPr>
          <w:rFonts w:hint="default" w:ascii="Times New Roman" w:hAnsi="Times New Roman" w:eastAsia="方正仿宋_GBK" w:cs="宋体"/>
          <w:sz w:val="32"/>
          <w:szCs w:val="32"/>
        </w:rPr>
      </w:pPr>
      <w:r>
        <w:rPr>
          <w:rStyle w:val="11"/>
          <w:rFonts w:hint="eastAsia" w:ascii="方正仿宋_GBK" w:hAnsi="方正仿宋_GBK" w:eastAsia="方正仿宋_GBK" w:cs="方正仿宋_GBK"/>
          <w:b w:val="0"/>
          <w:bCs/>
          <w:sz w:val="32"/>
          <w:szCs w:val="32"/>
          <w:shd w:val="clear" w:color="auto" w:fill="FFFFFF"/>
          <w:lang w:val="en-US" w:eastAsia="zh-CN" w:bidi="ar-SA"/>
        </w:rPr>
        <w:t>2.</w:t>
      </w:r>
      <w:r>
        <w:rPr>
          <w:rFonts w:ascii="Times New Roman" w:hAnsi="Times New Roman" w:eastAsia="方正仿宋_GBK" w:cs="宋体"/>
          <w:sz w:val="32"/>
          <w:szCs w:val="32"/>
        </w:rPr>
        <w:t>强化服务管理职能。强化企业投资、规划建设、城镇管理、环境保护、安全生</w:t>
      </w:r>
      <w:r>
        <w:rPr>
          <w:rFonts w:hint="default" w:ascii="Times New Roman" w:hAnsi="Times New Roman" w:eastAsia="方正仿宋_GBK" w:cs="宋体"/>
          <w:sz w:val="32"/>
          <w:szCs w:val="32"/>
        </w:rPr>
        <w:t>产、农业发展、农村经营管理、生态建设、防灾减灾、扶贫济困等方面的服务管理职能。</w:t>
      </w:r>
    </w:p>
    <w:p>
      <w:pPr>
        <w:pStyle w:val="7"/>
        <w:spacing w:before="0" w:beforeAutospacing="0" w:after="0" w:afterAutospacing="0" w:line="597" w:lineRule="exact"/>
        <w:ind w:firstLine="640" w:firstLineChars="200"/>
        <w:rPr>
          <w:rFonts w:hint="default" w:ascii="Times New Roman" w:hAnsi="Times New Roman" w:eastAsia="方正仿宋_GBK" w:cs="宋体"/>
          <w:sz w:val="32"/>
          <w:szCs w:val="32"/>
        </w:rPr>
      </w:pPr>
      <w:r>
        <w:rPr>
          <w:rStyle w:val="11"/>
          <w:rFonts w:hint="default" w:ascii="方正仿宋_GBK" w:hAnsi="方正仿宋_GBK" w:eastAsia="方正仿宋_GBK" w:cs="方正仿宋_GBK"/>
          <w:b w:val="0"/>
          <w:bCs/>
          <w:sz w:val="32"/>
          <w:szCs w:val="32"/>
          <w:shd w:val="clear" w:color="auto" w:fill="FFFFFF"/>
          <w:lang w:val="en-US" w:eastAsia="zh-CN" w:bidi="ar-SA"/>
        </w:rPr>
        <w:t>3.</w:t>
      </w:r>
      <w:r>
        <w:rPr>
          <w:rFonts w:hint="default" w:ascii="Times New Roman" w:hAnsi="Times New Roman" w:eastAsia="方正仿宋_GBK" w:cs="宋体"/>
          <w:sz w:val="32"/>
          <w:szCs w:val="32"/>
        </w:rPr>
        <w:t>提高审批服务便民化</w:t>
      </w:r>
      <w:r>
        <w:rPr>
          <w:rFonts w:ascii="Times New Roman" w:hAnsi="Times New Roman" w:eastAsia="方正仿宋_GBK" w:cs="宋体"/>
          <w:sz w:val="32"/>
          <w:szCs w:val="32"/>
        </w:rPr>
        <w:t>水平。推进审批服务标准化，着力提升“互联网+政务服务”能力。</w:t>
      </w:r>
    </w:p>
    <w:p>
      <w:pPr>
        <w:pStyle w:val="7"/>
        <w:spacing w:before="0" w:beforeAutospacing="0" w:after="0" w:afterAutospacing="0" w:line="597" w:lineRule="exact"/>
        <w:ind w:firstLine="640" w:firstLineChars="200"/>
        <w:rPr>
          <w:rFonts w:hint="default" w:ascii="Times New Roman" w:hAnsi="Times New Roman" w:eastAsia="方正仿宋_GBK" w:cs="宋体"/>
          <w:sz w:val="32"/>
          <w:szCs w:val="32"/>
        </w:rPr>
      </w:pPr>
      <w:r>
        <w:rPr>
          <w:rStyle w:val="11"/>
          <w:rFonts w:hint="default" w:ascii="方正仿宋_GBK" w:hAnsi="方正仿宋_GBK" w:eastAsia="方正仿宋_GBK" w:cs="方正仿宋_GBK"/>
          <w:b w:val="0"/>
          <w:bCs/>
          <w:sz w:val="32"/>
          <w:szCs w:val="32"/>
          <w:shd w:val="clear" w:color="auto" w:fill="FFFFFF"/>
          <w:lang w:val="en-US" w:eastAsia="zh-CN" w:bidi="ar-SA"/>
        </w:rPr>
        <w:t>4.</w:t>
      </w:r>
      <w:r>
        <w:rPr>
          <w:rFonts w:ascii="Times New Roman" w:hAnsi="Times New Roman" w:eastAsia="方正仿宋_GBK" w:cs="宋体"/>
          <w:sz w:val="32"/>
          <w:szCs w:val="32"/>
        </w:rPr>
        <w:t>推进综合行政执法。集中行使依法授权或委托的农林水利、规划建设、环境保护、卫生健康、市容环卫、文化旅游、民政管理、消防等领域的行政执法权。加强综合行政执法队伍建设，实行综合行政执法。</w:t>
      </w:r>
    </w:p>
    <w:p>
      <w:pPr>
        <w:pStyle w:val="7"/>
        <w:spacing w:before="0" w:beforeAutospacing="0" w:after="0" w:afterAutospacing="0" w:line="597" w:lineRule="exact"/>
        <w:ind w:firstLine="643" w:firstLineChars="200"/>
        <w:rPr>
          <w:rStyle w:val="11"/>
          <w:rFonts w:hint="default" w:ascii="楷体" w:hAnsi="楷体" w:eastAsia="楷体" w:cs="楷体"/>
          <w:sz w:val="32"/>
          <w:szCs w:val="32"/>
          <w:shd w:val="clear" w:color="auto" w:fill="FFFFFF"/>
        </w:rPr>
      </w:pPr>
      <w:r>
        <w:rPr>
          <w:rStyle w:val="11"/>
          <w:rFonts w:ascii="楷体" w:hAnsi="楷体" w:eastAsia="楷体" w:cs="楷体"/>
          <w:sz w:val="32"/>
          <w:szCs w:val="32"/>
          <w:shd w:val="clear" w:color="auto" w:fill="FFFFFF"/>
        </w:rPr>
        <w:t>（二）机构设置</w:t>
      </w:r>
    </w:p>
    <w:p>
      <w:pPr>
        <w:pStyle w:val="7"/>
        <w:spacing w:before="0" w:beforeAutospacing="0" w:after="0" w:afterAutospacing="0" w:line="597" w:lineRule="exact"/>
        <w:ind w:firstLine="640" w:firstLineChars="200"/>
        <w:rPr>
          <w:rFonts w:hint="default" w:ascii="楷体" w:hAnsi="楷体" w:eastAsia="楷体" w:cs="楷体"/>
          <w:sz w:val="32"/>
          <w:szCs w:val="32"/>
        </w:rPr>
      </w:pPr>
      <w:r>
        <w:rPr>
          <w:rFonts w:ascii="Times New Roman" w:hAnsi="Times New Roman" w:eastAsia="方正仿宋_GBK" w:cs="宋体"/>
          <w:sz w:val="32"/>
          <w:szCs w:val="32"/>
        </w:rPr>
        <w:t>共设置党委、政府综合办事机</w:t>
      </w:r>
      <w:r>
        <w:rPr>
          <w:rFonts w:ascii="方正仿宋_GBK" w:hAnsi="方正仿宋_GBK" w:eastAsia="方正仿宋_GBK" w:cs="方正仿宋_GBK"/>
          <w:sz w:val="32"/>
          <w:szCs w:val="32"/>
          <w:shd w:val="clear" w:color="auto" w:fill="FFFFFF"/>
        </w:rPr>
        <w:t>构10个，（党政办公室、党群工作办公室、人大办公室、经济发展办公室、财政办公室、民政和社会事务办公室、平安建设办公室</w:t>
      </w:r>
      <w:r>
        <w:rPr>
          <w:rFonts w:ascii="Times New Roman" w:hAnsi="Times New Roman" w:eastAsia="方正仿宋_GBK"/>
          <w:sz w:val="32"/>
          <w:szCs w:val="32"/>
        </w:rPr>
        <w:t>、规划建设管理环保办公室、应急管理办公室、综合行政执法办公室）</w:t>
      </w:r>
    </w:p>
    <w:p>
      <w:pPr>
        <w:pStyle w:val="7"/>
        <w:shd w:val="clear" w:color="auto" w:fill="FFFFFF"/>
        <w:rPr>
          <w:rFonts w:hint="default" w:ascii="方正仿宋_GBK" w:hAnsi="方正仿宋_GBK" w:eastAsia="方正仿宋_GBK" w:cs="方正仿宋_GBK"/>
          <w:sz w:val="32"/>
          <w:szCs w:val="32"/>
        </w:rPr>
      </w:pPr>
    </w:p>
    <w:p>
      <w:pPr>
        <w:pStyle w:val="7"/>
        <w:shd w:val="clear" w:color="auto" w:fill="FFFFFF"/>
        <w:rPr>
          <w:rFonts w:hint="default" w:ascii="黑体" w:hAnsi="黑体" w:eastAsia="黑体" w:cs="黑体"/>
          <w:b/>
          <w:sz w:val="32"/>
          <w:szCs w:val="32"/>
          <w:shd w:val="clear" w:color="auto" w:fill="FFFFFF"/>
        </w:rPr>
      </w:pPr>
      <w:r>
        <w:rPr>
          <w:rStyle w:val="11"/>
          <w:rFonts w:ascii="黑体" w:hAnsi="黑体" w:eastAsia="黑体" w:cs="黑体"/>
          <w:sz w:val="32"/>
          <w:szCs w:val="32"/>
          <w:shd w:val="clear" w:color="auto" w:fill="FFFFFF"/>
        </w:rPr>
        <w:t>二、部门决算情况说明</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2023年度收入总计4358.58万元，支出总计</w:t>
      </w:r>
      <w:r>
        <w:rPr>
          <w:rFonts w:ascii="方正仿宋_GBK" w:hAnsi="方正仿宋_GBK" w:eastAsia="方正仿宋_GBK" w:cs="方正仿宋_GBK"/>
          <w:sz w:val="32"/>
          <w:szCs w:val="32"/>
        </w:rPr>
        <w:t>4358.58</w:t>
      </w:r>
      <w:r>
        <w:rPr>
          <w:rFonts w:ascii="方正仿宋_GBK" w:hAnsi="方正仿宋_GBK" w:eastAsia="方正仿宋_GBK" w:cs="方正仿宋_GBK"/>
          <w:sz w:val="32"/>
          <w:szCs w:val="32"/>
          <w:shd w:val="clear" w:color="auto" w:fill="FFFFFF"/>
        </w:rPr>
        <w:t>万元。收支较上年决算数增加109.95万元，增长2.59%，主要原因是使用乡村振兴试验示范重点镇村建设项目存量资金2</w:t>
      </w:r>
      <w:r>
        <w:rPr>
          <w:rFonts w:hint="default" w:ascii="方正仿宋_GBK" w:hAnsi="方正仿宋_GBK" w:eastAsia="方正仿宋_GBK" w:cs="方正仿宋_GBK"/>
          <w:sz w:val="32"/>
          <w:szCs w:val="32"/>
          <w:shd w:val="clear" w:color="auto" w:fill="FFFFFF"/>
        </w:rPr>
        <w:t>80</w:t>
      </w:r>
      <w:r>
        <w:rPr>
          <w:rFonts w:ascii="方正仿宋_GBK" w:hAnsi="方正仿宋_GBK" w:eastAsia="方正仿宋_GBK" w:cs="方正仿宋_GBK"/>
          <w:sz w:val="32"/>
          <w:szCs w:val="32"/>
          <w:shd w:val="clear" w:color="auto" w:fill="FFFFFF"/>
        </w:rPr>
        <w:t>万元，并全部支出完成。</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2023年度收入合计4071.58万元，较上年决算数减少99.07万元，下降2.38%，主要原因是</w:t>
      </w:r>
      <w:r>
        <w:rPr>
          <w:rFonts w:hint="default" w:ascii="方正仿宋_GBK" w:hAnsi="方正仿宋_GBK" w:eastAsia="方正仿宋_GBK" w:cs="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政府性基金预算财政拨款</w:t>
      </w:r>
      <w:r>
        <w:rPr>
          <w:rFonts w:ascii="方正仿宋_GBK" w:hAnsi="方正仿宋_GBK" w:eastAsia="方正仿宋_GBK" w:cs="方正仿宋_GBK"/>
          <w:sz w:val="32"/>
          <w:szCs w:val="32"/>
          <w:shd w:val="clear" w:color="auto" w:fill="FFFFFF"/>
        </w:rPr>
        <w:t>减少。其中：财政拨款收入</w:t>
      </w:r>
      <w:r>
        <w:rPr>
          <w:rFonts w:ascii="方正仿宋_GBK" w:hAnsi="方正仿宋_GBK" w:eastAsia="方正仿宋_GBK" w:cs="方正仿宋_GBK"/>
          <w:sz w:val="32"/>
          <w:szCs w:val="32"/>
        </w:rPr>
        <w:t>4071.58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287.00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4358.58</w:t>
      </w:r>
      <w:r>
        <w:rPr>
          <w:rFonts w:ascii="方正仿宋_GBK" w:hAnsi="方正仿宋_GBK" w:eastAsia="方正仿宋_GBK" w:cs="方正仿宋_GBK"/>
          <w:sz w:val="32"/>
          <w:szCs w:val="32"/>
          <w:shd w:val="clear" w:color="auto" w:fill="FFFFFF"/>
        </w:rPr>
        <w:t>万元，较上年决算数增加109.95万元，增长2.59%，主要原因是使用乡村振兴试验示范重点镇村建设项目存量资金2</w:t>
      </w:r>
      <w:r>
        <w:rPr>
          <w:rFonts w:hint="default" w:ascii="方正仿宋_GBK" w:hAnsi="方正仿宋_GBK" w:eastAsia="方正仿宋_GBK" w:cs="方正仿宋_GBK"/>
          <w:sz w:val="32"/>
          <w:szCs w:val="32"/>
          <w:shd w:val="clear" w:color="auto" w:fill="FFFFFF"/>
        </w:rPr>
        <w:t>80</w:t>
      </w:r>
      <w:r>
        <w:rPr>
          <w:rFonts w:ascii="方正仿宋_GBK" w:hAnsi="方正仿宋_GBK" w:eastAsia="方正仿宋_GBK" w:cs="方正仿宋_GBK"/>
          <w:sz w:val="32"/>
          <w:szCs w:val="32"/>
          <w:shd w:val="clear" w:color="auto" w:fill="FFFFFF"/>
        </w:rPr>
        <w:t>万元，并全部支出完成。其中：基本支出</w:t>
      </w:r>
      <w:r>
        <w:rPr>
          <w:rFonts w:ascii="方正仿宋_GBK" w:hAnsi="方正仿宋_GBK" w:eastAsia="方正仿宋_GBK" w:cs="方正仿宋_GBK"/>
          <w:sz w:val="32"/>
          <w:szCs w:val="32"/>
        </w:rPr>
        <w:t>1541.26</w:t>
      </w:r>
      <w:r>
        <w:rPr>
          <w:rFonts w:ascii="方正仿宋_GBK" w:hAnsi="方正仿宋_GBK" w:eastAsia="方正仿宋_GBK" w:cs="方正仿宋_GBK"/>
          <w:sz w:val="32"/>
          <w:szCs w:val="32"/>
          <w:shd w:val="clear" w:color="auto" w:fill="FFFFFF"/>
        </w:rPr>
        <w:t>万元，占35.36%；项目支出</w:t>
      </w:r>
      <w:r>
        <w:rPr>
          <w:rFonts w:ascii="方正仿宋_GBK" w:hAnsi="方正仿宋_GBK" w:eastAsia="方正仿宋_GBK" w:cs="方正仿宋_GBK"/>
          <w:sz w:val="32"/>
          <w:szCs w:val="32"/>
        </w:rPr>
        <w:t>2817.32</w:t>
      </w:r>
      <w:r>
        <w:rPr>
          <w:rFonts w:ascii="方正仿宋_GBK" w:hAnsi="方正仿宋_GBK" w:eastAsia="方正仿宋_GBK" w:cs="方正仿宋_GBK"/>
          <w:sz w:val="32"/>
          <w:szCs w:val="32"/>
          <w:shd w:val="clear" w:color="auto" w:fill="FFFFFF"/>
        </w:rPr>
        <w:t>万元，占64.64%；经营支出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万元，较上年决算数无增减，主要原因是本年无变化，</w:t>
      </w:r>
      <w:r>
        <w:rPr>
          <w:rFonts w:ascii="Times New Roman" w:hAnsi="Times New Roman" w:eastAsia="方正仿宋_GBK"/>
          <w:sz w:val="32"/>
          <w:szCs w:val="32"/>
          <w:shd w:val="clear" w:color="auto" w:fill="FFFFFF"/>
        </w:rPr>
        <w:t>主要原因是本年度与上年度均无结转结余</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2023年度财政拨款收、支总计4358.58万元。与2022年相比，财政拨款收、支总计各增加111.18万元，增长2.62%。主要原因是使用乡村振兴试验示范重点镇村建设项目存量资金2</w:t>
      </w:r>
      <w:r>
        <w:rPr>
          <w:rFonts w:hint="default" w:ascii="方正仿宋_GBK" w:hAnsi="方正仿宋_GBK" w:eastAsia="方正仿宋_GBK" w:cs="方正仿宋_GBK"/>
          <w:sz w:val="32"/>
          <w:szCs w:val="32"/>
          <w:shd w:val="clear" w:color="auto" w:fill="FFFFFF"/>
        </w:rPr>
        <w:t>80</w:t>
      </w:r>
      <w:r>
        <w:rPr>
          <w:rFonts w:ascii="方正仿宋_GBK" w:hAnsi="方正仿宋_GBK" w:eastAsia="方正仿宋_GBK" w:cs="方正仿宋_GBK"/>
          <w:sz w:val="32"/>
          <w:szCs w:val="32"/>
          <w:shd w:val="clear" w:color="auto" w:fill="FFFFFF"/>
        </w:rPr>
        <w:t>万元，并全部支出完成。</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4056.37</w:t>
      </w:r>
      <w:r>
        <w:rPr>
          <w:rFonts w:ascii="方正仿宋_GBK" w:hAnsi="方正仿宋_GBK" w:eastAsia="方正仿宋_GBK" w:cs="方正仿宋_GBK"/>
          <w:sz w:val="32"/>
          <w:szCs w:val="32"/>
          <w:shd w:val="clear" w:color="auto" w:fill="FFFFFF"/>
        </w:rPr>
        <w:t>万元，较上年决算数增加5.64万元，增长0.14%。主要原因是</w:t>
      </w:r>
      <w:r>
        <w:rPr>
          <w:rFonts w:hint="default" w:ascii="方正仿宋_GBK" w:hAnsi="方正仿宋_GBK" w:eastAsia="方正仿宋_GBK" w:cs="方正仿宋_GBK"/>
          <w:sz w:val="32"/>
          <w:szCs w:val="32"/>
          <w:shd w:val="clear" w:color="auto" w:fill="FFFFFF"/>
        </w:rPr>
        <w:t>2023年项目较多，项目拨款较多。</w:t>
      </w:r>
      <w:r>
        <w:rPr>
          <w:rFonts w:ascii="方正仿宋_GBK" w:hAnsi="方正仿宋_GBK" w:eastAsia="方正仿宋_GBK" w:cs="方正仿宋_GBK"/>
          <w:sz w:val="32"/>
          <w:szCs w:val="32"/>
          <w:shd w:val="clear" w:color="auto" w:fill="FFFFFF"/>
        </w:rPr>
        <w:t>较年初预算数增加1785.70万元，增长78.64%。主要原因是年中追加项目款较多。此外，年初财政拨款结转和结余287.00万元。</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4343.37</w:t>
      </w:r>
      <w:r>
        <w:rPr>
          <w:rFonts w:ascii="方正仿宋_GBK" w:hAnsi="方正仿宋_GBK" w:eastAsia="方正仿宋_GBK" w:cs="方正仿宋_GBK"/>
          <w:sz w:val="32"/>
          <w:szCs w:val="32"/>
          <w:shd w:val="clear" w:color="auto" w:fill="FFFFFF"/>
        </w:rPr>
        <w:t>万元，较上年决算数增加215.88万元，增长5.23%。主要原因是使用乡村振兴试验示范重点镇村建设项目存量资金2</w:t>
      </w:r>
      <w:r>
        <w:rPr>
          <w:rFonts w:hint="default" w:ascii="方正仿宋_GBK" w:hAnsi="方正仿宋_GBK" w:eastAsia="方正仿宋_GBK" w:cs="方正仿宋_GBK"/>
          <w:sz w:val="32"/>
          <w:szCs w:val="32"/>
          <w:shd w:val="clear" w:color="auto" w:fill="FFFFFF"/>
        </w:rPr>
        <w:t>80</w:t>
      </w:r>
      <w:r>
        <w:rPr>
          <w:rFonts w:ascii="方正仿宋_GBK" w:hAnsi="方正仿宋_GBK" w:eastAsia="方正仿宋_GBK" w:cs="方正仿宋_GBK"/>
          <w:sz w:val="32"/>
          <w:szCs w:val="32"/>
          <w:shd w:val="clear" w:color="auto" w:fill="FFFFFF"/>
        </w:rPr>
        <w:t>万元，并全部支出完成。较年初预算数增加2072.70万元，增长91.28%。主要原因是年中追加项目款较多。</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Times New Roman" w:hAnsi="Times New Roman" w:eastAsia="方正仿宋_GBK"/>
          <w:sz w:val="32"/>
          <w:szCs w:val="32"/>
          <w:shd w:val="clear" w:color="auto" w:fill="FFFFFF"/>
        </w:rPr>
        <w:t>主要原因是本年度与上年度均无结转结余</w:t>
      </w:r>
      <w:r>
        <w:rPr>
          <w:rFonts w:ascii="方正仿宋_GBK" w:hAnsi="方正仿宋_GBK" w:eastAsia="方正仿宋_GBK" w:cs="方正仿宋_GBK"/>
          <w:sz w:val="32"/>
          <w:szCs w:val="32"/>
          <w:shd w:val="clear" w:color="auto" w:fill="FFFFFF"/>
        </w:rPr>
        <w:t>。</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1077.46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24.81</w:t>
      </w:r>
      <w:r>
        <w:rPr>
          <w:rFonts w:ascii="方正仿宋_GBK" w:hAnsi="方正仿宋_GBK" w:eastAsia="方正仿宋_GBK" w:cs="方正仿宋_GBK"/>
          <w:sz w:val="32"/>
          <w:szCs w:val="32"/>
          <w:shd w:val="clear" w:color="auto" w:fill="FFFFFF"/>
        </w:rPr>
        <w:t>%，较年初预算数增加199.17万元，增长22.68%，主要原因财政追加</w:t>
      </w:r>
      <w:r>
        <w:rPr>
          <w:rFonts w:ascii="方正仿宋_GBK" w:hAnsi="方正仿宋_GBK" w:eastAsia="方正仿宋_GBK" w:cs="方正仿宋_GBK"/>
          <w:sz w:val="30"/>
          <w:szCs w:val="30"/>
        </w:rPr>
        <w:t>2021年度公务员绩效奖金精算补发预算、2022年公务员年度考核奖预算等人员经费；追加第五次全国经济普查、食品药品安全协管员补助资金、老党员生活补贴、限上企业（个体）发展奖励等项目经费。</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）公共安全支出</w:t>
      </w:r>
      <w:r>
        <w:rPr>
          <w:rFonts w:ascii="方正仿宋_GBK" w:hAnsi="方正仿宋_GBK" w:eastAsia="方正仿宋_GBK" w:cs="方正仿宋_GBK"/>
          <w:sz w:val="32"/>
          <w:szCs w:val="32"/>
        </w:rPr>
        <w:t>102.68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2.36</w:t>
      </w:r>
      <w:r>
        <w:rPr>
          <w:rFonts w:ascii="方正仿宋_GBK" w:hAnsi="方正仿宋_GBK" w:eastAsia="方正仿宋_GBK" w:cs="方正仿宋_GBK"/>
          <w:sz w:val="32"/>
          <w:szCs w:val="32"/>
          <w:shd w:val="clear" w:color="auto" w:fill="FFFFFF"/>
        </w:rPr>
        <w:t>%，较年初预算数增加102.68万元，增长100.00%，主要原因是</w:t>
      </w:r>
      <w:r>
        <w:rPr>
          <w:rFonts w:ascii="Times New Roman" w:hAnsi="Times New Roman" w:eastAsia="方正仿宋_GBK"/>
          <w:sz w:val="32"/>
          <w:szCs w:val="32"/>
        </w:rPr>
        <w:t>财政追加</w:t>
      </w:r>
      <w:r>
        <w:rPr>
          <w:rFonts w:ascii="方正仿宋_GBK" w:hAnsi="方正仿宋_GBK" w:eastAsia="方正仿宋_GBK" w:cs="方正仿宋_GBK"/>
          <w:sz w:val="32"/>
          <w:szCs w:val="32"/>
        </w:rPr>
        <w:t>农村交通安全劝导站劝导员工资、基层治理平安及法治建设资金</w:t>
      </w:r>
      <w:r>
        <w:rPr>
          <w:rFonts w:ascii="Times New Roman" w:hAnsi="Times New Roman" w:eastAsia="方正仿宋_GBK"/>
          <w:sz w:val="32"/>
          <w:szCs w:val="32"/>
        </w:rPr>
        <w:t>。</w:t>
      </w:r>
    </w:p>
    <w:p>
      <w:pPr>
        <w:pStyle w:val="7"/>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7.02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0.16</w:t>
      </w:r>
      <w:r>
        <w:rPr>
          <w:rFonts w:ascii="方正仿宋_GBK" w:hAnsi="方正仿宋_GBK" w:eastAsia="方正仿宋_GBK" w:cs="方正仿宋_GBK"/>
          <w:sz w:val="32"/>
          <w:szCs w:val="32"/>
          <w:shd w:val="clear" w:color="auto" w:fill="FFFFFF"/>
        </w:rPr>
        <w:t>%，较年初预算数增加7.02万元，增长100.00%，主要原因是</w:t>
      </w:r>
      <w:r>
        <w:rPr>
          <w:rFonts w:ascii="Times New Roman" w:hAnsi="Times New Roman" w:eastAsia="方正仿宋_GBK"/>
          <w:sz w:val="32"/>
          <w:szCs w:val="32"/>
        </w:rPr>
        <w:t>财政</w:t>
      </w:r>
      <w:r>
        <w:rPr>
          <w:rFonts w:ascii="方正仿宋_GBK" w:hAnsi="方正仿宋_GBK" w:eastAsia="方正仿宋_GBK" w:cs="方正仿宋_GBK"/>
          <w:sz w:val="32"/>
          <w:szCs w:val="32"/>
        </w:rPr>
        <w:t>追加公共图书馆、美术馆、文化馆（站）免费开发补助资金。</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297.92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6.86</w:t>
      </w:r>
      <w:r>
        <w:rPr>
          <w:rFonts w:ascii="方正仿宋_GBK" w:hAnsi="方正仿宋_GBK" w:eastAsia="方正仿宋_GBK" w:cs="方正仿宋_GBK"/>
          <w:sz w:val="32"/>
          <w:szCs w:val="32"/>
          <w:shd w:val="clear" w:color="auto" w:fill="FFFFFF"/>
        </w:rPr>
        <w:t>%，较年初预算数增加107.78万元，增长56.68%，主要原因是</w:t>
      </w:r>
      <w:r>
        <w:rPr>
          <w:rFonts w:ascii="Times New Roman" w:hAnsi="Times New Roman" w:eastAsia="方正仿宋_GBK"/>
          <w:sz w:val="32"/>
          <w:szCs w:val="32"/>
        </w:rPr>
        <w:t>财政追加退役军人补助、养老中心站点运行费用、</w:t>
      </w:r>
      <w:r>
        <w:rPr>
          <w:rFonts w:ascii="方正仿宋_GBK" w:hAnsi="方正仿宋_GBK" w:eastAsia="方正仿宋_GBK" w:cs="方正仿宋_GBK"/>
          <w:sz w:val="32"/>
          <w:szCs w:val="32"/>
          <w:shd w:val="clear" w:color="auto" w:fill="FFFFFF"/>
        </w:rPr>
        <w:t>残疾人事业发展经费、困难群众救助补助资金</w:t>
      </w:r>
      <w:r>
        <w:rPr>
          <w:rFonts w:ascii="Times New Roman" w:hAnsi="Times New Roman" w:eastAsia="方正仿宋_GBK"/>
          <w:sz w:val="32"/>
          <w:szCs w:val="32"/>
        </w:rPr>
        <w:t>。</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67.96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1.56</w:t>
      </w:r>
      <w:r>
        <w:rPr>
          <w:rFonts w:ascii="方正仿宋_GBK" w:hAnsi="方正仿宋_GBK" w:eastAsia="方正仿宋_GBK" w:cs="方正仿宋_GBK"/>
          <w:sz w:val="32"/>
          <w:szCs w:val="32"/>
          <w:shd w:val="clear" w:color="auto" w:fill="FFFFFF"/>
        </w:rPr>
        <w:t>%，较年初预算数增加39.56万元，增长139.30%，主要原因是</w:t>
      </w:r>
      <w:r>
        <w:rPr>
          <w:rFonts w:ascii="Times New Roman" w:hAnsi="Times New Roman" w:eastAsia="方正仿宋_GBK"/>
          <w:sz w:val="32"/>
          <w:szCs w:val="32"/>
        </w:rPr>
        <w:t>财政追加</w:t>
      </w:r>
      <w:r>
        <w:rPr>
          <w:rFonts w:ascii="方正仿宋_GBK" w:hAnsi="方正仿宋_GBK" w:eastAsia="方正仿宋_GBK" w:cs="方正仿宋_GBK"/>
          <w:sz w:val="32"/>
          <w:szCs w:val="32"/>
          <w:shd w:val="clear" w:color="auto" w:fill="FFFFFF"/>
        </w:rPr>
        <w:t>严重精神障碍患者监护人以奖代补、计划生育特殊家庭节日走访慰问、优抚对象医疗补助、居民医保参保工作经费。</w:t>
      </w:r>
    </w:p>
    <w:p>
      <w:pPr>
        <w:pStyle w:val="7"/>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6</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%，较年初预算数减少66.00万元，下降100.00%，主要原因是</w:t>
      </w:r>
      <w:r>
        <w:rPr>
          <w:rFonts w:ascii="方正仿宋_GBK" w:hAnsi="方正仿宋_GBK" w:eastAsia="方正仿宋_GBK" w:cs="方正仿宋_GBK"/>
          <w:sz w:val="32"/>
          <w:szCs w:val="32"/>
        </w:rPr>
        <w:t>2023年场镇保洁费第四季度及尾款等资金未支付。</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7</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2108.50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48.55</w:t>
      </w:r>
      <w:r>
        <w:rPr>
          <w:rFonts w:ascii="方正仿宋_GBK" w:hAnsi="方正仿宋_GBK" w:eastAsia="方正仿宋_GBK" w:cs="方正仿宋_GBK"/>
          <w:sz w:val="32"/>
          <w:szCs w:val="32"/>
          <w:shd w:val="clear" w:color="auto" w:fill="FFFFFF"/>
        </w:rPr>
        <w:t>%，较年初预算数增加1073.79万元，增长103.78%，主要原因是</w:t>
      </w:r>
      <w:r>
        <w:rPr>
          <w:rFonts w:ascii="Times New Roman" w:hAnsi="Times New Roman" w:eastAsia="方正仿宋_GBK"/>
          <w:sz w:val="32"/>
          <w:szCs w:val="32"/>
        </w:rPr>
        <w:t>增加水利、森林资源培育、乡村振兴试验示范重点镇村建设、村级公益事业建设等项目支出。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8</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224.12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5.16</w:t>
      </w:r>
      <w:r>
        <w:rPr>
          <w:rFonts w:ascii="方正仿宋_GBK" w:hAnsi="方正仿宋_GBK" w:eastAsia="方正仿宋_GBK" w:cs="方正仿宋_GBK"/>
          <w:sz w:val="32"/>
          <w:szCs w:val="32"/>
          <w:shd w:val="clear" w:color="auto" w:fill="FFFFFF"/>
        </w:rPr>
        <w:t>%，较年初预算数增加224.12万元，增长100.00%，主要原因是</w:t>
      </w:r>
      <w:r>
        <w:rPr>
          <w:rFonts w:ascii="Times New Roman" w:hAnsi="Times New Roman" w:eastAsia="方正仿宋_GBK"/>
          <w:sz w:val="32"/>
          <w:szCs w:val="32"/>
        </w:rPr>
        <w:t>财政追加公路等基础设施建设、农村公路养护补助等项目支出。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（9）资源勘探信息等支出</w:t>
      </w:r>
      <w:r>
        <w:rPr>
          <w:rFonts w:ascii="方正仿宋_GBK" w:hAnsi="方正仿宋_GBK" w:eastAsia="方正仿宋_GBK" w:cs="方正仿宋_GBK"/>
          <w:sz w:val="32"/>
          <w:szCs w:val="32"/>
        </w:rPr>
        <w:t>354.00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8.15</w:t>
      </w:r>
      <w:r>
        <w:rPr>
          <w:rFonts w:ascii="方正仿宋_GBK" w:hAnsi="方正仿宋_GBK" w:eastAsia="方正仿宋_GBK" w:cs="方正仿宋_GBK"/>
          <w:sz w:val="32"/>
          <w:szCs w:val="32"/>
          <w:shd w:val="clear" w:color="auto" w:fill="FFFFFF"/>
        </w:rPr>
        <w:t>%，较年初预算数增加344.00万元，增长3440.00%，主要原因是</w:t>
      </w:r>
      <w:r>
        <w:rPr>
          <w:rFonts w:ascii="Times New Roman" w:hAnsi="Times New Roman" w:eastAsia="方正仿宋_GBK"/>
          <w:sz w:val="32"/>
          <w:szCs w:val="32"/>
        </w:rPr>
        <w:t>对中小企业发展扶持的费用补贴。</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住房保障支出80.14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1.85</w:t>
      </w:r>
      <w:r>
        <w:rPr>
          <w:rFonts w:ascii="方正仿宋_GBK" w:hAnsi="方正仿宋_GBK" w:eastAsia="方正仿宋_GBK" w:cs="方正仿宋_GBK"/>
          <w:sz w:val="32"/>
          <w:szCs w:val="32"/>
          <w:shd w:val="clear" w:color="auto" w:fill="FFFFFF"/>
        </w:rPr>
        <w:t>%，较年初预算数增加23.38万元，增长41.19%，主要原因是</w:t>
      </w:r>
      <w:r>
        <w:rPr>
          <w:rFonts w:ascii="Times New Roman" w:hAnsi="Times New Roman" w:eastAsia="方正仿宋_GBK"/>
          <w:sz w:val="32"/>
          <w:szCs w:val="32"/>
        </w:rPr>
        <w:t>财政追加农村危房改造项目支出、职工住房公积金基数调增。</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11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灾害防治及应急管理支出23.57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0.54</w:t>
      </w:r>
      <w:r>
        <w:rPr>
          <w:rFonts w:ascii="方正仿宋_GBK" w:hAnsi="方正仿宋_GBK" w:eastAsia="方正仿宋_GBK" w:cs="方正仿宋_GBK"/>
          <w:sz w:val="32"/>
          <w:szCs w:val="32"/>
          <w:shd w:val="clear" w:color="auto" w:fill="FFFFFF"/>
        </w:rPr>
        <w:t>%，较年初预算数增加17.20万元，增长270.02%，主要原因是</w:t>
      </w:r>
      <w:r>
        <w:rPr>
          <w:rFonts w:ascii="Times New Roman" w:hAnsi="Times New Roman" w:eastAsia="方正仿宋_GBK"/>
          <w:sz w:val="32"/>
          <w:szCs w:val="32"/>
        </w:rPr>
        <w:t>财政追加自然灾害救灾及恢复重建项目支出。</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1541.26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1255.90</w:t>
      </w:r>
      <w:r>
        <w:rPr>
          <w:rFonts w:ascii="方正仿宋_GBK" w:hAnsi="方正仿宋_GBK" w:eastAsia="方正仿宋_GBK" w:cs="方正仿宋_GBK"/>
          <w:sz w:val="32"/>
          <w:szCs w:val="32"/>
          <w:shd w:val="clear" w:color="auto" w:fill="FFFFFF"/>
        </w:rPr>
        <w:t>万元，较上年决算数减少386.83万元，下降23.55%，主要原因是</w:t>
      </w:r>
      <w:r>
        <w:rPr>
          <w:rFonts w:hint="default" w:ascii="方正仿宋_GBK" w:hAnsi="方正仿宋_GBK" w:eastAsia="方正仿宋_GBK" w:cs="方正仿宋_GBK"/>
          <w:sz w:val="32"/>
          <w:szCs w:val="32"/>
          <w:shd w:val="clear" w:color="auto" w:fill="FFFFFF"/>
        </w:rPr>
        <w:t>2022年政府本级与各站所室共同核算，2023年各站所室独立核算。</w:t>
      </w:r>
      <w:r>
        <w:rPr>
          <w:rFonts w:ascii="方正仿宋_GBK" w:hAnsi="方正仿宋_GBK" w:eastAsia="方正仿宋_GBK" w:cs="方正仿宋_GBK"/>
          <w:sz w:val="32"/>
          <w:szCs w:val="32"/>
          <w:shd w:val="clear" w:color="auto" w:fill="FFFFFF"/>
        </w:rPr>
        <w:t>人员经费用途主要包括</w:t>
      </w:r>
      <w:r>
        <w:rPr>
          <w:rFonts w:ascii="Times New Roman" w:hAnsi="Times New Roman" w:eastAsia="方正仿宋_GBK"/>
          <w:sz w:val="32"/>
          <w:szCs w:val="32"/>
        </w:rPr>
        <w:t>工资福利支出</w:t>
      </w:r>
      <w:r>
        <w:rPr>
          <w:rFonts w:hint="default" w:ascii="方正仿宋_GBK" w:hAnsi="方正仿宋_GBK" w:eastAsia="方正仿宋_GBK" w:cs="方正仿宋_GBK"/>
          <w:sz w:val="32"/>
          <w:szCs w:val="32"/>
          <w:shd w:val="clear" w:color="auto" w:fill="FFFFFF"/>
        </w:rPr>
        <w:t>844.42</w:t>
      </w:r>
      <w:r>
        <w:rPr>
          <w:rFonts w:ascii="方正仿宋_GBK" w:hAnsi="方正仿宋_GBK" w:eastAsia="方正仿宋_GBK" w:cs="方正仿宋_GBK"/>
          <w:sz w:val="32"/>
          <w:szCs w:val="32"/>
          <w:shd w:val="clear" w:color="auto" w:fill="FFFFFF"/>
        </w:rPr>
        <w:t>万元，对个人和家庭的补助</w:t>
      </w:r>
      <w:r>
        <w:rPr>
          <w:rFonts w:hint="default" w:ascii="方正仿宋_GBK" w:hAnsi="方正仿宋_GBK" w:eastAsia="方正仿宋_GBK" w:cs="方正仿宋_GBK"/>
          <w:sz w:val="32"/>
          <w:szCs w:val="32"/>
          <w:shd w:val="clear" w:color="auto" w:fill="FFFFFF"/>
        </w:rPr>
        <w:t>411.48</w:t>
      </w:r>
      <w:r>
        <w:rPr>
          <w:rFonts w:ascii="方正仿宋_GBK" w:hAnsi="方正仿宋_GBK" w:eastAsia="方正仿宋_GBK" w:cs="方正仿宋_GBK"/>
          <w:sz w:val="32"/>
          <w:szCs w:val="32"/>
          <w:shd w:val="clear" w:color="auto" w:fill="FFFFFF"/>
        </w:rPr>
        <w:t>万元。公用经费</w:t>
      </w:r>
      <w:r>
        <w:rPr>
          <w:rFonts w:ascii="方正仿宋_GBK" w:hAnsi="方正仿宋_GBK" w:eastAsia="方正仿宋_GBK" w:cs="方正仿宋_GBK"/>
          <w:sz w:val="32"/>
          <w:szCs w:val="32"/>
        </w:rPr>
        <w:t>285.36</w:t>
      </w:r>
      <w:r>
        <w:rPr>
          <w:rFonts w:ascii="方正仿宋_GBK" w:hAnsi="方正仿宋_GBK" w:eastAsia="方正仿宋_GBK" w:cs="方正仿宋_GBK"/>
          <w:sz w:val="32"/>
          <w:szCs w:val="32"/>
          <w:shd w:val="clear" w:color="auto" w:fill="FFFFFF"/>
        </w:rPr>
        <w:t>万元，较上年决算数减少214.96万元，下降42.96%，主要原因是</w:t>
      </w:r>
      <w:r>
        <w:rPr>
          <w:rFonts w:hint="default" w:ascii="方正仿宋_GBK" w:hAnsi="方正仿宋_GBK" w:eastAsia="方正仿宋_GBK" w:cs="方正仿宋_GBK"/>
          <w:sz w:val="32"/>
          <w:szCs w:val="32"/>
          <w:shd w:val="clear" w:color="auto" w:fill="FFFFFF"/>
        </w:rPr>
        <w:t>2022年政府本级与各站所室共同核算，2023年各站所室独立核算。</w:t>
      </w:r>
      <w:r>
        <w:rPr>
          <w:rFonts w:ascii="方正仿宋_GBK" w:hAnsi="方正仿宋_GBK" w:eastAsia="方正仿宋_GBK" w:cs="方正仿宋_GBK"/>
          <w:sz w:val="32"/>
          <w:szCs w:val="32"/>
          <w:shd w:val="clear" w:color="auto" w:fill="FFFFFF"/>
        </w:rPr>
        <w:t>公用经费用途主要包括办公费</w:t>
      </w:r>
      <w:r>
        <w:rPr>
          <w:rFonts w:hint="default" w:ascii="方正仿宋_GBK" w:hAnsi="方正仿宋_GBK" w:eastAsia="方正仿宋_GBK" w:cs="方正仿宋_GBK"/>
          <w:sz w:val="32"/>
          <w:szCs w:val="32"/>
          <w:shd w:val="clear" w:color="auto" w:fill="FFFFFF"/>
        </w:rPr>
        <w:t>29.98万元；印刷费5.93万元；电费8.86万元；邮电费32.74；差旅费55.53万元；租赁费0.04万元；会议费2.07万元；培训费2.65万元；劳务费46.18万元；委托业务费7.30万元；工会经费33.25万元；公务用车运行维护费11.51万元</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其他交通费用26.20万元；税金及附加费用0.08万元；其他商品和服务支出23.02万元。</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14.84</w:t>
      </w:r>
      <w:r>
        <w:rPr>
          <w:rFonts w:ascii="方正仿宋_GBK" w:hAnsi="方正仿宋_GBK" w:eastAsia="方正仿宋_GBK" w:cs="方正仿宋_GBK"/>
          <w:sz w:val="32"/>
          <w:szCs w:val="32"/>
          <w:shd w:val="clear" w:color="auto" w:fill="FFFFFF"/>
        </w:rPr>
        <w:t>万元，较上年决算数减少105.07万元，下降87.62%，主要原因是政府性基金预算财政拨款减少。本年支出</w:t>
      </w:r>
      <w:r>
        <w:rPr>
          <w:rFonts w:ascii="方正仿宋_GBK" w:hAnsi="方正仿宋_GBK" w:eastAsia="方正仿宋_GBK" w:cs="方正仿宋_GBK"/>
          <w:sz w:val="32"/>
          <w:szCs w:val="32"/>
        </w:rPr>
        <w:t>14.84</w:t>
      </w:r>
      <w:r>
        <w:rPr>
          <w:rFonts w:ascii="方正仿宋_GBK" w:hAnsi="方正仿宋_GBK" w:eastAsia="方正仿宋_GBK" w:cs="方正仿宋_GBK"/>
          <w:sz w:val="32"/>
          <w:szCs w:val="32"/>
          <w:shd w:val="clear" w:color="auto" w:fill="FFFFFF"/>
        </w:rPr>
        <w:t>万元，较上年决算数减少105.07万元，下降87.62%，主要原因是政府性基金预算财政拨款减少。</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2023年度国有资本经营预算财政拨本年支出</w:t>
      </w:r>
      <w:r>
        <w:rPr>
          <w:rFonts w:ascii="方正仿宋_GBK" w:hAnsi="方正仿宋_GBK" w:eastAsia="方正仿宋_GBK" w:cs="方正仿宋_GBK"/>
          <w:sz w:val="32"/>
          <w:szCs w:val="32"/>
        </w:rPr>
        <w:t>0.37</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0.37</w:t>
      </w:r>
      <w:r>
        <w:rPr>
          <w:rFonts w:ascii="方正仿宋_GBK" w:hAnsi="方正仿宋_GBK" w:eastAsia="方正仿宋_GBK" w:cs="方正仿宋_GBK"/>
          <w:sz w:val="32"/>
          <w:szCs w:val="32"/>
          <w:shd w:val="clear" w:color="auto" w:fill="FFFFFF"/>
        </w:rPr>
        <w:t>万元，主要用途用于国有企业退休人员社会化管理补助支出0</w:t>
      </w:r>
      <w:r>
        <w:rPr>
          <w:rFonts w:hint="default" w:ascii="方正仿宋_GBK" w:hAnsi="方正仿宋_GBK" w:eastAsia="方正仿宋_GBK" w:cs="方正仿宋_GBK"/>
          <w:sz w:val="32"/>
          <w:szCs w:val="32"/>
          <w:shd w:val="clear" w:color="auto" w:fill="FFFFFF"/>
        </w:rPr>
        <w:t>.37</w:t>
      </w:r>
      <w:r>
        <w:rPr>
          <w:rFonts w:ascii="方正仿宋_GBK" w:hAnsi="方正仿宋_GBK" w:eastAsia="方正仿宋_GBK" w:cs="方正仿宋_GBK"/>
          <w:sz w:val="32"/>
          <w:szCs w:val="32"/>
          <w:shd w:val="clear" w:color="auto" w:fill="FFFFFF"/>
        </w:rPr>
        <w:t>万元。</w:t>
      </w:r>
    </w:p>
    <w:p>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三、“三公”经费情况说明</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（一）“三公”经费支出总体情况说明</w:t>
      </w:r>
    </w:p>
    <w:p>
      <w:pPr>
        <w:pStyle w:val="13"/>
        <w:spacing w:before="0" w:beforeAutospacing="0" w:after="0" w:afterAutospacing="0" w:line="597"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16.83</w:t>
      </w:r>
      <w:r>
        <w:rPr>
          <w:rFonts w:ascii="方正仿宋_GBK" w:hAnsi="方正仿宋_GBK" w:eastAsia="方正仿宋_GBK" w:cs="方正仿宋_GBK"/>
          <w:sz w:val="32"/>
          <w:szCs w:val="32"/>
          <w:shd w:val="clear" w:color="auto" w:fill="FFFFFF"/>
        </w:rPr>
        <w:t>万元，较年初预算数增加10.83万元，增长180.50%，主要原因是</w:t>
      </w:r>
      <w:r>
        <w:rPr>
          <w:rFonts w:hint="eastAsia" w:ascii="方正仿宋_GBK" w:hAnsi="方正仿宋_GBK" w:eastAsia="方正仿宋_GBK" w:cs="方正仿宋_GBK"/>
          <w:sz w:val="32"/>
          <w:szCs w:val="32"/>
          <w:shd w:val="clear" w:color="auto" w:fill="FFFFFF"/>
        </w:rPr>
        <w:t>在严控</w:t>
      </w:r>
      <w:r>
        <w:rPr>
          <w:rFonts w:ascii="方正仿宋_GBK" w:hAnsi="方正仿宋_GBK" w:eastAsia="方正仿宋_GBK" w:cs="方正仿宋_GBK"/>
          <w:sz w:val="32"/>
          <w:szCs w:val="32"/>
          <w:shd w:val="clear" w:color="auto" w:fill="FFFFFF"/>
        </w:rPr>
        <w:t>“三公”</w:t>
      </w:r>
      <w:r>
        <w:rPr>
          <w:rFonts w:hint="eastAsia" w:ascii="方正仿宋_GBK" w:hAnsi="方正仿宋_GBK" w:eastAsia="方正仿宋_GBK" w:cs="方正仿宋_GBK"/>
          <w:sz w:val="32"/>
          <w:szCs w:val="32"/>
          <w:shd w:val="clear" w:color="auto" w:fill="FFFFFF"/>
        </w:rPr>
        <w:t>经费的标准下，不超上年决算数，2023年年初预算数概算过低，公车和公务接待在实际中，资金短缺，造成资金调剂追加。</w:t>
      </w:r>
      <w:r>
        <w:rPr>
          <w:rFonts w:ascii="方正仿宋_GBK" w:hAnsi="方正仿宋_GBK" w:eastAsia="方正仿宋_GBK" w:cs="方正仿宋_GBK"/>
          <w:sz w:val="32"/>
          <w:szCs w:val="32"/>
          <w:shd w:val="clear" w:color="auto" w:fill="FFFFFF"/>
        </w:rPr>
        <w:t>较上年支出数减少0.26万元，下降1.52%，主要原因</w:t>
      </w:r>
      <w:r>
        <w:rPr>
          <w:rFonts w:hint="eastAsia" w:ascii="方正仿宋_GBK" w:hAnsi="方正仿宋_GBK" w:eastAsia="方正仿宋_GBK" w:cs="方正仿宋_GBK"/>
          <w:sz w:val="32"/>
          <w:szCs w:val="32"/>
          <w:shd w:val="clear" w:color="auto" w:fill="FFFFFF"/>
        </w:rPr>
        <w:t>严格控制</w:t>
      </w:r>
      <w:r>
        <w:rPr>
          <w:rFonts w:ascii="方正仿宋_GBK" w:hAnsi="方正仿宋_GBK" w:eastAsia="方正仿宋_GBK" w:cs="方正仿宋_GBK"/>
          <w:sz w:val="32"/>
          <w:szCs w:val="32"/>
          <w:shd w:val="clear" w:color="auto" w:fill="FFFFFF"/>
        </w:rPr>
        <w:t>“三公”</w:t>
      </w:r>
      <w:r>
        <w:rPr>
          <w:rFonts w:hint="eastAsia" w:ascii="方正仿宋_GBK" w:hAnsi="方正仿宋_GBK" w:eastAsia="方正仿宋_GBK" w:cs="方正仿宋_GBK"/>
          <w:sz w:val="32"/>
          <w:szCs w:val="32"/>
          <w:shd w:val="clear" w:color="auto" w:fill="FFFFFF"/>
        </w:rPr>
        <w:t>经费支出情况，按照标准使用公务车外出办事,强化公务接待支出管理，严格遵守公务接待开支范围和开支标准，不超范围接待。</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7"/>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11.51</w:t>
      </w:r>
      <w:r>
        <w:rPr>
          <w:rFonts w:ascii="方正仿宋_GBK" w:hAnsi="方正仿宋_GBK" w:eastAsia="方正仿宋_GBK" w:cs="方正仿宋_GBK"/>
          <w:sz w:val="32"/>
          <w:szCs w:val="32"/>
          <w:shd w:val="clear" w:color="auto" w:fill="FFFFFF"/>
        </w:rPr>
        <w:t>万元，主要用于</w:t>
      </w:r>
      <w:r>
        <w:rPr>
          <w:rFonts w:ascii="Times New Roman" w:hAnsi="Times New Roman" w:eastAsia="方正仿宋_GBK"/>
          <w:sz w:val="32"/>
          <w:szCs w:val="32"/>
        </w:rPr>
        <w:t>机要文件交换、市县内外因公出行、应急检查等工作所需车辆的燃料费、维修费、过路费、保险费。</w:t>
      </w:r>
      <w:r>
        <w:rPr>
          <w:rFonts w:ascii="方正仿宋_GBK" w:hAnsi="方正仿宋_GBK" w:eastAsia="方正仿宋_GBK" w:cs="方正仿宋_GBK"/>
          <w:sz w:val="32"/>
          <w:szCs w:val="32"/>
          <w:shd w:val="clear" w:color="auto" w:fill="FFFFFF"/>
        </w:rPr>
        <w:t>费用支出较年初预算数增加5.51万元，增长91.83%，主要原因是在严控三公经费的标准下，不超上年决算数，2023年年初预算数概算过低，公车实际运行中，资金短缺，造成资金调剂追加。较上年支出数减少0.25万元，下降2.13%，主要原因是严格控制三公经费支出情况，按照标准使用公务车外出办事</w:t>
      </w:r>
      <w:r>
        <w:rPr>
          <w:rFonts w:ascii="Times New Roman" w:hAnsi="Times New Roman" w:eastAsia="方正仿宋_GBK"/>
          <w:sz w:val="32"/>
          <w:szCs w:val="32"/>
        </w:rPr>
        <w:t>。</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5.32</w:t>
      </w:r>
      <w:r>
        <w:rPr>
          <w:rFonts w:ascii="方正仿宋_GBK" w:hAnsi="方正仿宋_GBK" w:eastAsia="方正仿宋_GBK" w:cs="方正仿宋_GBK"/>
          <w:sz w:val="32"/>
          <w:szCs w:val="32"/>
          <w:shd w:val="clear" w:color="auto" w:fill="FFFFFF"/>
        </w:rPr>
        <w:t>万元，主要用于</w:t>
      </w:r>
      <w:r>
        <w:rPr>
          <w:rFonts w:ascii="Times New Roman" w:hAnsi="Times New Roman" w:eastAsia="方正仿宋_GBK"/>
          <w:sz w:val="32"/>
          <w:szCs w:val="32"/>
        </w:rPr>
        <w:t>接待上级部门到我单位学习调研督导各项工作推进情况及招商引资接待费等。</w:t>
      </w:r>
      <w:r>
        <w:rPr>
          <w:rFonts w:ascii="方正仿宋_GBK" w:hAnsi="方正仿宋_GBK" w:eastAsia="方正仿宋_GBK" w:cs="方正仿宋_GBK"/>
          <w:sz w:val="32"/>
          <w:szCs w:val="32"/>
          <w:shd w:val="clear" w:color="auto" w:fill="FFFFFF"/>
        </w:rPr>
        <w:t>费用支出较年初预算数增加5.32万元，增长100.00%，主要原因是在严控三公经费的标准下，不超上年决算数，2023年年初预算数概算过低，公务接待费实际资金短缺，造成资金调剂追加。较上年支出数减少0.01万元，下降0.19%，主要原因是</w:t>
      </w:r>
      <w:r>
        <w:rPr>
          <w:rFonts w:ascii="Times New Roman" w:hAnsi="Times New Roman" w:eastAsia="方正仿宋_GBK"/>
          <w:sz w:val="32"/>
          <w:szCs w:val="32"/>
        </w:rPr>
        <w:t>加强管理，节约开支。</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95</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923</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57.66</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2.88</w:t>
      </w:r>
      <w:r>
        <w:rPr>
          <w:rFonts w:ascii="方正仿宋_GBK" w:hAnsi="方正仿宋_GBK" w:eastAsia="方正仿宋_GBK" w:cs="方正仿宋_GBK"/>
          <w:sz w:val="32"/>
          <w:szCs w:val="32"/>
          <w:shd w:val="clear" w:color="auto" w:fill="FFFFFF"/>
        </w:rPr>
        <w:t>万元。</w:t>
      </w:r>
    </w:p>
    <w:p>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四、其他需要说明的事项</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（一）财政拨款会议费和培训费情况说明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8.80</w:t>
      </w:r>
      <w:r>
        <w:rPr>
          <w:rFonts w:ascii="方正仿宋_GBK" w:hAnsi="方正仿宋_GBK" w:eastAsia="方正仿宋_GBK" w:cs="方正仿宋_GBK"/>
          <w:sz w:val="32"/>
          <w:szCs w:val="32"/>
          <w:shd w:val="clear" w:color="auto" w:fill="FFFFFF"/>
        </w:rPr>
        <w:t>万元，较上年决算数增加1.91万元，增长27.72%，主要原因2023年增加人大会议和低收入人群调查。本年度培训费支出</w:t>
      </w:r>
      <w:r>
        <w:rPr>
          <w:rFonts w:ascii="方正仿宋_GBK" w:hAnsi="方正仿宋_GBK" w:eastAsia="方正仿宋_GBK" w:cs="方正仿宋_GBK"/>
          <w:sz w:val="32"/>
          <w:szCs w:val="32"/>
        </w:rPr>
        <w:t>4.05</w:t>
      </w:r>
      <w:r>
        <w:rPr>
          <w:rFonts w:ascii="方正仿宋_GBK" w:hAnsi="方正仿宋_GBK" w:eastAsia="方正仿宋_GBK" w:cs="方正仿宋_GBK"/>
          <w:sz w:val="32"/>
          <w:szCs w:val="32"/>
          <w:shd w:val="clear" w:color="auto" w:fill="FFFFFF"/>
        </w:rPr>
        <w:t>万元，较上年决算数减少2.63万元，下降39.37%，主要原因是减少非必要的培训。</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285.36</w:t>
      </w:r>
      <w:r>
        <w:rPr>
          <w:rFonts w:ascii="方正仿宋_GBK" w:hAnsi="方正仿宋_GBK" w:eastAsia="方正仿宋_GBK" w:cs="方正仿宋_GBK"/>
          <w:sz w:val="32"/>
          <w:szCs w:val="32"/>
          <w:shd w:val="clear" w:color="auto" w:fill="FFFFFF"/>
        </w:rPr>
        <w:t>万元，机关运行经费主要用于开支办公费</w:t>
      </w:r>
      <w:r>
        <w:rPr>
          <w:rFonts w:hint="default" w:ascii="方正仿宋_GBK" w:hAnsi="方正仿宋_GBK" w:eastAsia="方正仿宋_GBK" w:cs="方正仿宋_GBK"/>
          <w:sz w:val="32"/>
          <w:szCs w:val="32"/>
          <w:shd w:val="clear" w:color="auto" w:fill="FFFFFF"/>
        </w:rPr>
        <w:t>29.98万元；印刷费5.93万元；电费8.86万元；邮电费32.74；差旅费55.53万元；租赁费0.04万元；会议费2.07万元；培训费2.65万元；劳务费46.18万元；委托业务费7.30万元；工会经费33.25万元；公务用车运行维护费11.51万元；其他交通费用26.20万元；税金及附加费用0.08万元；其他商品和服务支出23.02万元。</w:t>
      </w:r>
      <w:r>
        <w:rPr>
          <w:rFonts w:ascii="方正仿宋_GBK" w:hAnsi="方正仿宋_GBK" w:eastAsia="方正仿宋_GBK" w:cs="方正仿宋_GBK"/>
          <w:sz w:val="32"/>
          <w:szCs w:val="32"/>
          <w:shd w:val="clear" w:color="auto" w:fill="FFFFFF"/>
        </w:rPr>
        <w:t>机关运行经费较上年支出数减少39.20万元，下降12.08%，主要原因是2022年政府本级与各站所室共同核算，2023年各站所室独立核算以及</w:t>
      </w:r>
      <w:r>
        <w:rPr>
          <w:rFonts w:ascii="Times New Roman" w:hAnsi="Times New Roman" w:eastAsia="方正仿宋_GBK"/>
          <w:sz w:val="32"/>
          <w:szCs w:val="32"/>
        </w:rPr>
        <w:t>加强管理，节约开支。</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7"/>
        <w:numPr>
          <w:ilvl w:val="0"/>
          <w:numId w:val="1"/>
        </w:numPr>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预算绩效管理情况说明</w:t>
      </w:r>
    </w:p>
    <w:p>
      <w:pPr>
        <w:pStyle w:val="12"/>
        <w:numPr>
          <w:ilvl w:val="0"/>
          <w:numId w:val="2"/>
        </w:numPr>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单位自评情况</w:t>
      </w:r>
    </w:p>
    <w:p>
      <w:pPr>
        <w:pStyle w:val="7"/>
        <w:snapToGrid w:val="0"/>
        <w:spacing w:before="0" w:beforeAutospacing="0" w:after="0" w:afterAutospacing="0" w:line="590" w:lineRule="exact"/>
        <w:ind w:firstLine="640" w:firstLineChars="200"/>
        <w:rPr>
          <w:rFonts w:hint="default" w:ascii="方正仿宋_GBK" w:hAnsi="方正仿宋_GBK" w:eastAsia="方正仿宋_GBK" w:cs="方正仿宋_GBK"/>
          <w:sz w:val="32"/>
          <w:szCs w:val="32"/>
          <w:shd w:val="clear" w:color="auto" w:fill="FFFFFF"/>
        </w:rPr>
      </w:pPr>
      <w:r>
        <w:rPr>
          <w:rFonts w:ascii="Times New Roman" w:hAnsi="Times New Roman" w:eastAsia="方正仿宋_GBK"/>
          <w:kern w:val="2"/>
          <w:sz w:val="32"/>
          <w:szCs w:val="32"/>
        </w:rPr>
        <w:t>根据预算绩</w:t>
      </w:r>
      <w:r>
        <w:rPr>
          <w:rFonts w:ascii="方正仿宋_GBK" w:hAnsi="方正仿宋_GBK" w:eastAsia="方正仿宋_GBK" w:cs="方正仿宋_GBK"/>
          <w:sz w:val="32"/>
          <w:szCs w:val="32"/>
          <w:shd w:val="clear" w:color="auto" w:fill="FFFFFF"/>
        </w:rPr>
        <w:t>效管理要求，我单位对6</w:t>
      </w:r>
      <w:r>
        <w:rPr>
          <w:rFonts w:hint="default"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shd w:val="clear" w:color="auto" w:fill="FFFFFF"/>
        </w:rPr>
        <w:t>个二级项目开展了绩效自评，其中，以填报自评表形式开展自评6</w:t>
      </w:r>
      <w:r>
        <w:rPr>
          <w:rFonts w:hint="default"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shd w:val="clear" w:color="auto" w:fill="FFFFFF"/>
        </w:rPr>
        <w:t>项，涉及资金2817.32万元；本报告中主要列举以下3个二级项目：平安建设专项、乡村振兴试验示范重点镇村建设、第五次全国经济普查。</w:t>
      </w:r>
    </w:p>
    <w:p>
      <w:pPr>
        <w:pStyle w:val="7"/>
        <w:snapToGrid w:val="0"/>
        <w:spacing w:before="0" w:beforeAutospacing="0" w:after="0" w:afterAutospacing="0" w:line="590" w:lineRule="exact"/>
        <w:ind w:firstLine="640" w:firstLineChars="200"/>
        <w:rPr>
          <w:rFonts w:hint="default" w:ascii="方正仿宋_GBK" w:hAnsi="方正仿宋_GBK" w:eastAsia="方正仿宋_GBK" w:cs="方正仿宋_GBK"/>
          <w:sz w:val="32"/>
          <w:szCs w:val="32"/>
          <w:shd w:val="clear" w:color="auto" w:fill="FFFFFF"/>
        </w:rPr>
      </w:pPr>
    </w:p>
    <w:tbl>
      <w:tblPr>
        <w:tblStyle w:val="8"/>
        <w:tblW w:w="5000" w:type="pct"/>
        <w:tblInd w:w="0" w:type="dxa"/>
        <w:tblLayout w:type="autofit"/>
        <w:tblCellMar>
          <w:top w:w="0" w:type="dxa"/>
          <w:left w:w="108" w:type="dxa"/>
          <w:bottom w:w="0" w:type="dxa"/>
          <w:right w:w="108" w:type="dxa"/>
        </w:tblCellMar>
      </w:tblPr>
      <w:tblGrid>
        <w:gridCol w:w="994"/>
        <w:gridCol w:w="740"/>
        <w:gridCol w:w="738"/>
        <w:gridCol w:w="897"/>
        <w:gridCol w:w="702"/>
        <w:gridCol w:w="784"/>
        <w:gridCol w:w="881"/>
        <w:gridCol w:w="605"/>
        <w:gridCol w:w="605"/>
        <w:gridCol w:w="800"/>
        <w:gridCol w:w="785"/>
      </w:tblGrid>
      <w:tr>
        <w:tblPrEx>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Times New Roman" w:hAnsi="Times New Roman" w:eastAsia="方正小标宋_GBK"/>
                <w:bCs/>
                <w:color w:val="000000"/>
                <w:kern w:val="2"/>
                <w:sz w:val="44"/>
                <w:szCs w:val="44"/>
              </w:rPr>
              <w:t>2023年度二级项目绩效自评表</w:t>
            </w:r>
          </w:p>
        </w:tc>
      </w:tr>
      <w:tr>
        <w:tblPrEx>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1" w:firstLineChars="1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tblPrEx>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项目名称：</w:t>
            </w:r>
          </w:p>
        </w:tc>
        <w:tc>
          <w:tcPr>
            <w:tcW w:w="9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平安建设专项</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项目编码：</w:t>
            </w: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50023123T000003265860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自评总分：</w:t>
            </w:r>
          </w:p>
        </w:tc>
        <w:tc>
          <w:tcPr>
            <w:tcW w:w="7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项目主管部门：</w:t>
            </w:r>
          </w:p>
        </w:tc>
        <w:tc>
          <w:tcPr>
            <w:tcW w:w="9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703-垫江县新民镇人民政府</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财政归口处室：</w:t>
            </w: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014-会计管理核算中心</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部门联系人：</w:t>
            </w:r>
          </w:p>
        </w:tc>
        <w:tc>
          <w:tcPr>
            <w:tcW w:w="7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eastAsia" w:ascii="Times New Roman" w:hAnsi="Times New Roman" w:eastAsia="方正仿宋_GBK"/>
                <w:color w:val="000000"/>
                <w:kern w:val="2"/>
                <w:sz w:val="20"/>
                <w:szCs w:val="20"/>
                <w:lang w:val="en-US" w:eastAsia="zh-CN"/>
              </w:rPr>
            </w:pPr>
            <w:r>
              <w:rPr>
                <w:rFonts w:ascii="Times New Roman" w:hAnsi="Times New Roman" w:eastAsia="方正仿宋_GBK"/>
                <w:color w:val="000000"/>
                <w:kern w:val="2"/>
                <w:sz w:val="20"/>
                <w:szCs w:val="20"/>
              </w:rPr>
              <w:t>谭</w:t>
            </w:r>
            <w:r>
              <w:rPr>
                <w:rFonts w:hint="eastAsia" w:ascii="Times New Roman" w:hAnsi="Times New Roman" w:eastAsia="方正仿宋_GBK"/>
                <w:color w:val="000000"/>
                <w:kern w:val="2"/>
                <w:sz w:val="20"/>
                <w:szCs w:val="20"/>
                <w:lang w:eastAsia="zh-CN"/>
              </w:rPr>
              <w:t>老师</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联系电话：</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hint="default" w:ascii="Times New Roman" w:hAnsi="Times New Roman" w:eastAsia="方正仿宋_GBK"/>
                <w:color w:val="000000"/>
                <w:kern w:val="2"/>
                <w:sz w:val="20"/>
                <w:szCs w:val="20"/>
                <w:lang w:val="en-US" w:eastAsia="zh-CN"/>
              </w:rPr>
            </w:pPr>
            <w:r>
              <w:rPr>
                <w:rFonts w:hint="eastAsia" w:ascii="Times New Roman" w:hAnsi="Times New Roman" w:eastAsia="方正仿宋_GBK"/>
                <w:color w:val="000000"/>
                <w:kern w:val="2"/>
                <w:sz w:val="20"/>
                <w:szCs w:val="20"/>
                <w:lang w:val="en-US" w:eastAsia="zh-CN"/>
              </w:rPr>
              <w:t>023-74578690</w:t>
            </w:r>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500" w:hRule="atLeast"/>
        </w:trPr>
        <w:tc>
          <w:tcPr>
            <w:tcW w:w="10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9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年初预算数</w:t>
            </w: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全年（调整）预算数</w:t>
            </w:r>
          </w:p>
        </w:tc>
        <w:tc>
          <w:tcPr>
            <w:tcW w:w="8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全年执行数</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执行率权重</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执行率得分</w:t>
            </w:r>
          </w:p>
        </w:tc>
      </w:tr>
      <w:tr>
        <w:tblPrEx>
          <w:tblCellMar>
            <w:top w:w="0" w:type="dxa"/>
            <w:left w:w="108" w:type="dxa"/>
            <w:bottom w:w="0" w:type="dxa"/>
            <w:right w:w="108" w:type="dxa"/>
          </w:tblCellMar>
        </w:tblPrEx>
        <w:trPr>
          <w:trHeight w:val="500" w:hRule="atLeast"/>
        </w:trPr>
        <w:tc>
          <w:tcPr>
            <w:tcW w:w="10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年度总金额</w:t>
            </w:r>
          </w:p>
        </w:tc>
        <w:tc>
          <w:tcPr>
            <w:tcW w:w="9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0.00 </w:t>
            </w: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244,804.00 </w:t>
            </w:r>
          </w:p>
        </w:tc>
        <w:tc>
          <w:tcPr>
            <w:tcW w:w="8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244,804.00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500" w:hRule="atLeast"/>
        </w:trPr>
        <w:tc>
          <w:tcPr>
            <w:tcW w:w="10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其中：财政拨款</w:t>
            </w:r>
          </w:p>
        </w:tc>
        <w:tc>
          <w:tcPr>
            <w:tcW w:w="9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0.00 </w:t>
            </w: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244,804.00 </w:t>
            </w:r>
          </w:p>
        </w:tc>
        <w:tc>
          <w:tcPr>
            <w:tcW w:w="8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244,804.00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10.00 </w:t>
            </w:r>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500" w:hRule="atLeast"/>
        </w:trPr>
        <w:tc>
          <w:tcPr>
            <w:tcW w:w="207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年初绩效目标</w:t>
            </w:r>
          </w:p>
        </w:tc>
        <w:tc>
          <w:tcPr>
            <w:tcW w:w="168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全年（调整）绩效目标</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全年目标实际完成情况</w:t>
            </w:r>
          </w:p>
        </w:tc>
      </w:tr>
      <w:tr>
        <w:tblPrEx>
          <w:tblCellMar>
            <w:top w:w="0" w:type="dxa"/>
            <w:left w:w="108" w:type="dxa"/>
            <w:bottom w:w="0" w:type="dxa"/>
            <w:right w:w="108" w:type="dxa"/>
          </w:tblCellMar>
        </w:tblPrEx>
        <w:trPr>
          <w:trHeight w:val="1600" w:hRule="atLeast"/>
        </w:trPr>
        <w:tc>
          <w:tcPr>
            <w:tcW w:w="2072" w:type="pct"/>
            <w:gridSpan w:val="4"/>
            <w:tcBorders>
              <w:top w:val="single" w:color="000000" w:sz="4" w:space="0"/>
              <w:left w:val="single" w:color="000000" w:sz="4" w:space="0"/>
              <w:bottom w:val="single" w:color="000000" w:sz="4" w:space="0"/>
              <w:right w:val="single" w:color="000000" w:sz="4" w:space="0"/>
            </w:tcBorders>
            <w:shd w:val="clear" w:color="auto" w:fill="auto"/>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平安建设专项</w:t>
            </w:r>
          </w:p>
        </w:tc>
        <w:tc>
          <w:tcPr>
            <w:tcW w:w="1681" w:type="pct"/>
            <w:gridSpan w:val="4"/>
            <w:tcBorders>
              <w:top w:val="single" w:color="000000" w:sz="4" w:space="0"/>
              <w:left w:val="single" w:color="000000" w:sz="4" w:space="0"/>
              <w:bottom w:val="single" w:color="000000" w:sz="4" w:space="0"/>
              <w:right w:val="single" w:color="000000" w:sz="4" w:space="0"/>
            </w:tcBorders>
            <w:shd w:val="clear" w:color="auto" w:fill="auto"/>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平安建设专项</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全部完成</w:t>
            </w:r>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指标名称</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计量单位</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指标性质</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指标值</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全年完成值</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偏离度（%）</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得分系数（%）</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指标权重</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指标得分</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是否核心指标</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说明</w:t>
            </w:r>
          </w:p>
        </w:tc>
      </w:tr>
      <w:tr>
        <w:tblPrEx>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涉及村居个数</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12</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12</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覆盖范围</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发放及时率</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保障平安建设工作</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定性</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好</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服务对象满意度</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500" w:hRule="atLeast"/>
        </w:trPr>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涉及总金额</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元</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244804</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244804</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bl>
    <w:p>
      <w:pPr>
        <w:pStyle w:val="7"/>
        <w:snapToGrid w:val="0"/>
        <w:spacing w:before="0" w:beforeAutospacing="0" w:after="0" w:afterAutospacing="0" w:line="590" w:lineRule="exact"/>
        <w:ind w:firstLine="640" w:firstLineChars="200"/>
        <w:rPr>
          <w:rFonts w:hint="default" w:ascii="方正仿宋_GBK" w:hAnsi="方正仿宋_GBK" w:eastAsia="方正仿宋_GBK" w:cs="方正仿宋_GBK"/>
          <w:sz w:val="32"/>
          <w:szCs w:val="32"/>
          <w:shd w:val="clear" w:color="auto" w:fill="FFFFFF"/>
        </w:rPr>
      </w:pPr>
    </w:p>
    <w:tbl>
      <w:tblPr>
        <w:tblStyle w:val="8"/>
        <w:tblW w:w="5000" w:type="pct"/>
        <w:tblInd w:w="0" w:type="dxa"/>
        <w:tblLayout w:type="fixed"/>
        <w:tblCellMar>
          <w:top w:w="0" w:type="dxa"/>
          <w:left w:w="108" w:type="dxa"/>
          <w:bottom w:w="0" w:type="dxa"/>
          <w:right w:w="108" w:type="dxa"/>
        </w:tblCellMar>
      </w:tblPr>
      <w:tblGrid>
        <w:gridCol w:w="1477"/>
        <w:gridCol w:w="805"/>
        <w:gridCol w:w="807"/>
        <w:gridCol w:w="805"/>
        <w:gridCol w:w="642"/>
        <w:gridCol w:w="679"/>
        <w:gridCol w:w="762"/>
        <w:gridCol w:w="552"/>
        <w:gridCol w:w="553"/>
        <w:gridCol w:w="720"/>
        <w:gridCol w:w="728"/>
      </w:tblGrid>
      <w:tr>
        <w:tblPrEx>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Times New Roman" w:hAnsi="Times New Roman" w:eastAsia="方正小标宋_GBK"/>
                <w:bCs/>
                <w:color w:val="000000"/>
                <w:kern w:val="2"/>
                <w:sz w:val="44"/>
                <w:szCs w:val="44"/>
              </w:rPr>
              <w:t>2023年度二级项目绩效自评表</w:t>
            </w:r>
          </w:p>
        </w:tc>
      </w:tr>
      <w:tr>
        <w:tblPrEx>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1" w:firstLineChars="1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tblPrEx>
          <w:tblCellMar>
            <w:top w:w="0" w:type="dxa"/>
            <w:left w:w="108" w:type="dxa"/>
            <w:bottom w:w="0" w:type="dxa"/>
            <w:right w:w="108" w:type="dxa"/>
          </w:tblCellMar>
        </w:tblPrEx>
        <w:trPr>
          <w:trHeight w:val="500" w:hRule="atLeast"/>
        </w:trPr>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项目名称：</w:t>
            </w:r>
          </w:p>
        </w:tc>
        <w:tc>
          <w:tcPr>
            <w:tcW w:w="9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乡村振兴试验示范重点镇村建设</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项目编码：</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50023123T000003537355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自评总分：</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500" w:hRule="atLeast"/>
        </w:trPr>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项目主管部门：</w:t>
            </w:r>
          </w:p>
        </w:tc>
        <w:tc>
          <w:tcPr>
            <w:tcW w:w="9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703-垫江县新民镇人民政府</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财政归口处室：</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014-会计管理核算中心</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部门联系人：</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eastAsia" w:ascii="Times New Roman" w:hAnsi="Times New Roman" w:eastAsia="方正仿宋_GBK"/>
                <w:color w:val="000000"/>
                <w:kern w:val="2"/>
                <w:sz w:val="20"/>
                <w:szCs w:val="20"/>
                <w:lang w:eastAsia="zh-CN"/>
              </w:rPr>
            </w:pPr>
            <w:r>
              <w:rPr>
                <w:rFonts w:ascii="Times New Roman" w:hAnsi="Times New Roman" w:eastAsia="方正仿宋_GBK"/>
                <w:color w:val="000000"/>
                <w:kern w:val="2"/>
                <w:sz w:val="20"/>
                <w:szCs w:val="20"/>
              </w:rPr>
              <w:t>谭</w:t>
            </w:r>
            <w:r>
              <w:rPr>
                <w:rFonts w:hint="eastAsia" w:ascii="Times New Roman" w:hAnsi="Times New Roman" w:eastAsia="方正仿宋_GBK"/>
                <w:color w:val="000000"/>
                <w:kern w:val="2"/>
                <w:sz w:val="20"/>
                <w:szCs w:val="20"/>
                <w:lang w:eastAsia="zh-CN"/>
              </w:rPr>
              <w:t>老师</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联系电话：</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hint="default" w:ascii="Times New Roman" w:hAnsi="Times New Roman" w:eastAsia="方正仿宋_GBK"/>
                <w:color w:val="000000"/>
                <w:kern w:val="2"/>
                <w:sz w:val="20"/>
                <w:szCs w:val="20"/>
              </w:rPr>
            </w:pPr>
            <w:r>
              <w:rPr>
                <w:rFonts w:hint="eastAsia" w:ascii="Times New Roman" w:hAnsi="Times New Roman" w:eastAsia="方正仿宋_GBK"/>
                <w:color w:val="000000"/>
                <w:kern w:val="2"/>
                <w:sz w:val="20"/>
                <w:szCs w:val="20"/>
                <w:lang w:val="en-US" w:eastAsia="zh-CN"/>
              </w:rPr>
              <w:t>023-74578690</w:t>
            </w:r>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500" w:hRule="atLeast"/>
        </w:trPr>
        <w:tc>
          <w:tcPr>
            <w:tcW w:w="13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年初预算数</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全年（调整）预算数</w:t>
            </w:r>
          </w:p>
        </w:tc>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全年执行数</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执行率权重</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执行率得分</w:t>
            </w:r>
          </w:p>
        </w:tc>
      </w:tr>
      <w:tr>
        <w:trPr>
          <w:trHeight w:val="500" w:hRule="atLeast"/>
        </w:trPr>
        <w:tc>
          <w:tcPr>
            <w:tcW w:w="1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年度总金额</w:t>
            </w: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5,000,000.00 </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6,300,000.00 </w:t>
            </w:r>
          </w:p>
        </w:tc>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6,300,000.00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500" w:hRule="atLeast"/>
        </w:trPr>
        <w:tc>
          <w:tcPr>
            <w:tcW w:w="1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其中：财政拨款</w:t>
            </w: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5,000,000.00 </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6,300,000.00 </w:t>
            </w:r>
          </w:p>
        </w:tc>
        <w:tc>
          <w:tcPr>
            <w:tcW w:w="7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6,300,000.00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10.00 </w:t>
            </w:r>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500" w:hRule="atLeast"/>
        </w:trPr>
        <w:tc>
          <w:tcPr>
            <w:tcW w:w="228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154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117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1600" w:hRule="atLeast"/>
        </w:trPr>
        <w:tc>
          <w:tcPr>
            <w:tcW w:w="2283" w:type="pct"/>
            <w:gridSpan w:val="4"/>
            <w:tcBorders>
              <w:top w:val="single" w:color="000000" w:sz="4" w:space="0"/>
              <w:left w:val="single" w:color="000000" w:sz="4" w:space="0"/>
              <w:bottom w:val="single" w:color="000000" w:sz="4" w:space="0"/>
              <w:right w:val="single" w:color="000000" w:sz="4" w:space="0"/>
            </w:tcBorders>
            <w:shd w:val="clear" w:color="auto" w:fill="auto"/>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乡村振兴试验示范重点镇村建设</w:t>
            </w:r>
          </w:p>
        </w:tc>
        <w:tc>
          <w:tcPr>
            <w:tcW w:w="1544" w:type="pct"/>
            <w:gridSpan w:val="4"/>
            <w:tcBorders>
              <w:top w:val="single" w:color="000000" w:sz="4" w:space="0"/>
              <w:left w:val="single" w:color="000000" w:sz="4" w:space="0"/>
              <w:bottom w:val="single" w:color="000000" w:sz="4" w:space="0"/>
              <w:right w:val="single" w:color="000000" w:sz="4" w:space="0"/>
            </w:tcBorders>
            <w:shd w:val="clear" w:color="auto" w:fill="auto"/>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乡村振兴试验示范重点镇村建设</w:t>
            </w:r>
          </w:p>
        </w:tc>
        <w:tc>
          <w:tcPr>
            <w:tcW w:w="1171" w:type="pct"/>
            <w:gridSpan w:val="3"/>
            <w:tcBorders>
              <w:top w:val="single" w:color="000000" w:sz="4" w:space="0"/>
              <w:left w:val="single" w:color="000000" w:sz="4" w:space="0"/>
              <w:bottom w:val="single" w:color="000000" w:sz="4" w:space="0"/>
              <w:right w:val="single" w:color="000000" w:sz="4" w:space="0"/>
            </w:tcBorders>
            <w:shd w:val="clear" w:color="auto" w:fill="auto"/>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全部完成</w:t>
            </w:r>
          </w:p>
        </w:tc>
      </w:tr>
      <w:tr>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500" w:hRule="atLeast"/>
        </w:trPr>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500" w:hRule="atLeast"/>
        </w:trPr>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涉及村居个数</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个</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rPr>
          <w:trHeight w:val="500" w:hRule="atLeast"/>
        </w:trPr>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覆盖范围</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500" w:hRule="atLeast"/>
        </w:trPr>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发放及时率</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500" w:hRule="atLeast"/>
        </w:trPr>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创建乡村振兴试验示范重点镇村</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定性</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好</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500" w:hRule="atLeast"/>
        </w:trPr>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服务对象满意度</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95</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500" w:hRule="atLeast"/>
        </w:trPr>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涉及总金额</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万元</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630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分两次拨款</w:t>
            </w:r>
          </w:p>
        </w:tc>
      </w:tr>
    </w:tbl>
    <w:p>
      <w:pPr>
        <w:pStyle w:val="7"/>
        <w:snapToGrid w:val="0"/>
        <w:spacing w:before="0" w:beforeAutospacing="0" w:after="0" w:afterAutospacing="0" w:line="590" w:lineRule="exact"/>
        <w:rPr>
          <w:rFonts w:hint="default" w:ascii="方正仿宋_GBK" w:hAnsi="方正仿宋_GBK" w:eastAsia="方正仿宋_GBK" w:cs="方正仿宋_GBK"/>
          <w:sz w:val="32"/>
          <w:szCs w:val="32"/>
          <w:shd w:val="clear" w:color="auto" w:fill="FFFFFF"/>
        </w:rPr>
      </w:pPr>
    </w:p>
    <w:tbl>
      <w:tblPr>
        <w:tblStyle w:val="8"/>
        <w:tblW w:w="5000" w:type="pct"/>
        <w:tblInd w:w="0" w:type="dxa"/>
        <w:tblLayout w:type="autofit"/>
        <w:tblCellMar>
          <w:top w:w="0" w:type="dxa"/>
          <w:left w:w="108" w:type="dxa"/>
          <w:bottom w:w="0" w:type="dxa"/>
          <w:right w:w="108" w:type="dxa"/>
        </w:tblCellMar>
      </w:tblPr>
      <w:tblGrid>
        <w:gridCol w:w="1314"/>
        <w:gridCol w:w="709"/>
        <w:gridCol w:w="707"/>
        <w:gridCol w:w="857"/>
        <w:gridCol w:w="674"/>
        <w:gridCol w:w="750"/>
        <w:gridCol w:w="841"/>
        <w:gridCol w:w="582"/>
        <w:gridCol w:w="582"/>
        <w:gridCol w:w="765"/>
        <w:gridCol w:w="750"/>
      </w:tblGrid>
      <w:tr>
        <w:tblPrEx>
          <w:tblCellMar>
            <w:top w:w="0" w:type="dxa"/>
            <w:left w:w="108" w:type="dxa"/>
            <w:bottom w:w="0" w:type="dxa"/>
            <w:right w:w="108" w:type="dxa"/>
          </w:tblCellMar>
        </w:tblPrEx>
        <w:trPr>
          <w:trHeight w:val="799"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Times New Roman" w:hAnsi="Times New Roman" w:eastAsia="方正小标宋_GBK"/>
                <w:bCs/>
                <w:color w:val="000000"/>
                <w:kern w:val="2"/>
                <w:sz w:val="44"/>
                <w:szCs w:val="44"/>
              </w:rPr>
              <w:t>2023年度二级项目绩效自评表</w:t>
            </w:r>
          </w:p>
        </w:tc>
      </w:tr>
      <w:tr>
        <w:tblPrEx>
          <w:tblCellMar>
            <w:top w:w="0" w:type="dxa"/>
            <w:left w:w="108" w:type="dxa"/>
            <w:bottom w:w="0" w:type="dxa"/>
            <w:right w:w="108" w:type="dxa"/>
          </w:tblCellMar>
        </w:tblPrEx>
        <w:trPr>
          <w:trHeight w:val="499"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1" w:firstLineChars="1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tblPrEx>
          <w:tblCellMar>
            <w:top w:w="0" w:type="dxa"/>
            <w:left w:w="108" w:type="dxa"/>
            <w:bottom w:w="0" w:type="dxa"/>
            <w:right w:w="108" w:type="dxa"/>
          </w:tblCellMar>
        </w:tblPrEx>
        <w:trPr>
          <w:trHeight w:val="499"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项目名称：</w:t>
            </w:r>
          </w:p>
        </w:tc>
        <w:tc>
          <w:tcPr>
            <w:tcW w:w="8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第五次全国经济普查</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项目编码：</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50023122T000000115875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自评总分：</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499"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项目主管部门：</w:t>
            </w:r>
          </w:p>
        </w:tc>
        <w:tc>
          <w:tcPr>
            <w:tcW w:w="8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703-垫江县新民镇人民政府</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财政归口处室：</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014-会计管理核算中心</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部门联系人：</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eastAsia" w:ascii="Times New Roman" w:hAnsi="Times New Roman" w:eastAsia="方正仿宋_GBK"/>
                <w:color w:val="000000"/>
                <w:kern w:val="2"/>
                <w:sz w:val="20"/>
                <w:szCs w:val="20"/>
                <w:lang w:eastAsia="zh-CN"/>
              </w:rPr>
            </w:pPr>
            <w:r>
              <w:rPr>
                <w:rFonts w:ascii="Times New Roman" w:hAnsi="Times New Roman" w:eastAsia="方正仿宋_GBK"/>
                <w:color w:val="000000"/>
                <w:kern w:val="2"/>
                <w:sz w:val="20"/>
                <w:szCs w:val="20"/>
              </w:rPr>
              <w:t>谭</w:t>
            </w:r>
            <w:r>
              <w:rPr>
                <w:rFonts w:hint="eastAsia" w:ascii="Times New Roman" w:hAnsi="Times New Roman" w:eastAsia="方正仿宋_GBK"/>
                <w:color w:val="000000"/>
                <w:kern w:val="2"/>
                <w:sz w:val="20"/>
                <w:szCs w:val="20"/>
                <w:lang w:eastAsia="zh-CN"/>
              </w:rPr>
              <w:t>老师</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联系电话：</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hint="default" w:ascii="Times New Roman" w:hAnsi="Times New Roman" w:eastAsia="方正仿宋_GBK"/>
                <w:color w:val="000000"/>
                <w:kern w:val="2"/>
                <w:sz w:val="20"/>
                <w:szCs w:val="20"/>
              </w:rPr>
            </w:pPr>
            <w:r>
              <w:rPr>
                <w:rFonts w:hint="eastAsia" w:ascii="Times New Roman" w:hAnsi="Times New Roman" w:eastAsia="方正仿宋_GBK"/>
                <w:color w:val="000000"/>
                <w:kern w:val="2"/>
                <w:sz w:val="20"/>
                <w:szCs w:val="20"/>
                <w:lang w:val="en-US" w:eastAsia="zh-CN"/>
              </w:rPr>
              <w:t>023-74578690</w:t>
            </w:r>
            <w:bookmarkStart w:id="0" w:name="_GoBack"/>
            <w:bookmarkEnd w:id="0"/>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499" w:hRule="atLeast"/>
        </w:trPr>
        <w:tc>
          <w:tcPr>
            <w:tcW w:w="12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9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年初预算数</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全年（调整）预算数</w:t>
            </w:r>
          </w:p>
        </w:tc>
        <w:tc>
          <w:tcPr>
            <w:tcW w:w="8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全年执行数</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执行率权重</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执行率得分</w:t>
            </w:r>
          </w:p>
        </w:tc>
      </w:tr>
      <w:tr>
        <w:trPr>
          <w:trHeight w:val="499" w:hRule="atLeast"/>
        </w:trPr>
        <w:tc>
          <w:tcPr>
            <w:tcW w:w="12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年度总金额</w:t>
            </w:r>
          </w:p>
        </w:tc>
        <w:tc>
          <w:tcPr>
            <w:tcW w:w="9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0.00 </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43,320.00 </w:t>
            </w:r>
          </w:p>
        </w:tc>
        <w:tc>
          <w:tcPr>
            <w:tcW w:w="8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43,320.00 </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499" w:hRule="atLeast"/>
        </w:trPr>
        <w:tc>
          <w:tcPr>
            <w:tcW w:w="12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其中：财政拨款</w:t>
            </w:r>
          </w:p>
        </w:tc>
        <w:tc>
          <w:tcPr>
            <w:tcW w:w="9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0.00 </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43,320.00 </w:t>
            </w:r>
          </w:p>
        </w:tc>
        <w:tc>
          <w:tcPr>
            <w:tcW w:w="8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43,320.00 </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10.00 </w:t>
            </w:r>
          </w:p>
        </w:tc>
      </w:tr>
      <w:tr>
        <w:tblPrEx>
          <w:tblCellMar>
            <w:top w:w="0" w:type="dxa"/>
            <w:left w:w="108" w:type="dxa"/>
            <w:bottom w:w="0" w:type="dxa"/>
            <w:right w:w="108" w:type="dxa"/>
          </w:tblCellMar>
        </w:tblPrEx>
        <w:trPr>
          <w:trHeight w:val="499" w:hRule="atLeast"/>
        </w:trPr>
        <w:tc>
          <w:tcPr>
            <w:tcW w:w="12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一般公共预算</w:t>
            </w:r>
          </w:p>
        </w:tc>
        <w:tc>
          <w:tcPr>
            <w:tcW w:w="9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0.00 </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43,320.00 </w:t>
            </w:r>
          </w:p>
        </w:tc>
        <w:tc>
          <w:tcPr>
            <w:tcW w:w="8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 xml:space="preserve">43,320.00 </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499" w:hRule="atLeast"/>
        </w:trPr>
        <w:tc>
          <w:tcPr>
            <w:tcW w:w="219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年初绩效目标</w:t>
            </w:r>
          </w:p>
        </w:tc>
        <w:tc>
          <w:tcPr>
            <w:tcW w:w="161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全年（调整）绩效目标</w:t>
            </w:r>
          </w:p>
        </w:tc>
        <w:tc>
          <w:tcPr>
            <w:tcW w:w="119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全年目标实际完成情况</w:t>
            </w:r>
          </w:p>
        </w:tc>
      </w:tr>
      <w:tr>
        <w:trPr>
          <w:trHeight w:val="1602" w:hRule="atLeast"/>
        </w:trPr>
        <w:tc>
          <w:tcPr>
            <w:tcW w:w="2190" w:type="pct"/>
            <w:gridSpan w:val="4"/>
            <w:tcBorders>
              <w:top w:val="single" w:color="000000" w:sz="4" w:space="0"/>
              <w:left w:val="single" w:color="000000" w:sz="4" w:space="0"/>
              <w:bottom w:val="single" w:color="000000" w:sz="4" w:space="0"/>
              <w:right w:val="single" w:color="000000" w:sz="4" w:space="0"/>
            </w:tcBorders>
            <w:shd w:val="clear" w:color="auto" w:fill="auto"/>
          </w:tcPr>
          <w:p>
            <w:pPr>
              <w:widowControl w:val="0"/>
              <w:jc w:val="both"/>
              <w:rPr>
                <w:rFonts w:hint="default" w:ascii="Times New Roman" w:hAnsi="Times New Roman" w:eastAsia="方正仿宋_GBK"/>
                <w:color w:val="000000"/>
                <w:kern w:val="2"/>
                <w:sz w:val="20"/>
                <w:szCs w:val="20"/>
              </w:rPr>
            </w:pPr>
          </w:p>
        </w:tc>
        <w:tc>
          <w:tcPr>
            <w:tcW w:w="1613" w:type="pct"/>
            <w:gridSpan w:val="4"/>
            <w:tcBorders>
              <w:top w:val="single" w:color="000000" w:sz="4" w:space="0"/>
              <w:left w:val="single" w:color="000000" w:sz="4" w:space="0"/>
              <w:bottom w:val="single" w:color="000000" w:sz="4" w:space="0"/>
              <w:right w:val="single" w:color="000000" w:sz="4" w:space="0"/>
            </w:tcBorders>
            <w:shd w:val="clear" w:color="auto" w:fill="auto"/>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第五次全国经济普查经费</w:t>
            </w:r>
          </w:p>
        </w:tc>
        <w:tc>
          <w:tcPr>
            <w:tcW w:w="1196" w:type="pct"/>
            <w:gridSpan w:val="3"/>
            <w:tcBorders>
              <w:top w:val="single" w:color="000000" w:sz="4" w:space="0"/>
              <w:left w:val="single" w:color="000000" w:sz="4" w:space="0"/>
              <w:bottom w:val="single" w:color="000000" w:sz="4" w:space="0"/>
              <w:right w:val="single" w:color="000000" w:sz="4" w:space="0"/>
            </w:tcBorders>
            <w:shd w:val="clear" w:color="auto" w:fill="auto"/>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全部完成</w:t>
            </w:r>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499"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指标名称</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计量单位</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指标性质</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指标值</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全年完成值</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偏离度（%）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得分系数（%）</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指标权重</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指标得分</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是否核心指标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说明</w:t>
            </w:r>
          </w:p>
        </w:tc>
      </w:tr>
      <w:tr>
        <w:trPr>
          <w:trHeight w:val="499"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涉及村居个数</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个</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12</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12</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覆盖范围</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发放及时率</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保障经济普查工作顺利开展</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定性</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好</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服务对象满意度</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95</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5.56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涉及总金额</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元</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43320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43320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r>
              <w:rPr>
                <w:rFonts w:ascii="Times New Roman" w:hAnsi="Times New Roman" w:eastAsia="方正仿宋_GBK"/>
                <w:color w:val="000000"/>
                <w:kern w:val="2"/>
                <w:sz w:val="20"/>
                <w:szCs w:val="20"/>
              </w:rPr>
              <w:t>20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both"/>
              <w:rPr>
                <w:rFonts w:hint="default" w:ascii="Times New Roman" w:hAnsi="Times New Roman" w:eastAsia="方正仿宋_GBK"/>
                <w:color w:val="000000"/>
                <w:kern w:val="2"/>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bl>
    <w:p>
      <w:pPr>
        <w:pStyle w:val="12"/>
        <w:autoSpaceDE w:val="0"/>
        <w:ind w:firstLine="643"/>
        <w:rPr>
          <w:rFonts w:ascii="楷体" w:hAnsi="楷体" w:eastAsia="楷体" w:cs="楷体"/>
          <w:b/>
          <w:bCs/>
          <w:sz w:val="32"/>
          <w:szCs w:val="32"/>
          <w:shd w:val="clear" w:color="auto" w:fill="FFFFFF"/>
          <w:lang w:bidi="ar"/>
        </w:rPr>
      </w:pPr>
    </w:p>
    <w:p>
      <w:pPr>
        <w:pStyle w:val="12"/>
        <w:autoSpaceDE w:val="0"/>
        <w:ind w:firstLine="643"/>
        <w:rPr>
          <w:rFonts w:hint="eastAsia" w:ascii="楷体" w:hAnsi="楷体" w:eastAsia="楷体" w:cs="楷体"/>
          <w:b/>
          <w:bCs/>
          <w:sz w:val="32"/>
          <w:szCs w:val="32"/>
          <w:shd w:val="clear" w:color="auto" w:fill="FFFFFF"/>
          <w:lang w:bidi="ar"/>
        </w:rPr>
      </w:pPr>
    </w:p>
    <w:p>
      <w:pPr>
        <w:pStyle w:val="12"/>
        <w:autoSpaceDE w:val="0"/>
        <w:ind w:firstLine="643"/>
        <w:rPr>
          <w:rFonts w:hint="eastAsia" w:ascii="楷体" w:hAnsi="楷体" w:eastAsia="楷体" w:cs="楷体"/>
          <w:b/>
          <w:bCs/>
          <w:sz w:val="32"/>
          <w:szCs w:val="32"/>
          <w:shd w:val="clear" w:color="auto" w:fill="FFFFFF"/>
          <w:lang w:bidi="ar"/>
        </w:rPr>
      </w:pP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（二）单位绩效评价情况</w:t>
      </w:r>
    </w:p>
    <w:p>
      <w:pPr>
        <w:pStyle w:val="12"/>
        <w:autoSpaceDE w:val="0"/>
        <w:ind w:firstLine="640"/>
        <w:rPr>
          <w:rFonts w:ascii="楷体" w:hAnsi="楷体" w:eastAsia="楷体"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我单位未开展绩效评价。</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pPr>
        <w:pStyle w:val="15"/>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六、专业名词解释</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七、决算公开联系方式及信息反馈渠道</w:t>
      </w:r>
    </w:p>
    <w:p>
      <w:pPr>
        <w:pStyle w:val="12"/>
        <w:keepNext w:val="0"/>
        <w:keepLines w:val="0"/>
        <w:pageBreakBefore w:val="0"/>
        <w:widowControl/>
        <w:kinsoku/>
        <w:wordWrap/>
        <w:overflowPunct/>
        <w:topLinePunct w:val="0"/>
        <w:autoSpaceDE w:val="0"/>
        <w:autoSpaceDN/>
        <w:bidi w:val="0"/>
        <w:adjustRightInd/>
        <w:snapToGrid/>
        <w:ind w:firstLine="640" w:firstLineChars="200"/>
        <w:textAlignment w:val="auto"/>
        <w:rPr>
          <w:rStyle w:val="11"/>
          <w:rFonts w:ascii="方正仿宋_GBK" w:hAnsi="方正仿宋_GBK" w:eastAsia="方正仿宋_GBK" w:cs="方正仿宋_GBK"/>
          <w:sz w:val="32"/>
          <w:szCs w:val="32"/>
          <w:shd w:val="clear" w:color="auto" w:fill="FFFF00"/>
        </w:rPr>
      </w:pPr>
      <w:r>
        <w:rPr>
          <w:rFonts w:ascii="Times New Roman" w:hAnsi="Times New Roman" w:eastAsia="方正仿宋_GBK"/>
          <w:kern w:val="2"/>
          <w:sz w:val="32"/>
          <w:szCs w:val="32"/>
        </w:rPr>
        <w:t>本单位决算公开信息反馈和联系方式：023</w:t>
      </w:r>
      <w:r>
        <w:rPr>
          <w:rFonts w:hint="eastAsia" w:ascii="Times New Roman" w:hAnsi="Times New Roman" w:eastAsia="方正仿宋_GBK"/>
          <w:kern w:val="2"/>
          <w:sz w:val="32"/>
          <w:szCs w:val="32"/>
        </w:rPr>
        <w:t>-</w:t>
      </w:r>
      <w:r>
        <w:rPr>
          <w:rFonts w:ascii="Times New Roman" w:hAnsi="Times New Roman" w:eastAsia="方正仿宋_GBK"/>
          <w:kern w:val="2"/>
          <w:sz w:val="32"/>
          <w:szCs w:val="32"/>
        </w:rPr>
        <w:t>7457758</w:t>
      </w:r>
      <w:r>
        <w:rPr>
          <w:rFonts w:hint="eastAsia" w:ascii="Times New Roman" w:hAnsi="Times New Roman" w:eastAsia="方正仿宋_GBK"/>
          <w:kern w:val="2"/>
          <w:sz w:val="32"/>
          <w:szCs w:val="32"/>
        </w:rPr>
        <w:t>8</w:t>
      </w:r>
    </w:p>
    <w:p>
      <w:pPr>
        <w:pStyle w:val="12"/>
        <w:autoSpaceDE w:val="0"/>
        <w:ind w:firstLine="0" w:firstLineChars="0"/>
        <w:rPr>
          <w:rStyle w:val="11"/>
          <w:rFonts w:ascii="方正仿宋_GBK" w:hAnsi="方正仿宋_GBK" w:eastAsia="方正仿宋_GBK" w:cs="方正仿宋_GBK"/>
          <w:sz w:val="32"/>
          <w:szCs w:val="32"/>
          <w:shd w:val="clear" w:color="auto" w:fill="FFFF00"/>
        </w:rPr>
      </w:pPr>
    </w:p>
    <w:p>
      <w:pPr>
        <w:pStyle w:val="12"/>
        <w:autoSpaceDE w:val="0"/>
        <w:ind w:firstLine="0" w:firstLineChars="0"/>
        <w:rPr>
          <w:rStyle w:val="11"/>
          <w:rFonts w:ascii="方正仿宋_GBK" w:hAnsi="方正仿宋_GBK" w:eastAsia="方正仿宋_GBK" w:cs="方正仿宋_GBK"/>
          <w:sz w:val="32"/>
          <w:szCs w:val="32"/>
          <w:shd w:val="clear" w:color="auto" w:fill="FFFF00"/>
        </w:rPr>
      </w:pPr>
    </w:p>
    <w:p>
      <w:pPr>
        <w:pStyle w:val="12"/>
        <w:autoSpaceDE w:val="0"/>
        <w:ind w:firstLine="0" w:firstLineChars="0"/>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8"/>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cs="宋体"/>
                <w:color w:val="000000"/>
              </w:rPr>
            </w:pPr>
            <w:r>
              <w:rPr>
                <w:rFonts w:cs="宋体"/>
              </w:rPr>
              <w:t>公开单位：垫江县新民镇人民政府</w:t>
            </w: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4,056.37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1,077.46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14.84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0.37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102.68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7.02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297.92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67.96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10.00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2,108.50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224.12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354.00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80.14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0.37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23.57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4.84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4,071.58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4,358.58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287.00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4,358.58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4,358.58 </w:t>
            </w:r>
          </w:p>
        </w:tc>
      </w:tr>
    </w:tbl>
    <w:p>
      <w:pPr>
        <w:rPr>
          <w:rFonts w:hint="default" w:cs="宋体"/>
          <w:sz w:val="21"/>
          <w:szCs w:val="21"/>
          <w:lang w:bidi="ar"/>
        </w:rPr>
      </w:pPr>
      <w:r>
        <w:rPr>
          <w:rFonts w:cs="宋体"/>
          <w:sz w:val="21"/>
          <w:szCs w:val="21"/>
          <w:lang w:bidi="ar"/>
        </w:rPr>
        <w:t>备注：1.本表反映单位本年度的总收支和年末结转结余情况。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8"/>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cs="宋体"/>
              </w:rPr>
              <w:t>公开单位：垫江县新民镇人民政府</w:t>
            </w: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4,071.58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4,071.58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1,077.46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1,077.46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人大事务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10.10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10.10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人大会议</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6.72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6.72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代表工作</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其他人大事务支出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政协事务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2010202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947.93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947.93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925.88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925.88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20.90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20.90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信访事务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统计信息事务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4.33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4.33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2010507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专项普查活动</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4.33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4.33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商贸事务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22.09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22.09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16.54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16.54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招商引资</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5.55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5.55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党委办公厅（室）及相关机构事务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其他党委办公厅（室）及相关机构事务支出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组织事务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2013202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其他共产党事务支出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60.62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60.62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2013699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其他共产党事务支出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60.62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60.62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市场监督管理事务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11.52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11.52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2013816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食品安全监管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11.52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11.52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102.68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102.68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公安</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7.16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7.16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2040299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7.16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7.16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司法</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2040602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93.92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93.92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2049999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93.92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93.92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文化旅游体育与传媒支出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文化和旅游</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2070199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其他文化和旅游支出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297.92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297.92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0.51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0.51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0.33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0.33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社会保险经办机构</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0.18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0.18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198.11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198.11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67.97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67.97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33.25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33.25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96.89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96.89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6.25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6.25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其他优抚支出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6.25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6.25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社会福利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54.24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54.24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2081004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殡葬</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27.54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27.54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2081006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养老服务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2081099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其他社会福利支出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残疾人事业</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8.53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8.53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残疾人就业</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其他残疾人事业支出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7.53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7.53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临时救助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0.90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0.90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2082001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临时救助支出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0.90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0.90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其他生活救助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3.75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3.75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2082501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其他城市生活救助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3.75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3.75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退役军人管理事务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25.64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25.64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其他退役军人事务管理支出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25.64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25.64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67.96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67.96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2100499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其他公共卫生支出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计划生育事务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10.87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10.87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2100799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其他计划生育事务支出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10.87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10.87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48.35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48.35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48.35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48.35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优抚对象医疗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2.77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2.77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2101401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优抚对象医疗补助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医疗保障管理事务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医疗保障经办事务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1.52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1.52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2120804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农村基础设施建设支出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1,821.50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1,821.50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农业农村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491.86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491.86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病虫害控制</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2.89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2.89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2130148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渔业发展</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其他农业农村支出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486.47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486.47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林业和草原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31.15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31.15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森林资源培育</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2130234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林业草原防灾减灾</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水利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抗旱</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巩固脱贫攻坚成果衔接乡村振兴</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83.50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83.50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2130504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农村基础设施建设</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76.53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76.53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其他巩固脱贫攻坚成果衔接乡村振兴支出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6.96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6.96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农村综合改革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1,214.50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1,214.50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2130701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对村级公益事业建设的补助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872.00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872.00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2130705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对村民委员会和村党支部的补助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342.50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342.50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交通运输支出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224.12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224.12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公路水路运输</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21.47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21.47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2140106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公路养护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21.47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21.47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车辆购置税支出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202.65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202.65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2140601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车辆购置税用于公路等基础设施建设支出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202.65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202.65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资源勘探工业信息等支出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354.00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354.00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354.00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354.00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354.00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354.00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80.14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80.14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保障性安居工程支出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25.50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25.50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2210105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农村危房改造</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54.64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54.64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54.64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54.64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国有资本经营预算支出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解决历史遗留问题及改革成本支出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2230105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国有企业退休人员社会化管理补助支出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0.37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0.37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灾害防治及应急管理支出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23.57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23.57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应急管理事务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应急救援</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其他应急管理支出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自然灾害防治</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2240601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地质灾害防治</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自然灾害救灾及恢复重建支出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7.07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7.07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2240703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自然灾害救灾补助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2240799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其他自然灾害救灾及恢复重建支出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22960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彩票公益金安排的支出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2296002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用于社会福利的彩票公益金支出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2296003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用于体育事业的彩票公益金支出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2296006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用于残疾人事业的彩票公益金支出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0.75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0.75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备注：1.本表反映单位本年度取得的各项收入情况。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8"/>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 xml:space="preserve">垫江县新民镇人民政府 </w:t>
            </w: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4,358.58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1,541.26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2,817.32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1,077.46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925.88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151.59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人大事务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人大会议</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6.72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6.72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代表工作</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其他人大事务支出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政协事务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2010202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947.93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925.88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925.88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925.88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信访事务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统计信息事务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2010507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专项普查活动</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商贸事务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招商引资</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党委办公厅（室）及相关机构事务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其他党委办公厅（室）及相关机构事务支出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组织事务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2013202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其他共产党事务支出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60.62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60.62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2013699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其他共产党事务支出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60.62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60.62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市场监督管理事务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2013816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食品安全监管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102.68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102.68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公安</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7.16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7.16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2040299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7.16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7.16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司法</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2040602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93.92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93.92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2049999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93.92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93.92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文化旅游体育与传媒支出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文化和旅游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2070199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其他文化和旅游支出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297.92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198.11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99.81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0.51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0.51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社会保险经办机构</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198.11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198.11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67.97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67.97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33.25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33.25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96.89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96.89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其他优抚支出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社会福利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54.24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54.24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2081004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殡葬</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2081006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养老服务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2081099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其他社会福利支出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残疾人事业</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残疾人就业</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其他残疾人事业支出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临时救助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2082001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临时救助支出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其他生活救助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2082501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其他城市生活救助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退役军人管理事务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25.64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25.64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其他退役军人事务管理支出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67.96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19.61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2100499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其他公共卫生支出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计划生育事务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2100799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其他计划生育事务支出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48.35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48.35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优抚对象医疗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2101401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优抚对象医疗补助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医疗保障管理事务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医疗保障经办事务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2120804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农村基础设施建设支出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2,108.50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314.29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1,794.20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农业农村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491.86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491.86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病虫害控制</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2130148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渔业发展</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其他农业农村支出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486.47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486.47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林业和草原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31.15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31.15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森林资源培育</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2130234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林业草原防灾减灾</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水利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抗旱</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巩固脱贫攻坚成果衔接乡村振兴</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370.50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370.50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2130504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农村基础设施建设</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76.53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76.53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其他巩固脱贫攻坚成果衔接乡村振兴支出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293.96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293.96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农村综合改革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1,214.50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314.29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900.20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2130701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对村级公益事业建设的补助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872.00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872.00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2130705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对村民委员会和村党支部的补助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342.50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314.29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28.20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交通运输支出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224.12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224.12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公路水路运输</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2140106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公路养护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21.47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21.47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车辆购置税支出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202.65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202.65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2140601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车辆购置税用于公路等基础设施建设支出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202.65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202.65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资源勘探工业信息等支出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354.00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354.00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354.00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354.00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354.00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354.00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54.64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25.50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保障性安居工程支出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25.50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25.50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2210105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农村危房改造</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54.64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54.64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54.64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54.64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国有资本经营预算支出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解决历史遗留问题及改革成本支出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2230105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国有企业退休人员社会化管理补助支出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灾害防治及应急管理支出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23.57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23.57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应急管理事务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应急救援</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其他应急管理支出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自然灾害防治</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2240601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地质灾害防治</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自然灾害救灾及恢复重建支出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2240703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自然灾害救灾补助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2240799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其他自然灾害救灾及恢复重建支出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22960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彩票公益金安排的支出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2296002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用于社会福利的彩票公益金支出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2296003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用于体育事业的彩票公益金支出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2296006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用于残疾人事业的彩票公益金支出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8"/>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垫江县新民镇人民政府</w:t>
            </w: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4,056.37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1,077.46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1,077.46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14.84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0.37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102.68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102.68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7.02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7.02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297.92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297.92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67.96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67.96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10.00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2,108.50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2,108.50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224.12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224.12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354.00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354.00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80.14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80.14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0.37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0.37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23.57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23.57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4.84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4.84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4,071.58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4,358.58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4,343.37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14.84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0.37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287.00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287.00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4,358.58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4,358.58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4,343.37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14.84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0.37 </w:t>
            </w:r>
          </w:p>
        </w:tc>
      </w:tr>
    </w:tbl>
    <w:p>
      <w:pPr>
        <w:rPr>
          <w:rFonts w:hint="default" w:cs="宋体"/>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垫江县新民镇人民政府</w:t>
            </w: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4,343.37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1,541.26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2,802.11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1,077.46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925.88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151.59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人大事务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10.10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10.10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0.68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0.68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人大会议</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6.72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6.72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代表工作</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其他人大事务支出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政协事务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2010202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947.93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925.88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22.05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925.88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925.88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20.90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20.90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信访事务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统计信息事务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4.33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4.33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2010507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专项普查活动</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4.33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4.33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商贸事务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22.09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22.09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16.54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16.54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招商引资</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5.55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5.55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党委办公厅（室）及相关机构事务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18.00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18.00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其他党委办公厅（室）及相关机构事务支出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组织事务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0.87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0.87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2013202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0.87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0.87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其他共产党事务支出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60.62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60.62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2013699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其他共产党事务支出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60.62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60.62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市场监督管理事务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11.52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11.52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2013816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食品安全监管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11.52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11.52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公共安全支出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102.68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102.68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公安</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7.16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7.16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2040299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其他公安支出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7.16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7.16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司法</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2040602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其他公共安全支出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93.92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93.92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2049999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其他公共安全支出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93.92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93.92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文化旅游体育与传媒支出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7.02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7.02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文化和旅游</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7.02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7.02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2070199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其他文化和旅游支出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7.02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7.02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297.92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198.11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99.81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0.51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0.51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0.33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0.33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社会保险经办机构</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0.18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0.18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198.11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198.11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67.97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67.97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33.25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33.25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96.89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96.89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6.25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6.25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其他优抚支出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6.25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6.25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社会福利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54.24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54.24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2081004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殡葬</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27.54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27.54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2081006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养老服务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19.70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19.70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2081099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其他社会福利支出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残疾人事业</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8.53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8.53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残疾人就业</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其他残疾人事业支出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7.53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7.53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临时救助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0.90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0.90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2082001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临时救助支出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0.90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0.90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其他生活救助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3.75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3.75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2082501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其他城市生活救助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3.75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3.75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退役军人管理事务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25.64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25.64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其他退役军人事务管理支出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25.64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25.64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67.96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48.35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19.61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公共卫生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4.45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4.45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2100499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其他公共卫生支出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4.45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4.45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计划生育事务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10.87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10.87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2100799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其他计划生育事务支出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10.87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10.87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48.35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48.35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48.35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48.35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优抚对象医疗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2.77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2.77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2101401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优抚对象医疗补助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2.77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2.77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医疗保障管理事务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1.52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1.52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医疗保障经办事务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1.52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1.52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2,108.50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314.29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1,794.20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农业农村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491.86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491.86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病虫害控制</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2.89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2.89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2130148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渔业发展</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2.50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其他农业农村支出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486.47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486.47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林业和草原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31.15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31.15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森林资源培育</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30.15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30.15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2130234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林业草原防灾减灾</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水利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0.50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抗旱</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0.50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巩固脱贫攻坚成果衔接乡村振兴</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370.50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370.50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2130504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农村基础设施建设</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76.53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76.53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其他巩固脱贫攻坚成果衔接乡村振兴支出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293.96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293.96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农村综合改革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1,214.50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314.29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900.20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2130701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对村级公益事业建设的补助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872.00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872.00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2130705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对村民委员会和村党支部的补助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342.50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314.29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28.20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交通运输支出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224.12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224.12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公路水路运输</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21.47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21.47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2140106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公路养护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21.47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21.47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车辆购置税支出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202.65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202.65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2140601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车辆购置税用于公路等基础设施建设支出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202.65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202.65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资源勘探工业信息等支出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354.00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354.00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支持中小企业发展和管理支出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354.00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354.00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2150899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其他支持中小企业发展和管理支出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354.00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354.00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80.14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54.64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25.50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保障性安居工程支出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25.50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25.50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2210105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农村危房改造</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25.50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25.50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54.64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54.64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54.64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54.64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灾害防治及应急管理支出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23.57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23.57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应急管理事务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15.50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15.50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应急救援</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5.50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其他应急管理支出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自然灾害防治</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2240601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地质灾害防治</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自然灾害救灾及恢复重建支出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7.07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7.07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2240703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自然灾害救灾补助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2240799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其他自然灾害救灾及恢复重建支出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0.07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0.07 </w:t>
            </w:r>
          </w:p>
        </w:tc>
      </w:tr>
    </w:tbl>
    <w:p>
      <w:pPr>
        <w:rPr>
          <w:rFonts w:hint="default" w:cs="宋体"/>
          <w:sz w:val="21"/>
          <w:szCs w:val="21"/>
        </w:rPr>
      </w:pPr>
      <w:r>
        <w:rPr>
          <w:rFonts w:cs="宋体"/>
          <w:sz w:val="21"/>
          <w:szCs w:val="21"/>
          <w:lang w:bidi="ar"/>
        </w:rPr>
        <w:t>备注：1.本表反映单位本年度一般公共预算财政拨款支出情况。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8"/>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垫江县新民镇人民政府</w:t>
            </w: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844.42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285.36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153.37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29.98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123.42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5.93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241.91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63.02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67.97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8.86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33.25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32.74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48.35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16.25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55.53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54.64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5.58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36.67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411.47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2.07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2.65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397.32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46.18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5.24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7.30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33.25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8.92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11.51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26.20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23.02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1,255.90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285.36 </w:t>
            </w:r>
          </w:p>
        </w:tc>
      </w:tr>
    </w:tbl>
    <w:p>
      <w:pPr>
        <w:rPr>
          <w:rFonts w:hint="default" w:cs="宋体"/>
          <w:sz w:val="21"/>
          <w:szCs w:val="21"/>
        </w:rPr>
      </w:pPr>
      <w:r>
        <w:rPr>
          <w:rFonts w:cs="宋体"/>
          <w:sz w:val="21"/>
          <w:szCs w:val="21"/>
          <w:lang w:bidi="ar"/>
        </w:rPr>
        <w:t>备注：1.本表反映单位本年度一般公共预算财政拨款基本支出明细情况。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垫江县新民镇人民政府</w:t>
            </w: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14.84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14.84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14.84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212</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城乡社区支出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10.00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21208</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国有土地使用权出让收入安排的支出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10.00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2120804</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农村基础设施建设支出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10.00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229</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其他支出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4.84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4.84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4.84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22960</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彩票公益金安排的支出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4.84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4.84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4.84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2296002</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用于社会福利的彩票公益金支出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3.29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3.29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3.29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2296003</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用于体育事业的彩票公益金支出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0.80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0.80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0.80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2296006</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用于残疾人事业的彩票公益金支出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0.75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0.75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0.75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备注：1.本表反映单位本年度政府性基金预算财政拨款收入支出及结转和结余情况。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垫江县新民镇人民政府</w:t>
            </w: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0.37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0.37 </w:t>
            </w:r>
          </w:p>
        </w:tc>
      </w:tr>
      <w:tr>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223</w:t>
            </w:r>
          </w:p>
        </w:tc>
        <w:tc>
          <w:tcPr>
            <w:tcW w:w="4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国有资本经营预算支出</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0.37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0.37 </w:t>
            </w:r>
          </w:p>
        </w:tc>
      </w:tr>
      <w:tr>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22301</w:t>
            </w:r>
          </w:p>
        </w:tc>
        <w:tc>
          <w:tcPr>
            <w:tcW w:w="4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解决历史遗留问题及改革成本支出</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0.37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0.37 </w:t>
            </w:r>
          </w:p>
        </w:tc>
      </w:tr>
      <w:tr>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2230105</w:t>
            </w:r>
          </w:p>
        </w:tc>
        <w:tc>
          <w:tcPr>
            <w:tcW w:w="4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国有企业退休人员社会化管理补助支出</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0.37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0.37 </w:t>
            </w:r>
          </w:p>
        </w:tc>
      </w:tr>
    </w:tbl>
    <w:p>
      <w:pPr>
        <w:rPr>
          <w:rFonts w:hint="default" w:cs="宋体"/>
          <w:sz w:val="21"/>
          <w:szCs w:val="21"/>
          <w:lang w:bidi="ar"/>
        </w:rPr>
      </w:pPr>
      <w:r>
        <w:rPr>
          <w:rFonts w:cs="宋体"/>
          <w:sz w:val="21"/>
          <w:szCs w:val="21"/>
          <w:lang w:bidi="ar"/>
        </w:rPr>
        <w:t>备注：1.本表反映单位本年度国有资本经营预算财政拨款支出情况。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垫江县新民镇人民政府</w:t>
            </w: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285.36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16.83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16.83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285.36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11.51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11.51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11.51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11.51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5.32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5.32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5.32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95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923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8.80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4.05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pStyle w:val="12"/>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rPr>
                          </w:pPr>
                          <w:r>
                            <w:fldChar w:fldCharType="begin"/>
                          </w:r>
                          <w:r>
                            <w:instrText xml:space="preserve"> PAGE  \* MERGEFORMAT </w:instrText>
                          </w:r>
                          <w:r>
                            <w:fldChar w:fldCharType="separate"/>
                          </w:r>
                          <w:r>
                            <w:rPr>
                              <w:rFonts w:hint="default"/>
                            </w:rPr>
                            <w:t>- 14 -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35 -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2F61A5B4"/>
    <w:multiLevelType w:val="singleLevel"/>
    <w:tmpl w:val="2F61A5B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yNTNkMTJkZGQzNWIzMjJkYTNjZGJhZTdiMjNiNzQifQ=="/>
  </w:docVars>
  <w:rsids>
    <w:rsidRoot w:val="00B03CCD"/>
    <w:rsid w:val="00067F11"/>
    <w:rsid w:val="000D0EC1"/>
    <w:rsid w:val="000D3399"/>
    <w:rsid w:val="000D43E9"/>
    <w:rsid w:val="000E6D64"/>
    <w:rsid w:val="00123566"/>
    <w:rsid w:val="00135874"/>
    <w:rsid w:val="0017628C"/>
    <w:rsid w:val="002469AB"/>
    <w:rsid w:val="002772F1"/>
    <w:rsid w:val="00291512"/>
    <w:rsid w:val="002E6EA9"/>
    <w:rsid w:val="00326B87"/>
    <w:rsid w:val="00397CBA"/>
    <w:rsid w:val="00420CD9"/>
    <w:rsid w:val="00435A4D"/>
    <w:rsid w:val="00446915"/>
    <w:rsid w:val="004C52E2"/>
    <w:rsid w:val="00500947"/>
    <w:rsid w:val="00550ABE"/>
    <w:rsid w:val="005C320D"/>
    <w:rsid w:val="005E7431"/>
    <w:rsid w:val="0075220D"/>
    <w:rsid w:val="007522A8"/>
    <w:rsid w:val="007B419D"/>
    <w:rsid w:val="007C3FF3"/>
    <w:rsid w:val="0083490F"/>
    <w:rsid w:val="0083546D"/>
    <w:rsid w:val="008546F8"/>
    <w:rsid w:val="00855112"/>
    <w:rsid w:val="0087771F"/>
    <w:rsid w:val="00896118"/>
    <w:rsid w:val="008F7BFD"/>
    <w:rsid w:val="00937D2A"/>
    <w:rsid w:val="00951A0C"/>
    <w:rsid w:val="00970232"/>
    <w:rsid w:val="009B67B8"/>
    <w:rsid w:val="009D516E"/>
    <w:rsid w:val="009E5162"/>
    <w:rsid w:val="009F593C"/>
    <w:rsid w:val="00AA15F8"/>
    <w:rsid w:val="00AD1579"/>
    <w:rsid w:val="00B03CCD"/>
    <w:rsid w:val="00B34849"/>
    <w:rsid w:val="00B4526D"/>
    <w:rsid w:val="00B90664"/>
    <w:rsid w:val="00C244EE"/>
    <w:rsid w:val="00C6741B"/>
    <w:rsid w:val="00C71CFC"/>
    <w:rsid w:val="00C729C9"/>
    <w:rsid w:val="00CB7538"/>
    <w:rsid w:val="00D41320"/>
    <w:rsid w:val="00D50B3A"/>
    <w:rsid w:val="00D74261"/>
    <w:rsid w:val="00D83BCA"/>
    <w:rsid w:val="00DE49DD"/>
    <w:rsid w:val="00E22858"/>
    <w:rsid w:val="00E272E9"/>
    <w:rsid w:val="00E27FCE"/>
    <w:rsid w:val="00E74A15"/>
    <w:rsid w:val="00E949C0"/>
    <w:rsid w:val="00EE3350"/>
    <w:rsid w:val="00F11527"/>
    <w:rsid w:val="00F31273"/>
    <w:rsid w:val="00F73F90"/>
    <w:rsid w:val="00FA3266"/>
    <w:rsid w:val="00FA4317"/>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8F561EC"/>
    <w:rsid w:val="09041F23"/>
    <w:rsid w:val="09491BC8"/>
    <w:rsid w:val="0969353F"/>
    <w:rsid w:val="098305D0"/>
    <w:rsid w:val="09A3752A"/>
    <w:rsid w:val="0A3317EA"/>
    <w:rsid w:val="0A5C4B69"/>
    <w:rsid w:val="0A86124A"/>
    <w:rsid w:val="0AB54CC0"/>
    <w:rsid w:val="0ABB08A3"/>
    <w:rsid w:val="0B814468"/>
    <w:rsid w:val="0B9335CE"/>
    <w:rsid w:val="0BF2311A"/>
    <w:rsid w:val="0C64719F"/>
    <w:rsid w:val="0C7927C4"/>
    <w:rsid w:val="0C9B098C"/>
    <w:rsid w:val="0D673E11"/>
    <w:rsid w:val="0DDA54E4"/>
    <w:rsid w:val="0E3A5F83"/>
    <w:rsid w:val="0F836721"/>
    <w:rsid w:val="0FA25D96"/>
    <w:rsid w:val="107B59E5"/>
    <w:rsid w:val="10EC0126"/>
    <w:rsid w:val="10F70B9A"/>
    <w:rsid w:val="111445C7"/>
    <w:rsid w:val="114278C6"/>
    <w:rsid w:val="11496C09"/>
    <w:rsid w:val="1158083A"/>
    <w:rsid w:val="11643A4B"/>
    <w:rsid w:val="11ED0F98"/>
    <w:rsid w:val="11F03528"/>
    <w:rsid w:val="11F84EF4"/>
    <w:rsid w:val="12C921C4"/>
    <w:rsid w:val="13871C70"/>
    <w:rsid w:val="13A71CB4"/>
    <w:rsid w:val="13AF1D43"/>
    <w:rsid w:val="13CE1647"/>
    <w:rsid w:val="13FD55AB"/>
    <w:rsid w:val="14200702"/>
    <w:rsid w:val="15C93B4A"/>
    <w:rsid w:val="163A6CEE"/>
    <w:rsid w:val="173708E3"/>
    <w:rsid w:val="176302F9"/>
    <w:rsid w:val="17C374FC"/>
    <w:rsid w:val="182E4AB6"/>
    <w:rsid w:val="189079DC"/>
    <w:rsid w:val="189B0D0B"/>
    <w:rsid w:val="18B43F7C"/>
    <w:rsid w:val="18C354F3"/>
    <w:rsid w:val="194A1770"/>
    <w:rsid w:val="19597C05"/>
    <w:rsid w:val="19B906A4"/>
    <w:rsid w:val="1B6F15B6"/>
    <w:rsid w:val="1BAA2EDC"/>
    <w:rsid w:val="1C0A49D7"/>
    <w:rsid w:val="1CA55E64"/>
    <w:rsid w:val="1D014A01"/>
    <w:rsid w:val="1D022362"/>
    <w:rsid w:val="1D1B04B0"/>
    <w:rsid w:val="1DA52501"/>
    <w:rsid w:val="1DBD6767"/>
    <w:rsid w:val="1DC52125"/>
    <w:rsid w:val="1DD26311"/>
    <w:rsid w:val="1E374ACB"/>
    <w:rsid w:val="1ECF0A66"/>
    <w:rsid w:val="1ED542A5"/>
    <w:rsid w:val="1EF67CA4"/>
    <w:rsid w:val="1F020D3A"/>
    <w:rsid w:val="1F2352E0"/>
    <w:rsid w:val="1F2C5189"/>
    <w:rsid w:val="1F4B0B02"/>
    <w:rsid w:val="1F9C30D2"/>
    <w:rsid w:val="1FBB35CD"/>
    <w:rsid w:val="1FCD26AF"/>
    <w:rsid w:val="20642787"/>
    <w:rsid w:val="20DA0F73"/>
    <w:rsid w:val="214A5F0C"/>
    <w:rsid w:val="21556F04"/>
    <w:rsid w:val="22403BD3"/>
    <w:rsid w:val="24B92327"/>
    <w:rsid w:val="24C14514"/>
    <w:rsid w:val="2503745F"/>
    <w:rsid w:val="2533755C"/>
    <w:rsid w:val="25791755"/>
    <w:rsid w:val="25DC01E3"/>
    <w:rsid w:val="26396DF4"/>
    <w:rsid w:val="267700C0"/>
    <w:rsid w:val="26D20FF7"/>
    <w:rsid w:val="27167136"/>
    <w:rsid w:val="27B23302"/>
    <w:rsid w:val="283527BC"/>
    <w:rsid w:val="29310A5F"/>
    <w:rsid w:val="29C37A35"/>
    <w:rsid w:val="2A076083"/>
    <w:rsid w:val="2A73162E"/>
    <w:rsid w:val="2B167953"/>
    <w:rsid w:val="2B200583"/>
    <w:rsid w:val="2B8209DE"/>
    <w:rsid w:val="2BED20CA"/>
    <w:rsid w:val="2C636760"/>
    <w:rsid w:val="2C6762A3"/>
    <w:rsid w:val="2FCA4B37"/>
    <w:rsid w:val="2FE029D7"/>
    <w:rsid w:val="2FF06E00"/>
    <w:rsid w:val="30586FEC"/>
    <w:rsid w:val="30C6218E"/>
    <w:rsid w:val="315F0B22"/>
    <w:rsid w:val="31D84415"/>
    <w:rsid w:val="32285F6F"/>
    <w:rsid w:val="32770556"/>
    <w:rsid w:val="329C0913"/>
    <w:rsid w:val="32AA0460"/>
    <w:rsid w:val="3337290D"/>
    <w:rsid w:val="333D34E6"/>
    <w:rsid w:val="334A1663"/>
    <w:rsid w:val="33E31118"/>
    <w:rsid w:val="33EF7674"/>
    <w:rsid w:val="342D7BC6"/>
    <w:rsid w:val="352930DB"/>
    <w:rsid w:val="352B265B"/>
    <w:rsid w:val="35573069"/>
    <w:rsid w:val="355F6038"/>
    <w:rsid w:val="358C217E"/>
    <w:rsid w:val="36C9128A"/>
    <w:rsid w:val="36E954A6"/>
    <w:rsid w:val="37841E99"/>
    <w:rsid w:val="37BF1123"/>
    <w:rsid w:val="383C3F15"/>
    <w:rsid w:val="387B329C"/>
    <w:rsid w:val="38BE4696"/>
    <w:rsid w:val="39212EF5"/>
    <w:rsid w:val="3939115E"/>
    <w:rsid w:val="39493CFF"/>
    <w:rsid w:val="39B82A39"/>
    <w:rsid w:val="39C42CA8"/>
    <w:rsid w:val="39CA4CB2"/>
    <w:rsid w:val="39DC4FD6"/>
    <w:rsid w:val="39F03D7A"/>
    <w:rsid w:val="39F33306"/>
    <w:rsid w:val="3A2C1C67"/>
    <w:rsid w:val="3ADD7F09"/>
    <w:rsid w:val="3B1705E5"/>
    <w:rsid w:val="3B18334B"/>
    <w:rsid w:val="3B36794F"/>
    <w:rsid w:val="3B6F6EE0"/>
    <w:rsid w:val="3C566AD6"/>
    <w:rsid w:val="3C594871"/>
    <w:rsid w:val="3C6A5B02"/>
    <w:rsid w:val="3CD236A7"/>
    <w:rsid w:val="3CD36F9B"/>
    <w:rsid w:val="3D2757A1"/>
    <w:rsid w:val="3D3D4FC4"/>
    <w:rsid w:val="3DDF3AB1"/>
    <w:rsid w:val="3E1D0952"/>
    <w:rsid w:val="3E42660A"/>
    <w:rsid w:val="3E7555B1"/>
    <w:rsid w:val="3E787ED9"/>
    <w:rsid w:val="3F032E93"/>
    <w:rsid w:val="3F0527E5"/>
    <w:rsid w:val="3F694D83"/>
    <w:rsid w:val="3F885DCC"/>
    <w:rsid w:val="3FCD675E"/>
    <w:rsid w:val="4000052B"/>
    <w:rsid w:val="4004000C"/>
    <w:rsid w:val="411B6CE5"/>
    <w:rsid w:val="412070D7"/>
    <w:rsid w:val="41314E40"/>
    <w:rsid w:val="416F7716"/>
    <w:rsid w:val="41E0734B"/>
    <w:rsid w:val="426C1EA8"/>
    <w:rsid w:val="42736402"/>
    <w:rsid w:val="42945A5F"/>
    <w:rsid w:val="42E86A87"/>
    <w:rsid w:val="43307B09"/>
    <w:rsid w:val="43605CCC"/>
    <w:rsid w:val="439A3EB9"/>
    <w:rsid w:val="43BB152F"/>
    <w:rsid w:val="44C37687"/>
    <w:rsid w:val="45CB699A"/>
    <w:rsid w:val="45E61C74"/>
    <w:rsid w:val="465B470D"/>
    <w:rsid w:val="469D6AD4"/>
    <w:rsid w:val="471E6C84"/>
    <w:rsid w:val="4748792B"/>
    <w:rsid w:val="475D719D"/>
    <w:rsid w:val="47674801"/>
    <w:rsid w:val="480A0199"/>
    <w:rsid w:val="48225EF7"/>
    <w:rsid w:val="488F422B"/>
    <w:rsid w:val="48E36915"/>
    <w:rsid w:val="48EB6572"/>
    <w:rsid w:val="495C4A24"/>
    <w:rsid w:val="497135DF"/>
    <w:rsid w:val="4A263DF2"/>
    <w:rsid w:val="4A6F6675"/>
    <w:rsid w:val="4B135857"/>
    <w:rsid w:val="4B161A6E"/>
    <w:rsid w:val="4B7951CB"/>
    <w:rsid w:val="4B7C315C"/>
    <w:rsid w:val="4D5A571F"/>
    <w:rsid w:val="4DAC4ACA"/>
    <w:rsid w:val="4DBE01D2"/>
    <w:rsid w:val="4F0C6BA3"/>
    <w:rsid w:val="4F186D58"/>
    <w:rsid w:val="4F1E452A"/>
    <w:rsid w:val="4FA90297"/>
    <w:rsid w:val="50F06B6E"/>
    <w:rsid w:val="51D21804"/>
    <w:rsid w:val="52234D33"/>
    <w:rsid w:val="522F6E0C"/>
    <w:rsid w:val="52463BA1"/>
    <w:rsid w:val="52F163D4"/>
    <w:rsid w:val="531A2DB4"/>
    <w:rsid w:val="53C0244D"/>
    <w:rsid w:val="53CE6D6E"/>
    <w:rsid w:val="53DD4D4E"/>
    <w:rsid w:val="53E578CE"/>
    <w:rsid w:val="541330F0"/>
    <w:rsid w:val="54272666"/>
    <w:rsid w:val="543B029D"/>
    <w:rsid w:val="54861779"/>
    <w:rsid w:val="552256E1"/>
    <w:rsid w:val="554E5773"/>
    <w:rsid w:val="555A3CBC"/>
    <w:rsid w:val="5582012B"/>
    <w:rsid w:val="558C7C12"/>
    <w:rsid w:val="558E4E05"/>
    <w:rsid w:val="55BE2E85"/>
    <w:rsid w:val="56530F5D"/>
    <w:rsid w:val="567700D3"/>
    <w:rsid w:val="56FF7E9E"/>
    <w:rsid w:val="578867FC"/>
    <w:rsid w:val="5842572D"/>
    <w:rsid w:val="59D21433"/>
    <w:rsid w:val="5A380B96"/>
    <w:rsid w:val="5A3B59D6"/>
    <w:rsid w:val="5AB67D7F"/>
    <w:rsid w:val="5AD134D8"/>
    <w:rsid w:val="5C263CE4"/>
    <w:rsid w:val="5C5D2777"/>
    <w:rsid w:val="5CF66BF3"/>
    <w:rsid w:val="5D290C69"/>
    <w:rsid w:val="5E5F326F"/>
    <w:rsid w:val="5F2D4A41"/>
    <w:rsid w:val="601C7FF7"/>
    <w:rsid w:val="60C74F6C"/>
    <w:rsid w:val="61025A59"/>
    <w:rsid w:val="613D5BBC"/>
    <w:rsid w:val="61536C39"/>
    <w:rsid w:val="62944DD7"/>
    <w:rsid w:val="6319381F"/>
    <w:rsid w:val="63612F0B"/>
    <w:rsid w:val="63C25DC5"/>
    <w:rsid w:val="63C62057"/>
    <w:rsid w:val="64571EF5"/>
    <w:rsid w:val="64FB113D"/>
    <w:rsid w:val="656152C6"/>
    <w:rsid w:val="6587477F"/>
    <w:rsid w:val="658C3A08"/>
    <w:rsid w:val="65C031CA"/>
    <w:rsid w:val="65CE6852"/>
    <w:rsid w:val="66267C04"/>
    <w:rsid w:val="663F505A"/>
    <w:rsid w:val="66EE5541"/>
    <w:rsid w:val="671D316F"/>
    <w:rsid w:val="67924660"/>
    <w:rsid w:val="68407834"/>
    <w:rsid w:val="6883293E"/>
    <w:rsid w:val="688412AD"/>
    <w:rsid w:val="68EB1B71"/>
    <w:rsid w:val="6AAD2300"/>
    <w:rsid w:val="6ABA1153"/>
    <w:rsid w:val="6AD40467"/>
    <w:rsid w:val="6B0E1756"/>
    <w:rsid w:val="6B474EF5"/>
    <w:rsid w:val="6C0A5AC5"/>
    <w:rsid w:val="6C560CAE"/>
    <w:rsid w:val="6C576495"/>
    <w:rsid w:val="6D903FF5"/>
    <w:rsid w:val="6DA955B8"/>
    <w:rsid w:val="6DE346AB"/>
    <w:rsid w:val="6DE5391A"/>
    <w:rsid w:val="6EFD1324"/>
    <w:rsid w:val="6F5A53AC"/>
    <w:rsid w:val="6FAC003D"/>
    <w:rsid w:val="6FE55E12"/>
    <w:rsid w:val="6FFB2E76"/>
    <w:rsid w:val="708F6F7F"/>
    <w:rsid w:val="70AE3508"/>
    <w:rsid w:val="70D94BD3"/>
    <w:rsid w:val="713D663A"/>
    <w:rsid w:val="71C34D91"/>
    <w:rsid w:val="72DB435C"/>
    <w:rsid w:val="72E2613A"/>
    <w:rsid w:val="72F771F4"/>
    <w:rsid w:val="73934AD2"/>
    <w:rsid w:val="750837F0"/>
    <w:rsid w:val="754758CF"/>
    <w:rsid w:val="764F62AB"/>
    <w:rsid w:val="765C45EC"/>
    <w:rsid w:val="768A7619"/>
    <w:rsid w:val="772E1EBA"/>
    <w:rsid w:val="774261D2"/>
    <w:rsid w:val="781926BC"/>
    <w:rsid w:val="796D60A4"/>
    <w:rsid w:val="79A031D5"/>
    <w:rsid w:val="7A0A4093"/>
    <w:rsid w:val="7A1525F7"/>
    <w:rsid w:val="7B420052"/>
    <w:rsid w:val="7BD06A28"/>
    <w:rsid w:val="7C3A7C0B"/>
    <w:rsid w:val="7C5248E4"/>
    <w:rsid w:val="7C566698"/>
    <w:rsid w:val="7C5866A3"/>
    <w:rsid w:val="7D0338A2"/>
    <w:rsid w:val="7D7406BB"/>
    <w:rsid w:val="7DE94331"/>
    <w:rsid w:val="7EA121FE"/>
    <w:rsid w:val="7F446A19"/>
    <w:rsid w:val="7F7452B9"/>
    <w:rsid w:val="7F916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567"/>
    </w:pPr>
  </w:style>
  <w:style w:type="paragraph" w:styleId="3">
    <w:name w:val="annotation text"/>
    <w:basedOn w:val="1"/>
    <w:qFormat/>
    <w:uiPriority w:val="0"/>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link w:val="17"/>
    <w:qFormat/>
    <w:uiPriority w:val="99"/>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29"/>
    <w:qFormat/>
    <w:uiPriority w:val="0"/>
    <w:rPr>
      <w:rFonts w:hint="default" w:ascii="Times New Roman" w:hAnsi="Times New Roman" w:cs="Times New Roman"/>
      <w:b/>
    </w:rPr>
  </w:style>
  <w:style w:type="character" w:customStyle="1" w:styleId="17">
    <w:name w:val="页眉 字符"/>
    <w:basedOn w:val="10"/>
    <w:link w:val="5"/>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14106</Words>
  <Characters>20880</Characters>
  <Lines>203</Lines>
  <Paragraphs>57</Paragraphs>
  <TotalTime>1</TotalTime>
  <ScaleCrop>false</ScaleCrop>
  <LinksUpToDate>false</LinksUpToDate>
  <CharactersWithSpaces>23704</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2024-08-21T09:09:00Z</dcterms:created>
  <dc:creator>Administrator</dc:creator>
  <cp:lastModifiedBy>Administrator</cp:lastModifiedBy>
  <dcterms:modified xsi:type="dcterms:W3CDTF">2025-07-16T06:05:47Z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BB46EABDBB2749749395447164B066B3_12</vt:lpwstr>
  </property>
</Properties>
</file>