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垫江县新民镇劳动就业和社会保障服务所</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（一）职能职责</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宋体"/>
          <w:sz w:val="32"/>
          <w:szCs w:val="32"/>
        </w:rPr>
        <w:t>负责劳动就业和社会保障、农村劳务开发管理等具体工作。负责就业培训、职业指导、就</w:t>
      </w:r>
      <w:r>
        <w:rPr>
          <w:rFonts w:hint="eastAsia" w:ascii="方正仿宋_GBK" w:hAnsi="方正仿宋_GBK" w:eastAsia="方正仿宋_GBK" w:cs="方正仿宋_GBK"/>
          <w:sz w:val="32"/>
          <w:szCs w:val="32"/>
          <w:shd w:val="clear" w:color="auto" w:fill="FFFFFF"/>
        </w:rPr>
        <w:t>业失业登记等相关工作。负责养老、医疗、工伤、生育、失业保险具体办理工作。负责劳动关系协调、离退休人员社会管理服务等工作。</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（二）机构设置</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宋体"/>
          <w:sz w:val="32"/>
          <w:szCs w:val="32"/>
        </w:rPr>
        <w:t>本单位为垫江县新民镇劳动就业和社会保障服务所，所属二级预算单位，单位类型</w:t>
      </w:r>
      <w:r>
        <w:rPr>
          <w:rFonts w:hint="eastAsia" w:ascii="方正仿宋_GBK" w:hAnsi="方正仿宋_GBK" w:eastAsia="方正仿宋_GBK" w:cs="方正仿宋_GBK"/>
          <w:sz w:val="32"/>
          <w:szCs w:val="32"/>
          <w:shd w:val="clear" w:color="auto" w:fill="FFFFFF"/>
        </w:rPr>
        <w:t>为公益一类事业单位。本单位现有在职职工7人。</w:t>
      </w:r>
    </w:p>
    <w:p>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2023年度收入总计164.75万元，支出总计</w:t>
      </w:r>
      <w:r>
        <w:rPr>
          <w:rFonts w:ascii="方正仿宋_GBK" w:hAnsi="方正仿宋_GBK" w:eastAsia="方正仿宋_GBK" w:cs="方正仿宋_GBK"/>
          <w:sz w:val="32"/>
          <w:szCs w:val="32"/>
        </w:rPr>
        <w:t>164.75</w:t>
      </w:r>
      <w:r>
        <w:rPr>
          <w:rFonts w:ascii="方正仿宋_GBK" w:hAnsi="方正仿宋_GBK" w:eastAsia="方正仿宋_GBK" w:cs="方正仿宋_GBK"/>
          <w:sz w:val="32"/>
          <w:szCs w:val="32"/>
          <w:shd w:val="clear" w:color="auto" w:fill="FFFFFF"/>
        </w:rPr>
        <w:t>万元。收支较上年决算数增加164.75万元，增长100.00%，主要原因是本单位为2023年新增决算单位，无上年数。</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2023年度收入合计164.75万元，较上年决算数增加164.75万元，增长100.00%，主要原因是本单位为2023年新增决算单位，无上年数。其中：财政拨款收入</w:t>
      </w:r>
      <w:r>
        <w:rPr>
          <w:rFonts w:ascii="方正仿宋_GBK" w:hAnsi="方正仿宋_GBK" w:eastAsia="方正仿宋_GBK" w:cs="方正仿宋_GBK"/>
          <w:sz w:val="32"/>
          <w:szCs w:val="32"/>
        </w:rPr>
        <w:t>164.75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164.75</w:t>
      </w:r>
      <w:r>
        <w:rPr>
          <w:rFonts w:ascii="方正仿宋_GBK" w:hAnsi="方正仿宋_GBK" w:eastAsia="方正仿宋_GBK" w:cs="方正仿宋_GBK"/>
          <w:sz w:val="32"/>
          <w:szCs w:val="32"/>
          <w:shd w:val="clear" w:color="auto" w:fill="FFFFFF"/>
        </w:rPr>
        <w:t>万元，较上年决算数增加164.75万元，增长100.00%，主要原因是本单位为2023年新增决算单位，无上年数。其中：基本支出</w:t>
      </w:r>
      <w:r>
        <w:rPr>
          <w:rFonts w:ascii="方正仿宋_GBK" w:hAnsi="方正仿宋_GBK" w:eastAsia="方正仿宋_GBK" w:cs="方正仿宋_GBK"/>
          <w:sz w:val="32"/>
          <w:szCs w:val="32"/>
        </w:rPr>
        <w:t>161.45</w:t>
      </w:r>
      <w:r>
        <w:rPr>
          <w:rFonts w:ascii="方正仿宋_GBK" w:hAnsi="方正仿宋_GBK" w:eastAsia="方正仿宋_GBK" w:cs="方正仿宋_GBK"/>
          <w:sz w:val="32"/>
          <w:szCs w:val="32"/>
          <w:shd w:val="clear" w:color="auto" w:fill="FFFFFF"/>
        </w:rPr>
        <w:t>万元，占98.00%；项目支出</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万元，占2.00%；经营支出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万元，较上年决算数无增减，主要原因是本单位为2023年新增决算单位，无上年数。</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2023年度财政拨款收、支总计164.75万元。与2022年相比，财政拨款收、支总计各增加164.75万元，增长100.00%。主要原因是本单位为2023年新增决算单位，无上年数。</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164.75</w:t>
      </w:r>
      <w:r>
        <w:rPr>
          <w:rFonts w:ascii="方正仿宋_GBK" w:hAnsi="方正仿宋_GBK" w:eastAsia="方正仿宋_GBK" w:cs="方正仿宋_GBK"/>
          <w:sz w:val="32"/>
          <w:szCs w:val="32"/>
          <w:shd w:val="clear" w:color="auto" w:fill="FFFFFF"/>
        </w:rPr>
        <w:t>万元，较上年决算数增加164.75万元，增长100.00%。主要原因是本单位为2023年新增决算单位，无上年数。较年初预算数减少0.97万元，下降0.59%。主要原因是年初根据上年产生的工资基数概算本年年初预算数，上年人员晋升产生的工资浮动比2023年大，故预算基数高，2023年支出数为实际正常支出。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164.75</w:t>
      </w:r>
      <w:r>
        <w:rPr>
          <w:rFonts w:ascii="方正仿宋_GBK" w:hAnsi="方正仿宋_GBK" w:eastAsia="方正仿宋_GBK" w:cs="方正仿宋_GBK"/>
          <w:sz w:val="32"/>
          <w:szCs w:val="32"/>
          <w:shd w:val="clear" w:color="auto" w:fill="FFFFFF"/>
        </w:rPr>
        <w:t>万元，较上年决算数增加164.75万元，增长100.00%。主要原因是本单位为2023年新增决算单位，无上年数。较年初预算数减少0.97万元，下降0.59%。主要原因是年初根据上年产生的工资基数概算本年年初预算数，上年人员晋升产生的工资浮动比2023年大，故预算基数高，2023年支出数为实际正常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万元，较上年决算数无增减，主要原因是本单位为2023年度新增决算单位，无上年数，收支平衡无结转结余。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149.69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90.86</w:t>
      </w:r>
      <w:r>
        <w:rPr>
          <w:rFonts w:ascii="方正仿宋_GBK" w:hAnsi="方正仿宋_GBK" w:eastAsia="方正仿宋_GBK" w:cs="方正仿宋_GBK"/>
          <w:sz w:val="32"/>
          <w:szCs w:val="32"/>
          <w:shd w:val="clear" w:color="auto" w:fill="FFFFFF"/>
        </w:rPr>
        <w:t>%，较年初预算数减少1.83万元，下降1.21%，主要原因是年初根据上年产生的工资基数概算本年年初预算数，上年人员晋升产生的工资浮动比2023年大，故预算基数高，2023年支出数为实际正常支出（养老、职业年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3.19</w:t>
      </w:r>
      <w:r>
        <w:rPr>
          <w:rFonts w:ascii="方正仿宋_GBK" w:hAnsi="方正仿宋_GBK" w:eastAsia="方正仿宋_GBK" w:cs="方正仿宋_GBK"/>
          <w:sz w:val="32"/>
          <w:szCs w:val="32"/>
          <w:shd w:val="clear" w:color="auto" w:fill="FFFFFF"/>
        </w:rPr>
        <w:t>%，较年初预算数减少1.19万元，下降18.45%，主要原因是年初根据上年产生的工资基数概算本年年初预算数，上年人员晋升产生的工资浮动比2023年大，故预算基数高，2023年支出数为实际正常支出（医疗）。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住房保障支出9.80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5.95</w:t>
      </w:r>
      <w:r>
        <w:rPr>
          <w:rFonts w:ascii="方正仿宋_GBK" w:hAnsi="方正仿宋_GBK" w:eastAsia="方正仿宋_GBK" w:cs="方正仿宋_GBK"/>
          <w:sz w:val="32"/>
          <w:szCs w:val="32"/>
          <w:shd w:val="clear" w:color="auto" w:fill="FFFFFF"/>
        </w:rPr>
        <w:t>%，较年初预算数增加2.06万元，增长26.61%，主要原因是职工住房公积金基数调标。</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161.45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153.63万元，较上年决算数增加153.63万元，增长100.00%，主要原因是本单位为2023年新增决算单位，无上年数。人员经费用途主要包括</w:t>
      </w:r>
      <w:r>
        <w:rPr>
          <w:rFonts w:ascii="方正仿宋_GBK" w:hAnsi="方正仿宋_GBK" w:eastAsia="方正仿宋_GBK" w:cs="方正仿宋_GBK"/>
          <w:sz w:val="32"/>
          <w:szCs w:val="32"/>
          <w:shd w:val="clear" w:color="auto" w:fill="FFFFFF"/>
        </w:rPr>
        <w:t>基本工资</w:t>
      </w:r>
      <w:r>
        <w:rPr>
          <w:rFonts w:hint="default" w:ascii="方正仿宋_GBK" w:hAnsi="方正仿宋_GBK" w:eastAsia="方正仿宋_GBK" w:cs="方正仿宋_GBK"/>
          <w:sz w:val="32"/>
          <w:szCs w:val="32"/>
          <w:shd w:val="clear" w:color="auto" w:fill="FFFFFF"/>
        </w:rPr>
        <w:t>29.36</w:t>
      </w:r>
      <w:r>
        <w:rPr>
          <w:rFonts w:ascii="方正仿宋_GBK" w:hAnsi="方正仿宋_GBK" w:eastAsia="方正仿宋_GBK" w:cs="方正仿宋_GBK"/>
          <w:sz w:val="32"/>
          <w:szCs w:val="32"/>
          <w:shd w:val="clear" w:color="auto" w:fill="FFFFFF"/>
        </w:rPr>
        <w:t>万元、津贴补贴</w:t>
      </w:r>
      <w:r>
        <w:rPr>
          <w:rFonts w:hint="default" w:ascii="方正仿宋_GBK" w:hAnsi="方正仿宋_GBK" w:eastAsia="方正仿宋_GBK" w:cs="方正仿宋_GBK"/>
          <w:sz w:val="32"/>
          <w:szCs w:val="32"/>
          <w:shd w:val="clear" w:color="auto" w:fill="FFFFFF"/>
        </w:rPr>
        <w:t>4.99</w:t>
      </w:r>
      <w:r>
        <w:rPr>
          <w:rFonts w:ascii="方正仿宋_GBK" w:hAnsi="方正仿宋_GBK" w:eastAsia="方正仿宋_GBK" w:cs="方正仿宋_GBK"/>
          <w:sz w:val="32"/>
          <w:szCs w:val="32"/>
          <w:shd w:val="clear" w:color="auto" w:fill="FFFFFF"/>
        </w:rPr>
        <w:t>万元、绩效工资</w:t>
      </w:r>
      <w:r>
        <w:rPr>
          <w:rFonts w:hint="default" w:ascii="方正仿宋_GBK" w:hAnsi="方正仿宋_GBK" w:eastAsia="方正仿宋_GBK" w:cs="方正仿宋_GBK"/>
          <w:sz w:val="32"/>
          <w:szCs w:val="32"/>
          <w:shd w:val="clear" w:color="auto" w:fill="FFFFFF"/>
        </w:rPr>
        <w:t>87.65</w:t>
      </w:r>
      <w:r>
        <w:rPr>
          <w:rFonts w:ascii="方正仿宋_GBK" w:hAnsi="方正仿宋_GBK" w:eastAsia="方正仿宋_GBK" w:cs="方正仿宋_GBK"/>
          <w:sz w:val="32"/>
          <w:szCs w:val="32"/>
          <w:shd w:val="clear" w:color="auto" w:fill="FFFFFF"/>
        </w:rPr>
        <w:t>万元、机关事业单位基本养老保险缴费</w:t>
      </w:r>
      <w:r>
        <w:rPr>
          <w:rFonts w:hint="default" w:ascii="方正仿宋_GBK" w:hAnsi="方正仿宋_GBK" w:eastAsia="方正仿宋_GBK" w:cs="方正仿宋_GBK"/>
          <w:sz w:val="32"/>
          <w:szCs w:val="32"/>
          <w:shd w:val="clear" w:color="auto" w:fill="FFFFFF"/>
        </w:rPr>
        <w:t>8.63</w:t>
      </w:r>
      <w:r>
        <w:rPr>
          <w:rFonts w:ascii="方正仿宋_GBK" w:hAnsi="方正仿宋_GBK" w:eastAsia="方正仿宋_GBK" w:cs="方正仿宋_GBK"/>
          <w:sz w:val="32"/>
          <w:szCs w:val="32"/>
          <w:shd w:val="clear" w:color="auto" w:fill="FFFFFF"/>
        </w:rPr>
        <w:t>万元、职业年金缴费</w:t>
      </w:r>
      <w:r>
        <w:rPr>
          <w:rFonts w:hint="default" w:ascii="方正仿宋_GBK" w:hAnsi="方正仿宋_GBK" w:eastAsia="方正仿宋_GBK" w:cs="方正仿宋_GBK"/>
          <w:sz w:val="32"/>
          <w:szCs w:val="32"/>
          <w:shd w:val="clear" w:color="auto" w:fill="FFFFFF"/>
        </w:rPr>
        <w:t>4.31</w:t>
      </w:r>
      <w:r>
        <w:rPr>
          <w:rFonts w:ascii="方正仿宋_GBK" w:hAnsi="方正仿宋_GBK" w:eastAsia="方正仿宋_GBK" w:cs="方正仿宋_GBK"/>
          <w:sz w:val="32"/>
          <w:szCs w:val="32"/>
          <w:shd w:val="clear" w:color="auto" w:fill="FFFFFF"/>
        </w:rPr>
        <w:t>万元、职工基本医疗保险缴费</w:t>
      </w:r>
      <w:r>
        <w:rPr>
          <w:rFonts w:hint="default" w:ascii="方正仿宋_GBK" w:hAnsi="方正仿宋_GBK" w:eastAsia="方正仿宋_GBK" w:cs="方正仿宋_GBK"/>
          <w:sz w:val="32"/>
          <w:szCs w:val="32"/>
          <w:shd w:val="clear" w:color="auto" w:fill="FFFFFF"/>
        </w:rPr>
        <w:t>5.26</w:t>
      </w:r>
      <w:r>
        <w:rPr>
          <w:rFonts w:ascii="方正仿宋_GBK" w:hAnsi="方正仿宋_GBK" w:eastAsia="方正仿宋_GBK" w:cs="方正仿宋_GBK"/>
          <w:sz w:val="32"/>
          <w:szCs w:val="32"/>
          <w:shd w:val="clear" w:color="auto" w:fill="FFFFFF"/>
        </w:rPr>
        <w:t>万元、其他社会保障缴费</w:t>
      </w:r>
      <w:r>
        <w:rPr>
          <w:rFonts w:hint="default" w:ascii="方正仿宋_GBK" w:hAnsi="方正仿宋_GBK" w:eastAsia="方正仿宋_GBK" w:cs="方正仿宋_GBK"/>
          <w:sz w:val="32"/>
          <w:szCs w:val="32"/>
          <w:shd w:val="clear" w:color="auto" w:fill="FFFFFF"/>
        </w:rPr>
        <w:t>0.14</w:t>
      </w:r>
      <w:r>
        <w:rPr>
          <w:rFonts w:ascii="方正仿宋_GBK" w:hAnsi="方正仿宋_GBK" w:eastAsia="方正仿宋_GBK" w:cs="方正仿宋_GBK"/>
          <w:sz w:val="32"/>
          <w:szCs w:val="32"/>
          <w:shd w:val="clear" w:color="auto" w:fill="FFFFFF"/>
        </w:rPr>
        <w:t>万元、住房公积金</w:t>
      </w:r>
      <w:r>
        <w:rPr>
          <w:rFonts w:hint="default" w:ascii="方正仿宋_GBK" w:hAnsi="方正仿宋_GBK" w:eastAsia="方正仿宋_GBK" w:cs="方正仿宋_GBK"/>
          <w:sz w:val="32"/>
          <w:szCs w:val="32"/>
          <w:shd w:val="clear" w:color="auto" w:fill="FFFFFF"/>
        </w:rPr>
        <w:t>9.80</w:t>
      </w:r>
      <w:r>
        <w:rPr>
          <w:rFonts w:ascii="方正仿宋_GBK" w:hAnsi="方正仿宋_GBK" w:eastAsia="方正仿宋_GBK" w:cs="方正仿宋_GBK"/>
          <w:sz w:val="32"/>
          <w:szCs w:val="32"/>
          <w:shd w:val="clear" w:color="auto" w:fill="FFFFFF"/>
        </w:rPr>
        <w:t>万元、医疗费</w:t>
      </w:r>
      <w:r>
        <w:rPr>
          <w:rFonts w:hint="default" w:ascii="方正仿宋_GBK" w:hAnsi="方正仿宋_GBK" w:eastAsia="方正仿宋_GBK" w:cs="方正仿宋_GBK"/>
          <w:sz w:val="32"/>
          <w:szCs w:val="32"/>
          <w:shd w:val="clear" w:color="auto" w:fill="FFFFFF"/>
        </w:rPr>
        <w:t>1.28</w:t>
      </w:r>
      <w:r>
        <w:rPr>
          <w:rFonts w:ascii="方正仿宋_GBK" w:hAnsi="方正仿宋_GBK" w:eastAsia="方正仿宋_GBK" w:cs="方正仿宋_GBK"/>
          <w:sz w:val="32"/>
          <w:szCs w:val="32"/>
          <w:shd w:val="clear" w:color="auto" w:fill="FFFFFF"/>
        </w:rPr>
        <w:t>万元、其他工资福利支出</w:t>
      </w:r>
      <w:r>
        <w:rPr>
          <w:rFonts w:hint="default" w:ascii="方正仿宋_GBK" w:hAnsi="方正仿宋_GBK" w:eastAsia="方正仿宋_GBK" w:cs="方正仿宋_GBK"/>
          <w:sz w:val="32"/>
          <w:szCs w:val="32"/>
          <w:shd w:val="clear" w:color="auto" w:fill="FFFFFF"/>
        </w:rPr>
        <w:t>2.18</w:t>
      </w:r>
      <w:r>
        <w:rPr>
          <w:rFonts w:ascii="方正仿宋_GBK" w:hAnsi="方正仿宋_GBK" w:eastAsia="方正仿宋_GBK" w:cs="方正仿宋_GBK"/>
          <w:sz w:val="32"/>
          <w:szCs w:val="32"/>
          <w:shd w:val="clear" w:color="auto" w:fill="FFFFFF"/>
        </w:rPr>
        <w:t>万元，医疗费补助0</w:t>
      </w:r>
      <w:r>
        <w:rPr>
          <w:rFonts w:hint="default" w:ascii="方正仿宋_GBK" w:hAnsi="方正仿宋_GBK" w:eastAsia="方正仿宋_GBK" w:cs="方正仿宋_GBK"/>
          <w:sz w:val="32"/>
          <w:szCs w:val="32"/>
          <w:shd w:val="clear" w:color="auto" w:fill="FFFFFF"/>
        </w:rPr>
        <w:t>.04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公用经费7.81万元，</w:t>
      </w:r>
      <w:r>
        <w:rPr>
          <w:rFonts w:ascii="方正仿宋_GBK" w:hAnsi="方正仿宋_GBK" w:eastAsia="方正仿宋_GBK" w:cs="方正仿宋_GBK"/>
          <w:sz w:val="32"/>
          <w:szCs w:val="32"/>
          <w:shd w:val="clear" w:color="auto" w:fill="FFFFFF"/>
        </w:rPr>
        <w:t>较上年决算数增加7.81万元，增长100.00%，主要原因是本单位为2023年新增决算单位，无上年数。公用经费用途主要包括电费1</w:t>
      </w:r>
      <w:r>
        <w:rPr>
          <w:rFonts w:hint="default" w:ascii="方正仿宋_GBK" w:hAnsi="方正仿宋_GBK" w:eastAsia="方正仿宋_GBK" w:cs="方正仿宋_GBK"/>
          <w:sz w:val="32"/>
          <w:szCs w:val="32"/>
          <w:shd w:val="clear" w:color="auto" w:fill="FFFFFF"/>
        </w:rPr>
        <w:t>.25</w:t>
      </w:r>
      <w:r>
        <w:rPr>
          <w:rFonts w:ascii="方正仿宋_GBK" w:hAnsi="方正仿宋_GBK" w:eastAsia="方正仿宋_GBK" w:cs="方正仿宋_GBK"/>
          <w:sz w:val="32"/>
          <w:szCs w:val="32"/>
          <w:shd w:val="clear" w:color="auto" w:fill="FFFFFF"/>
        </w:rPr>
        <w:t>万元、差旅费</w:t>
      </w:r>
      <w:r>
        <w:rPr>
          <w:rFonts w:hint="default" w:ascii="方正仿宋_GBK" w:hAnsi="方正仿宋_GBK" w:eastAsia="方正仿宋_GBK" w:cs="方正仿宋_GBK"/>
          <w:sz w:val="32"/>
          <w:szCs w:val="32"/>
          <w:shd w:val="clear" w:color="auto" w:fill="FFFFFF"/>
        </w:rPr>
        <w:t>6.56</w:t>
      </w:r>
      <w:r>
        <w:rPr>
          <w:rFonts w:ascii="方正仿宋_GBK" w:hAnsi="方正仿宋_GBK" w:eastAsia="方正仿宋_GBK" w:cs="方正仿宋_GBK"/>
          <w:sz w:val="32"/>
          <w:szCs w:val="32"/>
          <w:shd w:val="clear" w:color="auto" w:fill="FFFFFF"/>
        </w:rPr>
        <w:t>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万元，较上年决算数无增减，主要原因是本单位为2023年新增决算单位，与政府本级共同办公，无会议费产生。本年度培训费支出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万元，较上年决算数无变化，主要原因是本单位为2023年新增决算单位，与政府本级共同办公，职工继续教育培训费在本级支出。</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3.30</w:t>
      </w:r>
      <w:r>
        <w:rPr>
          <w:rFonts w:hint="eastAsia" w:ascii="方正仿宋_GBK" w:hAnsi="方正仿宋_GBK" w:eastAsia="方正仿宋_GBK" w:cs="方正仿宋_GBK"/>
          <w:sz w:val="32"/>
          <w:szCs w:val="32"/>
          <w:shd w:val="clear" w:color="auto" w:fill="FFFFFF"/>
        </w:rPr>
        <w:t>万元。本报告中主要列举以下</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个二级项目：</w:t>
      </w:r>
      <w:r>
        <w:rPr>
          <w:rFonts w:ascii="方正仿宋_GBK" w:hAnsi="方正仿宋_GBK" w:eastAsia="方正仿宋_GBK" w:cs="方正仿宋_GBK"/>
          <w:sz w:val="32"/>
          <w:szCs w:val="32"/>
          <w:shd w:val="clear" w:color="auto" w:fill="FFFFFF"/>
        </w:rPr>
        <w:t>高校毕业生“三支一扶”计划补助资金</w:t>
      </w:r>
      <w:r>
        <w:rPr>
          <w:rFonts w:hint="eastAsia" w:ascii="方正仿宋_GBK" w:hAnsi="方正仿宋_GBK" w:eastAsia="方正仿宋_GBK" w:cs="方正仿宋_GBK"/>
          <w:sz w:val="32"/>
          <w:szCs w:val="32"/>
          <w:shd w:val="clear" w:color="auto" w:fill="FFFFFF"/>
        </w:rPr>
        <w:t>。</w:t>
      </w:r>
    </w:p>
    <w:tbl>
      <w:tblPr>
        <w:tblStyle w:val="8"/>
        <w:tblW w:w="5000" w:type="pct"/>
        <w:tblInd w:w="0" w:type="dxa"/>
        <w:tblLayout w:type="autofit"/>
        <w:tblCellMar>
          <w:top w:w="0" w:type="dxa"/>
          <w:left w:w="108" w:type="dxa"/>
          <w:bottom w:w="0" w:type="dxa"/>
          <w:right w:w="108" w:type="dxa"/>
        </w:tblCellMar>
      </w:tblPr>
      <w:tblGrid>
        <w:gridCol w:w="1567"/>
        <w:gridCol w:w="849"/>
        <w:gridCol w:w="849"/>
        <w:gridCol w:w="772"/>
        <w:gridCol w:w="613"/>
        <w:gridCol w:w="680"/>
        <w:gridCol w:w="759"/>
        <w:gridCol w:w="534"/>
        <w:gridCol w:w="534"/>
        <w:gridCol w:w="693"/>
        <w:gridCol w:w="681"/>
      </w:tblGrid>
      <w:tr>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高校毕业生“三支一扶”计划补助资金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50023122T000002048719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val="en-US"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bookmarkStart w:id="0" w:name="_GoBack"/>
            <w:r>
              <w:rPr>
                <w:rFonts w:ascii="Times New Roman" w:hAnsi="Times New Roman" w:eastAsia="方正仿宋_GBK"/>
                <w:color w:val="000000"/>
                <w:kern w:val="2"/>
                <w:sz w:val="20"/>
                <w:szCs w:val="20"/>
              </w:rPr>
              <w:t>023-74578690</w:t>
            </w:r>
            <w:bookmarkEnd w:id="0"/>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499" w:hRule="atLeast"/>
        </w:trPr>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33,000.00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24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4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2" w:hRule="atLeast"/>
        </w:trPr>
        <w:tc>
          <w:tcPr>
            <w:tcW w:w="2432"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高校毕业生“三支一扶”计划补助资金</w:t>
            </w:r>
          </w:p>
        </w:tc>
        <w:tc>
          <w:tcPr>
            <w:tcW w:w="1474"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高校毕业生“三支一扶”计划补助资金</w:t>
            </w:r>
          </w:p>
        </w:tc>
        <w:tc>
          <w:tcPr>
            <w:tcW w:w="1093"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涉及人数</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人</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报站高校毕业生“三支一扶”人员工资</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33000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33000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bl>
    <w:p>
      <w:pPr>
        <w:pStyle w:val="12"/>
        <w:autoSpaceDE w:val="0"/>
        <w:ind w:firstLine="643"/>
        <w:rPr>
          <w:rFonts w:ascii="楷体" w:hAnsi="楷体" w:eastAsia="楷体" w:cs="楷体"/>
          <w:b/>
          <w:bCs/>
          <w:sz w:val="32"/>
          <w:szCs w:val="32"/>
          <w:shd w:val="clear" w:color="auto" w:fill="FFFFFF"/>
          <w:lang w:bidi="ar"/>
        </w:rPr>
      </w:pP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我单位未开展绩效评价。</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本单位决算公开信息反馈和联系方式：023-7457</w:t>
      </w:r>
      <w:r>
        <w:rPr>
          <w:rFonts w:hint="default" w:ascii="方正仿宋_GBK" w:hAnsi="方正仿宋_GBK" w:eastAsia="方正仿宋_GBK" w:cs="方正仿宋_GBK"/>
          <w:sz w:val="32"/>
          <w:szCs w:val="32"/>
          <w:shd w:val="clear" w:color="auto" w:fill="FFFFFF"/>
        </w:rPr>
        <w:t>7588</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公开单位：垫江县新民镇劳动就业和社会保障服务所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149.69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164.75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公开单位：垫江县新民镇劳动就业和社会保障服务所</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164.75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164.75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垫江县新民镇劳动就业和社会保障服务所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164.75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161.45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3.30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149.69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146.39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164.75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164.75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164.75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161.45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149.69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146.39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133.41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12.98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153.63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7.81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垫江县新民镇劳动就业和社会保障服务所</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NkMTJkZGQzNWIzMjJkYTNjZGJhZTdiMjNiNzQifQ=="/>
  </w:docVars>
  <w:rsids>
    <w:rsidRoot w:val="00B03CCD"/>
    <w:rsid w:val="000140BF"/>
    <w:rsid w:val="00064711"/>
    <w:rsid w:val="000820E0"/>
    <w:rsid w:val="0014664A"/>
    <w:rsid w:val="001A75BC"/>
    <w:rsid w:val="001D1AD5"/>
    <w:rsid w:val="001E12A6"/>
    <w:rsid w:val="001F3A1E"/>
    <w:rsid w:val="00366C60"/>
    <w:rsid w:val="003C2AA6"/>
    <w:rsid w:val="004127F0"/>
    <w:rsid w:val="00481D71"/>
    <w:rsid w:val="00550ABE"/>
    <w:rsid w:val="00590301"/>
    <w:rsid w:val="00637B8C"/>
    <w:rsid w:val="006443F9"/>
    <w:rsid w:val="006569CA"/>
    <w:rsid w:val="0077302F"/>
    <w:rsid w:val="007B419D"/>
    <w:rsid w:val="008371C3"/>
    <w:rsid w:val="009B67B8"/>
    <w:rsid w:val="00A06B24"/>
    <w:rsid w:val="00B03CCD"/>
    <w:rsid w:val="00B5169C"/>
    <w:rsid w:val="00B532AF"/>
    <w:rsid w:val="00C01CE2"/>
    <w:rsid w:val="00CC5E6F"/>
    <w:rsid w:val="00CD0582"/>
    <w:rsid w:val="00D25353"/>
    <w:rsid w:val="00F06EC0"/>
    <w:rsid w:val="00F1466A"/>
    <w:rsid w:val="00F54022"/>
    <w:rsid w:val="00F73F90"/>
    <w:rsid w:val="00FB75C6"/>
    <w:rsid w:val="01474EBF"/>
    <w:rsid w:val="01583748"/>
    <w:rsid w:val="01B00587"/>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C1277"/>
    <w:rsid w:val="08BA052C"/>
    <w:rsid w:val="08DB07BA"/>
    <w:rsid w:val="0969353F"/>
    <w:rsid w:val="098305D0"/>
    <w:rsid w:val="0A3317EA"/>
    <w:rsid w:val="0A5C4B69"/>
    <w:rsid w:val="0A86124A"/>
    <w:rsid w:val="0AB17A25"/>
    <w:rsid w:val="0AB54CC0"/>
    <w:rsid w:val="0B9335CE"/>
    <w:rsid w:val="0BF2311A"/>
    <w:rsid w:val="0C7927C4"/>
    <w:rsid w:val="0C9B098C"/>
    <w:rsid w:val="0D114566"/>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204BF"/>
    <w:rsid w:val="163A6CEE"/>
    <w:rsid w:val="173708E3"/>
    <w:rsid w:val="17C374FC"/>
    <w:rsid w:val="182E4AB6"/>
    <w:rsid w:val="18326EC3"/>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0B5246"/>
    <w:rsid w:val="1E374ACB"/>
    <w:rsid w:val="1ECF0A66"/>
    <w:rsid w:val="1EF67CA4"/>
    <w:rsid w:val="1F020D3A"/>
    <w:rsid w:val="1F2C5189"/>
    <w:rsid w:val="1F2D4CEF"/>
    <w:rsid w:val="1F4B0B02"/>
    <w:rsid w:val="1FB057E7"/>
    <w:rsid w:val="1FBB35CD"/>
    <w:rsid w:val="1FCD26AF"/>
    <w:rsid w:val="20642787"/>
    <w:rsid w:val="21556F04"/>
    <w:rsid w:val="22403BD3"/>
    <w:rsid w:val="232A616E"/>
    <w:rsid w:val="24B92327"/>
    <w:rsid w:val="24C14514"/>
    <w:rsid w:val="2533755C"/>
    <w:rsid w:val="25791755"/>
    <w:rsid w:val="26396DF4"/>
    <w:rsid w:val="268B225B"/>
    <w:rsid w:val="27167136"/>
    <w:rsid w:val="27B23302"/>
    <w:rsid w:val="29310A5F"/>
    <w:rsid w:val="29C37A35"/>
    <w:rsid w:val="2A076083"/>
    <w:rsid w:val="2A73162E"/>
    <w:rsid w:val="2B167953"/>
    <w:rsid w:val="2B200583"/>
    <w:rsid w:val="2B8209DE"/>
    <w:rsid w:val="2C636760"/>
    <w:rsid w:val="2C6762A3"/>
    <w:rsid w:val="2CB94EFA"/>
    <w:rsid w:val="2D9E2485"/>
    <w:rsid w:val="2F8B6B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9300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DC47B7"/>
    <w:rsid w:val="4A263DF2"/>
    <w:rsid w:val="4A6F6675"/>
    <w:rsid w:val="4B135857"/>
    <w:rsid w:val="4B7951CB"/>
    <w:rsid w:val="4B7C315C"/>
    <w:rsid w:val="4B9D7E91"/>
    <w:rsid w:val="4D4B03F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AF4531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712BBB"/>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AA3803"/>
    <w:rsid w:val="7BD06A28"/>
    <w:rsid w:val="7BDD225D"/>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8810</Words>
  <Characters>10557</Characters>
  <Lines>95</Lines>
  <Paragraphs>26</Paragraphs>
  <TotalTime>5</TotalTime>
  <ScaleCrop>false</ScaleCrop>
  <LinksUpToDate>false</LinksUpToDate>
  <CharactersWithSpaces>11552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2024-08-21T09:12:00Z</dcterms:created>
  <dc:creator>Administrator</dc:creator>
  <cp:lastModifiedBy>Administrator</cp:lastModifiedBy>
  <dcterms:modified xsi:type="dcterms:W3CDTF">2025-07-16T06:26:21Z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