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center" w:pos="4125"/>
          <w:tab w:val="right" w:pos="8250"/>
        </w:tabs>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ab/>
      </w:r>
      <w:r>
        <w:rPr>
          <w:rFonts w:ascii="方正小标宋_GBK" w:hAnsi="方正小标宋_GBK" w:eastAsia="方正小标宋_GBK" w:cs="方正小标宋_GBK"/>
          <w:sz w:val="44"/>
          <w:szCs w:val="44"/>
        </w:rPr>
        <w:t>垫江县新民镇人民政府</w:t>
      </w:r>
      <w:r>
        <w:rPr>
          <w:rFonts w:hint="default" w:ascii="方正小标宋_GBK" w:hAnsi="方正小标宋_GBK" w:eastAsia="方正小标宋_GBK" w:cs="方正小标宋_GBK"/>
          <w:sz w:val="44"/>
          <w:szCs w:val="44"/>
        </w:rPr>
        <w:tab/>
      </w:r>
    </w:p>
    <w:p>
      <w:pPr>
        <w:pStyle w:val="6"/>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pPr>
        <w:pStyle w:val="6"/>
        <w:shd w:val="clear" w:color="auto" w:fill="FFFFFF"/>
        <w:tabs>
          <w:tab w:val="left" w:pos="5124"/>
          <w:tab w:val="right" w:pos="8315"/>
        </w:tabs>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r>
        <w:rPr>
          <w:rStyle w:val="10"/>
          <w:rFonts w:hint="default" w:ascii="楷体" w:hAnsi="楷体" w:eastAsia="楷体" w:cs="楷体"/>
          <w:sz w:val="32"/>
          <w:szCs w:val="32"/>
          <w:shd w:val="clear" w:color="auto" w:fill="FFFFFF"/>
        </w:rPr>
        <w:tab/>
      </w:r>
      <w:r>
        <w:rPr>
          <w:rStyle w:val="10"/>
          <w:rFonts w:hint="default" w:ascii="楷体" w:hAnsi="楷体" w:eastAsia="楷体" w:cs="楷体"/>
          <w:sz w:val="32"/>
          <w:szCs w:val="32"/>
          <w:shd w:val="clear" w:color="auto" w:fill="FFFFFF"/>
        </w:rPr>
        <w:tab/>
      </w:r>
    </w:p>
    <w:p>
      <w:pPr>
        <w:spacing w:before="100" w:beforeAutospacing="1" w:after="100" w:afterAutospacing="1" w:line="597" w:lineRule="exact"/>
        <w:ind w:firstLine="640" w:firstLineChars="200"/>
        <w:rPr>
          <w:rFonts w:hint="default" w:ascii="Times New Roman" w:hAnsi="Times New Roman" w:eastAsia="方正仿宋_GBK" w:cs="宋体"/>
          <w:sz w:val="32"/>
          <w:szCs w:val="32"/>
        </w:rPr>
      </w:pPr>
      <w:r>
        <w:rPr>
          <w:rStyle w:val="10"/>
          <w:rFonts w:ascii="方正仿宋_GBK" w:hAnsi="方正仿宋_GBK" w:eastAsia="方正仿宋_GBK" w:cs="方正仿宋_GBK"/>
          <w:b w:val="0"/>
          <w:bCs/>
          <w:sz w:val="32"/>
          <w:szCs w:val="32"/>
          <w:shd w:val="clear" w:color="auto" w:fill="FFFFFF"/>
        </w:rPr>
        <w:t>1.</w:t>
      </w:r>
      <w:r>
        <w:rPr>
          <w:rFonts w:ascii="Times New Roman" w:hAnsi="Times New Roman" w:eastAsia="方正仿宋_GBK" w:cs="宋体"/>
          <w:sz w:val="32"/>
          <w:szCs w:val="32"/>
        </w:rPr>
        <w:t>加强基层党的建设。加强党的基层组织建设、夯实党在基层的执政根基，推动</w:t>
      </w:r>
      <w:r>
        <w:rPr>
          <w:rFonts w:hint="default" w:ascii="Times New Roman" w:hAnsi="Times New Roman" w:eastAsia="方正仿宋_GBK" w:cs="宋体"/>
          <w:sz w:val="32"/>
          <w:szCs w:val="32"/>
        </w:rPr>
        <w:t>全面从严治党向基层延伸。</w:t>
      </w:r>
    </w:p>
    <w:p>
      <w:pPr>
        <w:spacing w:before="100" w:beforeAutospacing="1" w:after="100" w:afterAutospacing="1" w:line="597" w:lineRule="exact"/>
        <w:ind w:firstLine="640" w:firstLineChars="200"/>
        <w:rPr>
          <w:rFonts w:hint="default" w:ascii="Times New Roman" w:hAnsi="Times New Roman" w:eastAsia="方正仿宋_GBK"/>
          <w:sz w:val="32"/>
          <w:szCs w:val="32"/>
        </w:rPr>
      </w:pPr>
      <w:r>
        <w:rPr>
          <w:rStyle w:val="10"/>
          <w:rFonts w:hint="default" w:ascii="方正仿宋_GBK" w:hAnsi="方正仿宋_GBK" w:eastAsia="方正仿宋_GBK" w:cs="方正仿宋_GBK"/>
          <w:b w:val="0"/>
          <w:bCs/>
          <w:sz w:val="32"/>
          <w:szCs w:val="32"/>
          <w:shd w:val="clear" w:color="auto" w:fill="FFFFFF"/>
        </w:rPr>
        <w:t>2.</w:t>
      </w:r>
      <w:r>
        <w:rPr>
          <w:rFonts w:hint="default" w:ascii="Times New Roman" w:hAnsi="Times New Roman" w:eastAsia="方正仿宋_GBK" w:cs="宋体"/>
          <w:sz w:val="32"/>
          <w:szCs w:val="32"/>
        </w:rPr>
        <w:t>强化服务管理职能。强化企业投资、规划建设、城镇管理、环境保护、</w:t>
      </w:r>
      <w:r>
        <w:rPr>
          <w:rFonts w:ascii="Times New Roman" w:hAnsi="Times New Roman" w:eastAsia="方正仿宋_GBK"/>
          <w:sz w:val="32"/>
          <w:szCs w:val="32"/>
        </w:rPr>
        <w:t>安全生产、农业发展、农村经营管理、生态建设、防灾减灾、扶贫济困等方面的服务管理职能。</w:t>
      </w:r>
    </w:p>
    <w:p>
      <w:pPr>
        <w:spacing w:before="100" w:beforeAutospacing="1" w:after="100" w:afterAutospacing="1" w:line="597" w:lineRule="exact"/>
        <w:ind w:firstLine="640" w:firstLineChars="200"/>
        <w:rPr>
          <w:rFonts w:hint="default" w:ascii="Times New Roman" w:hAnsi="Times New Roman" w:eastAsia="方正仿宋_GBK"/>
          <w:sz w:val="32"/>
          <w:szCs w:val="32"/>
        </w:rPr>
      </w:pPr>
      <w:r>
        <w:rPr>
          <w:rStyle w:val="10"/>
          <w:rFonts w:hint="default" w:ascii="方正仿宋_GBK" w:hAnsi="方正仿宋_GBK" w:eastAsia="方正仿宋_GBK" w:cs="方正仿宋_GBK"/>
          <w:b w:val="0"/>
          <w:bCs/>
          <w:sz w:val="32"/>
          <w:szCs w:val="32"/>
          <w:shd w:val="clear" w:color="auto" w:fill="FFFFFF"/>
        </w:rPr>
        <w:t>3.</w:t>
      </w:r>
      <w:r>
        <w:rPr>
          <w:rFonts w:ascii="Times New Roman" w:hAnsi="Times New Roman" w:eastAsia="方正仿宋_GBK"/>
          <w:sz w:val="32"/>
          <w:szCs w:val="32"/>
        </w:rPr>
        <w:t>提高审批服务便民化水平。推进审批服务标准化，着力提升“互联网+政务服务”能力。</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Style w:val="10"/>
          <w:rFonts w:hint="default" w:ascii="方正仿宋_GBK" w:hAnsi="方正仿宋_GBK" w:eastAsia="方正仿宋_GBK" w:cs="方正仿宋_GBK"/>
          <w:b w:val="0"/>
          <w:bCs/>
          <w:sz w:val="32"/>
          <w:szCs w:val="32"/>
          <w:shd w:val="clear" w:color="auto" w:fill="FFFFFF"/>
        </w:rPr>
        <w:t>4.</w:t>
      </w:r>
      <w:r>
        <w:rPr>
          <w:rFonts w:ascii="Times New Roman" w:hAnsi="Times New Roman" w:eastAsia="方正仿宋_GBK"/>
          <w:sz w:val="32"/>
          <w:szCs w:val="32"/>
        </w:rPr>
        <w:t>推进综合行政执法。集中行使依法授权或委托的农林水利、规划建设、环境保护、卫生健康、市容环卫、文化旅游、民政管理、消防等领域的行政执法权。加强综合行政执法队伍建设，实行综合行政执法。</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pacing w:line="597" w:lineRule="exact"/>
        <w:ind w:firstLine="640" w:firstLineChars="200"/>
        <w:rPr>
          <w:rFonts w:hint="default" w:ascii="Times New Roman" w:hAnsi="Times New Roman" w:eastAsia="方正仿宋_GBK"/>
          <w:sz w:val="32"/>
          <w:szCs w:val="32"/>
        </w:rPr>
      </w:pPr>
      <w:r>
        <w:rPr>
          <w:rFonts w:ascii="Times New Roman" w:hAnsi="Times New Roman" w:eastAsia="方正仿宋_GBK" w:cs="宋体"/>
          <w:sz w:val="32"/>
          <w:szCs w:val="32"/>
        </w:rPr>
        <w:t>共设置党委、政府综合办事机</w:t>
      </w:r>
      <w:r>
        <w:rPr>
          <w:rFonts w:ascii="方正仿宋_GBK" w:hAnsi="方正仿宋_GBK" w:eastAsia="方正仿宋_GBK" w:cs="方正仿宋_GBK"/>
          <w:sz w:val="32"/>
          <w:szCs w:val="32"/>
          <w:shd w:val="clear" w:color="auto" w:fill="FFFFFF"/>
        </w:rPr>
        <w:t>构10个，（</w:t>
      </w:r>
      <w:r>
        <w:rPr>
          <w:rFonts w:ascii="Times New Roman" w:hAnsi="Times New Roman" w:eastAsia="方正仿宋_GBK" w:cs="宋体"/>
          <w:sz w:val="32"/>
          <w:szCs w:val="32"/>
        </w:rPr>
        <w:t>党政办公室、党群工作办公室、人大办公室、经济发展办公室、财政办公室、民政和社会事务办</w:t>
      </w:r>
      <w:r>
        <w:rPr>
          <w:rFonts w:hint="default" w:ascii="Times New Roman" w:hAnsi="Times New Roman" w:eastAsia="方正仿宋_GBK" w:cs="宋体"/>
          <w:sz w:val="32"/>
          <w:szCs w:val="32"/>
        </w:rPr>
        <w:t>公室、平安建设办公室、规划建设管理环保办公室、应急管理办</w:t>
      </w:r>
      <w:r>
        <w:rPr>
          <w:rFonts w:ascii="Times New Roman" w:hAnsi="Times New Roman" w:eastAsia="方正仿宋_GBK"/>
          <w:sz w:val="32"/>
          <w:szCs w:val="32"/>
        </w:rPr>
        <w:t>公室、综合行政执法办公室），</w:t>
      </w:r>
    </w:p>
    <w:p>
      <w:pPr>
        <w:pStyle w:val="6"/>
        <w:shd w:val="clear" w:color="auto" w:fill="FFFFFF"/>
        <w:rPr>
          <w:rFonts w:hint="default" w:ascii="方正仿宋_GBK" w:hAnsi="方正仿宋_GBK" w:eastAsia="方正仿宋_GBK" w:cs="方正仿宋_GBK"/>
          <w:sz w:val="32"/>
          <w:szCs w:val="32"/>
        </w:rPr>
      </w:pPr>
      <w:r>
        <w:rPr>
          <w:rFonts w:ascii="Times New Roman" w:hAnsi="Times New Roman" w:eastAsia="方正仿宋_GBK"/>
          <w:sz w:val="32"/>
          <w:szCs w:val="32"/>
        </w:rPr>
        <w:t>垫江县新民</w:t>
      </w:r>
      <w:r>
        <w:rPr>
          <w:rFonts w:ascii="方正仿宋_GBK" w:hAnsi="方正仿宋_GBK" w:eastAsia="方正仿宋_GBK" w:cs="方正仿宋_GBK"/>
          <w:sz w:val="32"/>
          <w:szCs w:val="32"/>
          <w:shd w:val="clear" w:color="auto" w:fill="FFFFFF"/>
        </w:rPr>
        <w:t>镇设置</w:t>
      </w:r>
      <w:r>
        <w:rPr>
          <w:rFonts w:hint="default"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个相当</w:t>
      </w:r>
      <w:r>
        <w:rPr>
          <w:rFonts w:ascii="Times New Roman" w:hAnsi="Times New Roman" w:eastAsia="方正仿宋_GBK"/>
          <w:sz w:val="32"/>
          <w:szCs w:val="32"/>
        </w:rPr>
        <w:t>于行政正股级财政全额拨款公益一类事业单位（农业服务中心、文化服务中心、劳动就业和社会保障服务所、退役军人服务站、综合行政执法大队、产业融合发展服务中心）。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2024年度收入总计4377.55万元，支出总计</w:t>
      </w:r>
      <w:r>
        <w:rPr>
          <w:rFonts w:ascii="方正仿宋_GBK" w:hAnsi="方正仿宋_GBK" w:eastAsia="方正仿宋_GBK" w:cs="方正仿宋_GBK"/>
          <w:sz w:val="32"/>
          <w:szCs w:val="32"/>
        </w:rPr>
        <w:t>4377.55</w:t>
      </w:r>
      <w:r>
        <w:rPr>
          <w:rFonts w:ascii="方正仿宋_GBK" w:hAnsi="方正仿宋_GBK" w:eastAsia="方正仿宋_GBK" w:cs="方正仿宋_GBK"/>
          <w:sz w:val="32"/>
          <w:szCs w:val="32"/>
          <w:shd w:val="clear" w:color="auto" w:fill="FFFFFF"/>
        </w:rPr>
        <w:t>万元。收、支与2023年度相比，减少781.49万元，下降15.15%，主要原因是减少农村综合改革、乡村振兴等项目的投入。</w:t>
      </w:r>
    </w:p>
    <w:p>
      <w:pPr>
        <w:pStyle w:val="6"/>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2024年度收入合计4343.26万元，与2023年度相比，减少528.78万元，下降10.85%，主要原因是减少农村综合改革、乡村振兴等项目的投入。其中：财政拨款收入</w:t>
      </w:r>
      <w:r>
        <w:rPr>
          <w:rFonts w:ascii="方正仿宋_GBK" w:hAnsi="方正仿宋_GBK" w:eastAsia="方正仿宋_GBK" w:cs="方正仿宋_GBK"/>
          <w:sz w:val="32"/>
          <w:szCs w:val="32"/>
        </w:rPr>
        <w:t>4343.26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34.29</w:t>
      </w:r>
      <w:r>
        <w:rPr>
          <w:rFonts w:ascii="方正仿宋_GBK" w:hAnsi="方正仿宋_GBK" w:eastAsia="方正仿宋_GBK" w:cs="方正仿宋_GBK"/>
          <w:sz w:val="32"/>
          <w:szCs w:val="32"/>
          <w:shd w:val="clear" w:color="auto" w:fill="FFFFFF"/>
        </w:rPr>
        <w:t>万元。</w:t>
      </w:r>
    </w:p>
    <w:p>
      <w:pPr>
        <w:pStyle w:val="6"/>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4377.55</w:t>
      </w:r>
      <w:r>
        <w:rPr>
          <w:rFonts w:ascii="方正仿宋_GBK" w:hAnsi="方正仿宋_GBK" w:eastAsia="方正仿宋_GBK" w:cs="方正仿宋_GBK"/>
          <w:sz w:val="32"/>
          <w:szCs w:val="32"/>
          <w:shd w:val="clear" w:color="auto" w:fill="FFFFFF"/>
        </w:rPr>
        <w:t>万元，与2023年度相比，减少781.49万元，下降15.15%，主要原因是减少农村综合改革、乡村振兴等项目的投入。其中：基本支出</w:t>
      </w:r>
      <w:r>
        <w:rPr>
          <w:rFonts w:ascii="方正仿宋_GBK" w:hAnsi="方正仿宋_GBK" w:eastAsia="方正仿宋_GBK" w:cs="方正仿宋_GBK"/>
          <w:sz w:val="32"/>
          <w:szCs w:val="32"/>
        </w:rPr>
        <w:t>2111.98</w:t>
      </w:r>
      <w:r>
        <w:rPr>
          <w:rFonts w:ascii="方正仿宋_GBK" w:hAnsi="方正仿宋_GBK" w:eastAsia="方正仿宋_GBK" w:cs="方正仿宋_GBK"/>
          <w:sz w:val="32"/>
          <w:szCs w:val="32"/>
          <w:shd w:val="clear" w:color="auto" w:fill="FFFFFF"/>
        </w:rPr>
        <w:t>万元，占48.25%；项目支出</w:t>
      </w:r>
      <w:r>
        <w:rPr>
          <w:rFonts w:ascii="方正仿宋_GBK" w:hAnsi="方正仿宋_GBK" w:eastAsia="方正仿宋_GBK" w:cs="方正仿宋_GBK"/>
          <w:sz w:val="32"/>
          <w:szCs w:val="32"/>
        </w:rPr>
        <w:t>2265.57</w:t>
      </w:r>
      <w:r>
        <w:rPr>
          <w:rFonts w:ascii="方正仿宋_GBK" w:hAnsi="方正仿宋_GBK" w:eastAsia="方正仿宋_GBK" w:cs="方正仿宋_GBK"/>
          <w:sz w:val="32"/>
          <w:szCs w:val="32"/>
          <w:shd w:val="clear" w:color="auto" w:fill="FFFFFF"/>
        </w:rPr>
        <w:t>万元，占51.75%；经营支出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2024年度财政拨款收、支总计4377.55万元。与2023年相比，财政拨款收、支总计各减少781.49万元，下降15.15%。主要原因是减少农村综合改革、乡村振兴等项目的投入。</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3521.43</w:t>
      </w:r>
      <w:r>
        <w:rPr>
          <w:rFonts w:ascii="方正仿宋_GBK" w:hAnsi="方正仿宋_GBK" w:eastAsia="方正仿宋_GBK" w:cs="方正仿宋_GBK"/>
          <w:sz w:val="32"/>
          <w:szCs w:val="32"/>
          <w:shd w:val="clear" w:color="auto" w:fill="FFFFFF"/>
        </w:rPr>
        <w:t>万元，与2023年度相比，减少1335.40万元，下降27.50%。主要原因是减少农村综合改革、乡村振兴等项目的投入。较年初预算数增加1335.52万元，增长61.10%。主要原因是财政追加土地征收补偿费、农村综合改革转移支付、生态环境“以奖促治”专项、二级公路还贷补助资金（区县）、农业防灾减灾资金、森林植被恢复返还、农村公路养护工程等项目经费</w:t>
      </w:r>
      <w:r>
        <w:rPr>
          <w:rFonts w:ascii="方正仿宋_GBK" w:hAnsi="方正仿宋_GBK" w:eastAsia="方正仿宋_GBK" w:cs="方正仿宋_GBK"/>
          <w:sz w:val="30"/>
          <w:szCs w:val="30"/>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34.29</w:t>
      </w:r>
      <w:r>
        <w:rPr>
          <w:rFonts w:ascii="方正仿宋_GBK" w:hAnsi="方正仿宋_GBK" w:eastAsia="方正仿宋_GBK" w:cs="方正仿宋_GBK"/>
          <w:sz w:val="32"/>
          <w:szCs w:val="32"/>
          <w:shd w:val="clear" w:color="auto" w:fill="FFFFFF"/>
        </w:rPr>
        <w:t>万元。</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3555.72</w:t>
      </w:r>
      <w:r>
        <w:rPr>
          <w:rFonts w:ascii="方正仿宋_GBK" w:hAnsi="方正仿宋_GBK" w:eastAsia="方正仿宋_GBK" w:cs="方正仿宋_GBK"/>
          <w:sz w:val="32"/>
          <w:szCs w:val="32"/>
          <w:shd w:val="clear" w:color="auto" w:fill="FFFFFF"/>
        </w:rPr>
        <w:t>万元，与2023年度相比，减少1588.11万元，下降30.87%。主要原因是减少农村综合改革、乡村振兴等项目的投入。较年初预算数增加1369.81万元，增长62.67%。主要原因是财政追加土地征收补偿费、农村综合改革转移支付、生态环境“以奖促治”专项、二级公路还贷补助资金（区县）、农业防灾减灾资金、森林植被恢复返还、农村公路养护工程等项目经费</w:t>
      </w:r>
      <w:r>
        <w:rPr>
          <w:rFonts w:ascii="方正仿宋_GBK" w:hAnsi="方正仿宋_GBK" w:eastAsia="方正仿宋_GBK" w:cs="方正仿宋_GBK"/>
          <w:sz w:val="30"/>
          <w:szCs w:val="30"/>
        </w:rPr>
        <w:t>。</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6"/>
        <w:snapToGrid w:val="0"/>
        <w:spacing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710.39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19.98</w:t>
      </w:r>
      <w:r>
        <w:rPr>
          <w:rFonts w:ascii="方正仿宋_GBK" w:hAnsi="方正仿宋_GBK" w:eastAsia="方正仿宋_GBK" w:cs="方正仿宋_GBK"/>
          <w:sz w:val="32"/>
          <w:szCs w:val="32"/>
          <w:shd w:val="clear" w:color="auto" w:fill="FFFFFF"/>
        </w:rPr>
        <w:t>%，较年初预算数增加65.94万元，增长10.23%，主要原因是财政追加</w:t>
      </w:r>
      <w:r>
        <w:rPr>
          <w:rFonts w:ascii="方正仿宋_GBK" w:hAnsi="方正仿宋_GBK" w:eastAsia="方正仿宋_GBK" w:cs="方正仿宋_GBK"/>
          <w:sz w:val="32"/>
          <w:szCs w:val="32"/>
        </w:rPr>
        <w:t>公务员年度考核奖、平安建设专项经费、特殊信访疑难问题专项资金、第五次全国经济普查、食品药品安全协管员补助资金等项目经费</w:t>
      </w:r>
      <w:r>
        <w:rPr>
          <w:rFonts w:ascii="方正仿宋_GBK" w:hAnsi="方正仿宋_GBK" w:eastAsia="方正仿宋_GBK" w:cs="方正仿宋_GBK"/>
          <w:sz w:val="30"/>
          <w:szCs w:val="30"/>
        </w:rPr>
        <w:t>。</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8.03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%，较年初预算数增加7.47万元，增长1333.93%，主要原因是财政追加全县道安办劝导员工作经费。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86.36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2.43</w:t>
      </w:r>
      <w:r>
        <w:rPr>
          <w:rFonts w:ascii="方正仿宋_GBK" w:hAnsi="方正仿宋_GBK" w:eastAsia="方正仿宋_GBK" w:cs="方正仿宋_GBK"/>
          <w:sz w:val="32"/>
          <w:szCs w:val="32"/>
          <w:shd w:val="clear" w:color="auto" w:fill="FFFFFF"/>
        </w:rPr>
        <w:t>%，较年初预算数减少0.71万元，下降0.82%，主要原因是实际开支时按照项目需求进行调整。</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564.18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15.87</w:t>
      </w:r>
      <w:r>
        <w:rPr>
          <w:rFonts w:ascii="方正仿宋_GBK" w:hAnsi="方正仿宋_GBK" w:eastAsia="方正仿宋_GBK" w:cs="方正仿宋_GBK"/>
          <w:sz w:val="32"/>
          <w:szCs w:val="32"/>
          <w:shd w:val="clear" w:color="auto" w:fill="FFFFFF"/>
        </w:rPr>
        <w:t>%，较年初预算数增加127.15万元，增长29.09%，主要原因是财政追加公务员补缴2</w:t>
      </w:r>
      <w:r>
        <w:rPr>
          <w:rFonts w:hint="default" w:ascii="方正仿宋_GBK" w:hAnsi="方正仿宋_GBK" w:eastAsia="方正仿宋_GBK" w:cs="方正仿宋_GBK"/>
          <w:sz w:val="32"/>
          <w:szCs w:val="32"/>
          <w:shd w:val="clear" w:color="auto" w:fill="FFFFFF"/>
        </w:rPr>
        <w:t>022</w:t>
      </w:r>
      <w:r>
        <w:rPr>
          <w:rFonts w:ascii="方正仿宋_GBK" w:hAnsi="方正仿宋_GBK" w:eastAsia="方正仿宋_GBK" w:cs="方正仿宋_GBK"/>
          <w:sz w:val="32"/>
          <w:szCs w:val="32"/>
          <w:shd w:val="clear" w:color="auto" w:fill="FFFFFF"/>
        </w:rPr>
        <w:t>年养老保险和职业年金、乡镇（街道）耕地补足、撂荒地复耕复种补助资金、村（社区）退役军人服务站建设经费及站长补助等经费。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88.59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2.49</w:t>
      </w:r>
      <w:r>
        <w:rPr>
          <w:rFonts w:ascii="方正仿宋_GBK" w:hAnsi="方正仿宋_GBK" w:eastAsia="方正仿宋_GBK" w:cs="方正仿宋_GBK"/>
          <w:sz w:val="32"/>
          <w:szCs w:val="32"/>
          <w:shd w:val="clear" w:color="auto" w:fill="FFFFFF"/>
        </w:rPr>
        <w:t>%，较年初预算数增加18.46万元，增长26.32%，主要原因是财政追加优抚对象补助（直达资金）、计划生育特殊家庭节日走访慰问等经费。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29.01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0.82</w:t>
      </w:r>
      <w:r>
        <w:rPr>
          <w:rFonts w:ascii="方正仿宋_GBK" w:hAnsi="方正仿宋_GBK" w:eastAsia="方正仿宋_GBK" w:cs="方正仿宋_GBK"/>
          <w:sz w:val="32"/>
          <w:szCs w:val="32"/>
          <w:shd w:val="clear" w:color="auto" w:fill="FFFFFF"/>
        </w:rPr>
        <w:t>%，较年初预算数增加29.01万元，增长100.00%，主要原因是财政追加生态环境“以奖促治”专项、国有林保护修复补助等经费。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221.05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6.22</w:t>
      </w:r>
      <w:r>
        <w:rPr>
          <w:rFonts w:ascii="方正仿宋_GBK" w:hAnsi="方正仿宋_GBK" w:eastAsia="方正仿宋_GBK" w:cs="方正仿宋_GBK"/>
          <w:sz w:val="32"/>
          <w:szCs w:val="32"/>
          <w:shd w:val="clear" w:color="auto" w:fill="FFFFFF"/>
        </w:rPr>
        <w:t>%，较年初预算数增加137.66万元，增长165.08%，主要原因是财政追加乡镇（街道）耕地补足、撂荒地复耕复种补助资金、垫江县超（快）充电桩建设资金、地质灾害综合治理项目等经费。</w:t>
      </w:r>
    </w:p>
    <w:p>
      <w:pPr>
        <w:pStyle w:val="6"/>
        <w:snapToGrid w:val="0"/>
        <w:spacing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1068.01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30.04</w:t>
      </w:r>
      <w:r>
        <w:rPr>
          <w:rFonts w:ascii="方正仿宋_GBK" w:hAnsi="方正仿宋_GBK" w:eastAsia="方正仿宋_GBK" w:cs="方正仿宋_GBK"/>
          <w:sz w:val="32"/>
          <w:szCs w:val="32"/>
          <w:shd w:val="clear" w:color="auto" w:fill="FFFFFF"/>
        </w:rPr>
        <w:t>%，较年初预算数增加433.64万元，增长68.36%，主要原因是财政追加农业防灾减灾资金、市级财政衔接推进乡村振兴补助资金、农村综合改革转移支付、林业局森林防火经费、产粮大县奖励资金等项目经费。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419.40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11.80</w:t>
      </w:r>
      <w:r>
        <w:rPr>
          <w:rFonts w:ascii="方正仿宋_GBK" w:hAnsi="方正仿宋_GBK" w:eastAsia="方正仿宋_GBK" w:cs="方正仿宋_GBK"/>
          <w:sz w:val="32"/>
          <w:szCs w:val="32"/>
          <w:shd w:val="clear" w:color="auto" w:fill="FFFFFF"/>
        </w:rPr>
        <w:t>%，较年初预算数增加419.40万元，增长100.00%，主要原因是财政追加二级公路还贷补助资金（区县）、车辆购置税补助地方收入等项目经费。</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175.00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4.92</w:t>
      </w:r>
      <w:r>
        <w:rPr>
          <w:rFonts w:ascii="方正仿宋_GBK" w:hAnsi="方正仿宋_GBK" w:eastAsia="方正仿宋_GBK" w:cs="方正仿宋_GBK"/>
          <w:sz w:val="32"/>
          <w:szCs w:val="32"/>
          <w:shd w:val="clear" w:color="auto" w:fill="FFFFFF"/>
        </w:rPr>
        <w:t>%，较年初预算数增加36.00万元，增长25.90%，主要原因是财政追加支持中小企业发展资金。</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9.82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%，较年初预算数增加9.82万元，增长100.00%，主要原因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财政追加限上企业（个体）发展奖励。</w:t>
      </w:r>
    </w:p>
    <w:p>
      <w:pPr>
        <w:spacing w:before="100" w:beforeAutospacing="1" w:after="100" w:afterAutospacing="1"/>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住房保障支出132.40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3.72</w:t>
      </w:r>
      <w:r>
        <w:rPr>
          <w:rFonts w:ascii="方正仿宋_GBK" w:hAnsi="方正仿宋_GBK" w:eastAsia="方正仿宋_GBK" w:cs="方正仿宋_GBK"/>
          <w:sz w:val="32"/>
          <w:szCs w:val="32"/>
          <w:shd w:val="clear" w:color="auto" w:fill="FFFFFF"/>
        </w:rPr>
        <w:t>%，较年初预算数增加42.49万元，增长47.26%，主要原因是</w:t>
      </w:r>
      <w:r>
        <w:rPr>
          <w:rFonts w:ascii="Times New Roman" w:hAnsi="Times New Roman" w:eastAsia="方正仿宋_GBK"/>
          <w:sz w:val="32"/>
          <w:szCs w:val="32"/>
        </w:rPr>
        <w:t>财政追加农村危房改造补助项目经费、农村低收入群体等重点对象危房改造项目经费、职工住房公积金基数调增。</w:t>
      </w:r>
    </w:p>
    <w:p>
      <w:pPr>
        <w:spacing w:before="100" w:beforeAutospacing="1" w:after="100" w:afterAutospacing="1"/>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灾害防治及应急管理支出43.48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1.22</w:t>
      </w:r>
      <w:r>
        <w:rPr>
          <w:rFonts w:ascii="方正仿宋_GBK" w:hAnsi="方正仿宋_GBK" w:eastAsia="方正仿宋_GBK" w:cs="方正仿宋_GBK"/>
          <w:sz w:val="32"/>
          <w:szCs w:val="32"/>
          <w:shd w:val="clear" w:color="auto" w:fill="FFFFFF"/>
        </w:rPr>
        <w:t>%，较年初预算数增加43.48万元，增长100.00%，主要原因是财政追加中央自然灾害救灾资金、自然灾害救灾资金地质灾害避险搬迁项目等项目资金。</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2111.98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1984.64</w:t>
      </w:r>
      <w:r>
        <w:rPr>
          <w:rFonts w:ascii="方正仿宋_GBK" w:hAnsi="方正仿宋_GBK" w:eastAsia="方正仿宋_GBK" w:cs="方正仿宋_GBK"/>
          <w:sz w:val="32"/>
          <w:szCs w:val="32"/>
          <w:shd w:val="clear" w:color="auto" w:fill="FFFFFF"/>
        </w:rPr>
        <w:t>万元，与2023年度相比，减少28.73万元，下降1.43%，主要原因是2023年补发公务员以前年度奖金。人员经费用途主要包括</w:t>
      </w:r>
      <w:r>
        <w:rPr>
          <w:rFonts w:hint="default" w:ascii="方正仿宋_GBK" w:hAnsi="方正仿宋_GBK" w:eastAsia="方正仿宋_GBK" w:cs="方正仿宋_GBK"/>
          <w:sz w:val="32"/>
          <w:szCs w:val="32"/>
          <w:shd w:val="clear" w:color="auto" w:fill="FFFFFF"/>
        </w:rPr>
        <w:t>基本工资304.62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津贴补贴146.95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奖金225.18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伙食补助费6.69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绩效工资357.90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机关事业单位基本养老保险缴费179.23</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职业年金缴费83.38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职工基本医疗保险缴费74.39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其他社会保障缴费4.08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住房公积金112.00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医疗费10.48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其他工资福利支出41.80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生活补助428.90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医疗费补助7.20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奖励金1.85</w:t>
      </w:r>
      <w:r>
        <w:rPr>
          <w:rFonts w:ascii="方正仿宋_GBK" w:hAnsi="方正仿宋_GBK" w:eastAsia="方正仿宋_GBK" w:cs="方正仿宋_GBK"/>
          <w:sz w:val="32"/>
          <w:szCs w:val="32"/>
          <w:shd w:val="clear" w:color="auto" w:fill="FFFFFF"/>
        </w:rPr>
        <w:t>万元。公用经费</w:t>
      </w:r>
      <w:r>
        <w:rPr>
          <w:rFonts w:ascii="方正仿宋_GBK" w:hAnsi="方正仿宋_GBK" w:eastAsia="方正仿宋_GBK" w:cs="方正仿宋_GBK"/>
          <w:sz w:val="32"/>
          <w:szCs w:val="32"/>
        </w:rPr>
        <w:t>127.34</w:t>
      </w:r>
      <w:r>
        <w:rPr>
          <w:rFonts w:ascii="方正仿宋_GBK" w:hAnsi="方正仿宋_GBK" w:eastAsia="方正仿宋_GBK" w:cs="方正仿宋_GBK"/>
          <w:sz w:val="32"/>
          <w:szCs w:val="32"/>
          <w:shd w:val="clear" w:color="auto" w:fill="FFFFFF"/>
        </w:rPr>
        <w:t>万元，与2023年度相比，减少197.71万元，下降60.82%，主要原因是合理安排使用资金，</w:t>
      </w:r>
      <w:r>
        <w:rPr>
          <w:rFonts w:hint="default" w:ascii="方正仿宋_GBK" w:hAnsi="方正仿宋_GBK" w:eastAsia="方正仿宋_GBK" w:cs="方正仿宋_GBK"/>
          <w:sz w:val="32"/>
          <w:szCs w:val="32"/>
          <w:shd w:val="clear" w:color="auto" w:fill="FFFFFF"/>
        </w:rPr>
        <w:t>严格控制公用经费</w:t>
      </w:r>
      <w:r>
        <w:rPr>
          <w:rFonts w:ascii="方正仿宋_GBK" w:hAnsi="方正仿宋_GBK" w:eastAsia="方正仿宋_GBK" w:cs="方正仿宋_GBK"/>
          <w:sz w:val="32"/>
          <w:szCs w:val="32"/>
          <w:shd w:val="clear" w:color="auto" w:fill="FFFFFF"/>
        </w:rPr>
        <w:t>。公用经费用途主要包括</w:t>
      </w:r>
      <w:r>
        <w:rPr>
          <w:rFonts w:hint="default" w:ascii="方正仿宋_GBK" w:hAnsi="方正仿宋_GBK" w:eastAsia="方正仿宋_GBK" w:cs="方正仿宋_GBK"/>
          <w:sz w:val="32"/>
          <w:szCs w:val="32"/>
          <w:shd w:val="clear" w:color="auto" w:fill="FFFFFF"/>
        </w:rPr>
        <w:t>办公费3.86</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印刷费7.15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水费4.64</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电费13.2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邮电费21.05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差旅费28.89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培训费0.49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劳务费1.47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委托业务费0.05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工会经费9.53</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公务用车运行维护费6.17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其他交通费用28.17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其他商品和服务支出2.69</w:t>
      </w:r>
      <w:r>
        <w:rPr>
          <w:rFonts w:ascii="方正仿宋_GBK" w:hAnsi="方正仿宋_GBK" w:eastAsia="方正仿宋_GBK" w:cs="方正仿宋_GBK"/>
          <w:sz w:val="32"/>
          <w:szCs w:val="32"/>
          <w:shd w:val="clear" w:color="auto" w:fill="FFFFFF"/>
        </w:rPr>
        <w:t>万元。</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821.84</w:t>
      </w:r>
      <w:r>
        <w:rPr>
          <w:rFonts w:ascii="方正仿宋_GBK" w:hAnsi="方正仿宋_GBK" w:eastAsia="方正仿宋_GBK" w:cs="方正仿宋_GBK"/>
          <w:sz w:val="32"/>
          <w:szCs w:val="32"/>
          <w:shd w:val="clear" w:color="auto" w:fill="FFFFFF"/>
        </w:rPr>
        <w:t>万元，与2023年度相比，增加807.00万元，增长5438.01%，主要原因是财政追加土地征收补偿费。本年支出</w:t>
      </w:r>
      <w:r>
        <w:rPr>
          <w:rFonts w:ascii="方正仿宋_GBK" w:hAnsi="方正仿宋_GBK" w:eastAsia="方正仿宋_GBK" w:cs="方正仿宋_GBK"/>
          <w:sz w:val="32"/>
          <w:szCs w:val="32"/>
        </w:rPr>
        <w:t>821.84</w:t>
      </w:r>
      <w:r>
        <w:rPr>
          <w:rFonts w:ascii="方正仿宋_GBK" w:hAnsi="方正仿宋_GBK" w:eastAsia="方正仿宋_GBK" w:cs="方正仿宋_GBK"/>
          <w:sz w:val="32"/>
          <w:szCs w:val="32"/>
          <w:shd w:val="clear" w:color="auto" w:fill="FFFFFF"/>
        </w:rPr>
        <w:t>万元，与2023年度相比，增加807.00万元，增长5438.01%，主要原因是</w:t>
      </w:r>
      <w:r>
        <w:rPr>
          <w:rFonts w:hint="default" w:ascii="方正仿宋_GBK" w:hAnsi="方正仿宋_GBK" w:eastAsia="方正仿宋_GBK" w:cs="方正仿宋_GBK"/>
          <w:sz w:val="32"/>
          <w:szCs w:val="32"/>
          <w:shd w:val="clear" w:color="auto" w:fill="FFFFFF"/>
        </w:rPr>
        <w:t>2024年缴纳土地征收补偿款</w:t>
      </w:r>
      <w:r>
        <w:rPr>
          <w:rFonts w:ascii="方正仿宋_GBK" w:hAnsi="方正仿宋_GBK" w:eastAsia="方正仿宋_GBK" w:cs="方正仿宋_GBK"/>
          <w:sz w:val="32"/>
          <w:szCs w:val="32"/>
          <w:shd w:val="clear" w:color="auto" w:fill="FFFFFF"/>
        </w:rPr>
        <w:t>。</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万元，本部门2024年度无国有资本经营预算财政拨款支出。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7.14</w:t>
      </w:r>
      <w:r>
        <w:rPr>
          <w:rFonts w:ascii="方正仿宋_GBK" w:hAnsi="方正仿宋_GBK" w:eastAsia="方正仿宋_GBK" w:cs="方正仿宋_GBK"/>
          <w:sz w:val="32"/>
          <w:szCs w:val="32"/>
          <w:shd w:val="clear" w:color="auto" w:fill="FFFFFF"/>
        </w:rPr>
        <w:t>万元，较年初预算数增加1.14万元，增长19.00%，主要原因是在严控“三公”经费，公车和公务接待在实际中，预算调剂追加。较上年支出数减少9.69万元，下降57.58%，主要原因是严格控制“三公”经费支出情况，按照标准使用公务车外出办事，强化公务接待支出管理，严格遵守公务接待开支范围和开支标准，不超范围接待。</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6.17</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机要文件交换、市县内外因公出行、应急检查等工作所需车辆的燃料费、维修费、过路费、保险费。</w:t>
      </w:r>
      <w:r>
        <w:rPr>
          <w:rFonts w:ascii="方正仿宋_GBK" w:hAnsi="方正仿宋_GBK" w:eastAsia="方正仿宋_GBK" w:cs="方正仿宋_GBK"/>
          <w:sz w:val="32"/>
          <w:szCs w:val="32"/>
          <w:shd w:val="clear" w:color="auto" w:fill="FFFFFF"/>
        </w:rPr>
        <w:t>费用支出较年初预算数增加0.17万元，增长2.83%，主要原因是在严控“三公”经费的标准下，根据实际业务开展支出。较上年支出数减少5.34万元，下降46.39%，主要原因是严格控制“三公”经费支出情况，按照标准使用公务车外出办事</w:t>
      </w:r>
      <w:r>
        <w:rPr>
          <w:rFonts w:ascii="Times New Roman" w:hAnsi="Times New Roman" w:eastAsia="方正仿宋_GBK"/>
          <w:sz w:val="32"/>
          <w:szCs w:val="32"/>
        </w:rPr>
        <w:t>。</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0.97</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sz w:val="32"/>
          <w:szCs w:val="32"/>
        </w:rPr>
        <w:t>上级部门到我单位学习调研督导各项工作推进情况及招商引资接待费等。</w:t>
      </w:r>
      <w:r>
        <w:rPr>
          <w:rFonts w:ascii="方正仿宋_GBK" w:hAnsi="方正仿宋_GBK" w:eastAsia="方正仿宋_GBK" w:cs="方正仿宋_GBK"/>
          <w:sz w:val="32"/>
          <w:szCs w:val="32"/>
          <w:shd w:val="clear" w:color="auto" w:fill="FFFFFF"/>
        </w:rPr>
        <w:t>费用支出较年初预算数增加0.97万元，增长100.00%，主要原因是在严控“三公”经费的标准下，根据实际业务开展支出。较上年支出数减少4.35万元，下降81.77%，主要原因是</w:t>
      </w:r>
      <w:r>
        <w:rPr>
          <w:rFonts w:ascii="Times New Roman" w:hAnsi="Times New Roman" w:eastAsia="方正仿宋_GBK"/>
          <w:sz w:val="32"/>
          <w:szCs w:val="32"/>
        </w:rPr>
        <w:t>加强管理，节约开支。</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47</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51.68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1.54</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万元，与2023年度相比，减少5.54万元，下降62.95%，主要原因减少非必要的会议。本年度培训费支出</w:t>
      </w:r>
      <w:r>
        <w:rPr>
          <w:rFonts w:ascii="方正仿宋_GBK" w:hAnsi="方正仿宋_GBK" w:eastAsia="方正仿宋_GBK" w:cs="方正仿宋_GBK"/>
          <w:sz w:val="32"/>
          <w:szCs w:val="32"/>
        </w:rPr>
        <w:t>2.79</w:t>
      </w:r>
      <w:r>
        <w:rPr>
          <w:rFonts w:ascii="方正仿宋_GBK" w:hAnsi="方正仿宋_GBK" w:eastAsia="方正仿宋_GBK" w:cs="方正仿宋_GBK"/>
          <w:sz w:val="32"/>
          <w:szCs w:val="32"/>
          <w:shd w:val="clear" w:color="auto" w:fill="FFFFFF"/>
        </w:rPr>
        <w:t>万元，与2023年度相比，减少1.26万元，下降31.11%，主要原因是减少非必要的培训。</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100.03</w:t>
      </w:r>
      <w:r>
        <w:rPr>
          <w:rFonts w:ascii="方正仿宋_GBK" w:hAnsi="方正仿宋_GBK" w:eastAsia="方正仿宋_GBK" w:cs="方正仿宋_GBK"/>
          <w:sz w:val="32"/>
          <w:szCs w:val="32"/>
          <w:shd w:val="clear" w:color="auto" w:fill="FFFFFF"/>
        </w:rPr>
        <w:t>万元，机关运行经费主要用于开支</w:t>
      </w:r>
      <w:r>
        <w:rPr>
          <w:rFonts w:hint="default" w:ascii="方正仿宋_GBK" w:hAnsi="方正仿宋_GBK" w:eastAsia="方正仿宋_GBK" w:cs="方正仿宋_GBK"/>
          <w:sz w:val="32"/>
          <w:szCs w:val="32"/>
          <w:shd w:val="clear" w:color="auto" w:fill="FFFFFF"/>
        </w:rPr>
        <w:t>办公费3.86</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印刷费7.15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水费4.64</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电费13.2</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邮电费21.05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差旅费28.89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培训费0.49</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劳务费1.47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委托业务费0.05</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工会经费9.53</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公务用车运行维护费6.17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其他交通费用28.17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其他商品和服务支出2.69</w:t>
      </w:r>
      <w:r>
        <w:rPr>
          <w:rFonts w:ascii="方正仿宋_GBK" w:hAnsi="方正仿宋_GBK" w:eastAsia="方正仿宋_GBK" w:cs="方正仿宋_GBK"/>
          <w:sz w:val="32"/>
          <w:szCs w:val="32"/>
          <w:shd w:val="clear" w:color="auto" w:fill="FFFFFF"/>
        </w:rPr>
        <w:t>万元。机关运行经费较上年支出数减少185.33万元，下降64.95%，主要原因是</w:t>
      </w:r>
      <w:r>
        <w:rPr>
          <w:rFonts w:ascii="Times New Roman" w:hAnsi="Times New Roman" w:eastAsia="方正仿宋_GBK"/>
          <w:sz w:val="32"/>
          <w:szCs w:val="32"/>
        </w:rPr>
        <w:t>加强管理，节约开支。</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%。2024年度我部门未发生政府采购事项，无相关经费支出。</w:t>
      </w:r>
    </w:p>
    <w:p>
      <w:pPr>
        <w:pStyle w:val="6"/>
        <w:shd w:val="clear" w:color="auto" w:fill="FFFFFF"/>
        <w:ind w:firstLine="643" w:firstLineChars="200"/>
        <w:rPr>
          <w:rFonts w:hint="default"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五、预算绩效管理情况说明</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autoSpaceDE w:val="0"/>
        <w:spacing w:line="600" w:lineRule="exact"/>
        <w:ind w:firstLine="640" w:firstLineChars="200"/>
        <w:rPr>
          <w:rFonts w:ascii="方正仿宋_GBK" w:hAnsi="方正仿宋_GBK" w:eastAsia="方正仿宋_GBK" w:cs="方正仿宋_GBK"/>
          <w:sz w:val="32"/>
          <w:szCs w:val="32"/>
          <w:shd w:val="clear" w:color="auto" w:fill="FFFFFF"/>
        </w:rPr>
      </w:pPr>
      <w:r>
        <w:rPr>
          <w:rFonts w:ascii="Times New Roman" w:hAnsi="Times New Roman" w:eastAsia="方正仿宋_GBK"/>
          <w:kern w:val="2"/>
          <w:sz w:val="32"/>
          <w:szCs w:val="32"/>
        </w:rPr>
        <w:t>根据预算绩效管理要求，我</w:t>
      </w:r>
      <w:r>
        <w:rPr>
          <w:rFonts w:hint="eastAsia" w:ascii="Times New Roman" w:hAnsi="Times New Roman" w:eastAsia="方正仿宋_GBK"/>
          <w:kern w:val="2"/>
          <w:sz w:val="32"/>
          <w:szCs w:val="32"/>
        </w:rPr>
        <w:t>部门</w:t>
      </w:r>
      <w:r>
        <w:rPr>
          <w:rFonts w:ascii="Times New Roman" w:hAnsi="Times New Roman" w:eastAsia="方正仿宋_GBK"/>
          <w:kern w:val="2"/>
          <w:sz w:val="32"/>
          <w:szCs w:val="32"/>
        </w:rPr>
        <w:t>对部门整体</w:t>
      </w:r>
      <w:r>
        <w:rPr>
          <w:rFonts w:ascii="方正仿宋_GBK" w:hAnsi="方正仿宋_GBK" w:eastAsia="方正仿宋_GBK" w:cs="方正仿宋_GBK"/>
          <w:sz w:val="32"/>
          <w:szCs w:val="32"/>
          <w:shd w:val="clear" w:color="auto" w:fill="FFFFFF"/>
        </w:rPr>
        <w:t>和</w:t>
      </w:r>
      <w:r>
        <w:rPr>
          <w:rFonts w:hint="eastAsia"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5个</w:t>
      </w:r>
      <w:r>
        <w:rPr>
          <w:rFonts w:hint="eastAsia" w:ascii="方正仿宋_GBK" w:hAnsi="方正仿宋_GBK" w:eastAsia="方正仿宋_GBK" w:cs="方正仿宋_GBK"/>
          <w:sz w:val="32"/>
          <w:szCs w:val="32"/>
          <w:shd w:val="clear" w:color="auto" w:fill="FFFFFF"/>
        </w:rPr>
        <w:t>二级</w:t>
      </w:r>
      <w:r>
        <w:rPr>
          <w:rFonts w:ascii="方正仿宋_GBK" w:hAnsi="方正仿宋_GBK" w:eastAsia="方正仿宋_GBK" w:cs="方正仿宋_GBK"/>
          <w:sz w:val="32"/>
          <w:szCs w:val="32"/>
          <w:shd w:val="clear" w:color="auto" w:fill="FFFFFF"/>
        </w:rPr>
        <w:t>项目开展了绩效自评，涉及资金2,265.57</w:t>
      </w:r>
      <w:r>
        <w:rPr>
          <w:rFonts w:hint="eastAsia"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shd w:val="clear" w:color="auto" w:fill="FFFFFF"/>
        </w:rPr>
        <w:t>。</w:t>
      </w:r>
    </w:p>
    <w:p>
      <w:pPr>
        <w:pStyle w:val="12"/>
        <w:autoSpaceDE w:val="0"/>
        <w:spacing w:line="600" w:lineRule="exact"/>
        <w:ind w:firstLine="960" w:firstLineChars="300"/>
      </w:pPr>
      <w:r>
        <w:rPr>
          <w:rFonts w:hint="eastAsia" w:ascii="方正仿宋_GBK" w:hAnsi="方正仿宋_GBK" w:eastAsia="方正仿宋_GBK" w:cs="方正仿宋_GBK"/>
          <w:sz w:val="32"/>
          <w:szCs w:val="32"/>
          <w:shd w:val="clear" w:color="auto" w:fill="FFFFFF"/>
        </w:rPr>
        <w:t>垫江县新民镇人民政府部门整体绩效自评表</w:t>
      </w:r>
    </w:p>
    <w:tbl>
      <w:tblPr>
        <w:tblStyle w:val="7"/>
        <w:tblW w:w="8466" w:type="dxa"/>
        <w:tblInd w:w="0" w:type="dxa"/>
        <w:tblLayout w:type="fixed"/>
        <w:tblCellMar>
          <w:top w:w="0" w:type="dxa"/>
          <w:left w:w="108" w:type="dxa"/>
          <w:bottom w:w="0" w:type="dxa"/>
          <w:right w:w="108" w:type="dxa"/>
        </w:tblCellMar>
      </w:tblPr>
      <w:tblGrid>
        <w:gridCol w:w="1816"/>
        <w:gridCol w:w="835"/>
        <w:gridCol w:w="718"/>
        <w:gridCol w:w="772"/>
        <w:gridCol w:w="584"/>
        <w:gridCol w:w="663"/>
        <w:gridCol w:w="755"/>
        <w:gridCol w:w="491"/>
        <w:gridCol w:w="492"/>
        <w:gridCol w:w="678"/>
        <w:gridCol w:w="662"/>
      </w:tblGrid>
      <w:tr>
        <w:tblPrEx>
          <w:tblCellMar>
            <w:top w:w="0" w:type="dxa"/>
            <w:left w:w="108" w:type="dxa"/>
            <w:bottom w:w="0" w:type="dxa"/>
            <w:right w:w="108" w:type="dxa"/>
          </w:tblCellMar>
        </w:tblPrEx>
        <w:trPr>
          <w:trHeight w:val="799"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2024年度部门整体绩效自评表</w:t>
            </w:r>
          </w:p>
        </w:tc>
      </w:tr>
      <w:tr>
        <w:tblPrEx>
          <w:tblCellMar>
            <w:top w:w="0" w:type="dxa"/>
            <w:left w:w="108" w:type="dxa"/>
            <w:bottom w:w="0" w:type="dxa"/>
            <w:right w:w="108" w:type="dxa"/>
          </w:tblCellMar>
        </w:tblPrEx>
        <w:trPr>
          <w:trHeight w:val="499"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1" w:firstLineChars="100"/>
              <w:jc w:val="right"/>
              <w:rPr>
                <w:rFonts w:hint="default" w:cs="宋体"/>
                <w:b/>
                <w:bCs/>
                <w:color w:val="FF0000"/>
                <w:sz w:val="20"/>
                <w:szCs w:val="20"/>
              </w:rPr>
            </w:pPr>
            <w:r>
              <w:rPr>
                <w:rFonts w:cs="宋体"/>
                <w:b/>
                <w:bCs/>
                <w:color w:val="FF0000"/>
                <w:sz w:val="20"/>
                <w:szCs w:val="20"/>
              </w:rPr>
              <w:t>状态：绩效审核已审</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1553"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垫江县新民镇人民政府整体自评</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1247"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50023100024P000129</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983"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67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66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1553"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1247"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983"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陈老师</w:t>
            </w:r>
          </w:p>
        </w:tc>
        <w:tc>
          <w:tcPr>
            <w:tcW w:w="67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66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023-74578690</w:t>
            </w:r>
          </w:p>
        </w:tc>
      </w:tr>
      <w:tr>
        <w:tblPrEx>
          <w:tblCellMar>
            <w:top w:w="0" w:type="dxa"/>
            <w:left w:w="108" w:type="dxa"/>
            <w:bottom w:w="0" w:type="dxa"/>
            <w:right w:w="108" w:type="dxa"/>
          </w:tblCellMar>
        </w:tblPrEx>
        <w:trPr>
          <w:trHeight w:val="600"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CellMar>
            <w:top w:w="0" w:type="dxa"/>
            <w:left w:w="108" w:type="dxa"/>
            <w:bottom w:w="0" w:type="dxa"/>
            <w:right w:w="108" w:type="dxa"/>
          </w:tblCellMar>
        </w:tblPrEx>
        <w:trPr>
          <w:trHeight w:val="499" w:hRule="atLeast"/>
        </w:trPr>
        <w:tc>
          <w:tcPr>
            <w:tcW w:w="2651" w:type="dxa"/>
            <w:gridSpan w:val="2"/>
            <w:tcBorders>
              <w:top w:val="single" w:color="auto" w:sz="4" w:space="0"/>
              <w:left w:val="single" w:color="auto" w:sz="4" w:space="0"/>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490"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1247"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1246"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67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66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nil"/>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83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490"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21,859,110.84 </w:t>
            </w:r>
          </w:p>
        </w:tc>
        <w:tc>
          <w:tcPr>
            <w:tcW w:w="1247"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43,775,535.16 </w:t>
            </w:r>
          </w:p>
        </w:tc>
        <w:tc>
          <w:tcPr>
            <w:tcW w:w="1246"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43,775,535.16 </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67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662"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nil"/>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83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490"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21,859,110.84 </w:t>
            </w:r>
          </w:p>
        </w:tc>
        <w:tc>
          <w:tcPr>
            <w:tcW w:w="1247"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43,775,535.16 </w:t>
            </w:r>
          </w:p>
        </w:tc>
        <w:tc>
          <w:tcPr>
            <w:tcW w:w="1246"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43,775,535.16 </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7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662"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nil"/>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一般公共预算</w:t>
            </w:r>
          </w:p>
        </w:tc>
        <w:tc>
          <w:tcPr>
            <w:tcW w:w="83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490"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21,859,110.84 </w:t>
            </w:r>
          </w:p>
        </w:tc>
        <w:tc>
          <w:tcPr>
            <w:tcW w:w="1247"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43,775,535.16 </w:t>
            </w:r>
          </w:p>
        </w:tc>
        <w:tc>
          <w:tcPr>
            <w:tcW w:w="1246"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35,557,163.16 </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7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662"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600"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CellMar>
            <w:top w:w="0" w:type="dxa"/>
            <w:left w:w="108" w:type="dxa"/>
            <w:bottom w:w="0" w:type="dxa"/>
            <w:right w:w="108" w:type="dxa"/>
          </w:tblCellMar>
        </w:tblPrEx>
        <w:trPr>
          <w:trHeight w:val="499" w:hRule="atLeast"/>
        </w:trPr>
        <w:tc>
          <w:tcPr>
            <w:tcW w:w="4141"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年初绩效目标</w:t>
            </w:r>
          </w:p>
        </w:tc>
        <w:tc>
          <w:tcPr>
            <w:tcW w:w="2493" w:type="dxa"/>
            <w:gridSpan w:val="4"/>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全年（调整）绩效目标</w:t>
            </w:r>
          </w:p>
        </w:tc>
        <w:tc>
          <w:tcPr>
            <w:tcW w:w="1832" w:type="dxa"/>
            <w:gridSpan w:val="3"/>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全年目标实际完成情况</w:t>
            </w:r>
          </w:p>
        </w:tc>
      </w:tr>
      <w:tr>
        <w:tblPrEx>
          <w:tblCellMar>
            <w:top w:w="0" w:type="dxa"/>
            <w:left w:w="108" w:type="dxa"/>
            <w:bottom w:w="0" w:type="dxa"/>
            <w:right w:w="108" w:type="dxa"/>
          </w:tblCellMar>
        </w:tblPrEx>
        <w:trPr>
          <w:trHeight w:val="1602" w:hRule="atLeast"/>
        </w:trPr>
        <w:tc>
          <w:tcPr>
            <w:tcW w:w="4141" w:type="dxa"/>
            <w:gridSpan w:val="4"/>
            <w:tcBorders>
              <w:top w:val="single" w:color="auto" w:sz="4" w:space="0"/>
              <w:left w:val="single" w:color="auto" w:sz="4" w:space="0"/>
              <w:bottom w:val="single" w:color="auto" w:sz="4" w:space="0"/>
              <w:right w:val="single" w:color="auto" w:sz="4" w:space="0"/>
            </w:tcBorders>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新民镇2024年认真贯彻落实上级党委政府的相关政策，在各级领导下认真做好基层党组织建设、乡村振兴、社会治安管控、民政优抚等困难群众救助、人居环境整治、城区保洁、森林防火、市政设施运行及维护等工作。有效防范和化解社会矛盾，确保经济社会稳定，辖区群众满意度达90%以上。</w:t>
            </w:r>
          </w:p>
        </w:tc>
        <w:tc>
          <w:tcPr>
            <w:tcW w:w="2493" w:type="dxa"/>
            <w:gridSpan w:val="4"/>
            <w:tcBorders>
              <w:top w:val="single" w:color="auto" w:sz="4" w:space="0"/>
              <w:left w:val="nil"/>
              <w:bottom w:val="single" w:color="auto" w:sz="4" w:space="0"/>
              <w:right w:val="single" w:color="auto" w:sz="4" w:space="0"/>
            </w:tcBorders>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新民镇2024年认真贯彻落实上级党委政府的相关政策，在各级领导下认真做好基层党组织建设、乡村振兴、社会治安管控、民政优抚等困难群众救助、人居环境整治、城区保洁、森林防火、市政设施运行及维护等工作。有效防范和化解社会矛盾，确保经济社会稳定，辖区群众满意度达90%以上。</w:t>
            </w:r>
          </w:p>
        </w:tc>
        <w:tc>
          <w:tcPr>
            <w:tcW w:w="1832" w:type="dxa"/>
            <w:gridSpan w:val="3"/>
            <w:tcBorders>
              <w:top w:val="single" w:color="auto" w:sz="4" w:space="0"/>
              <w:left w:val="nil"/>
              <w:bottom w:val="single" w:color="auto" w:sz="4" w:space="0"/>
              <w:right w:val="single" w:color="auto" w:sz="4" w:space="0"/>
            </w:tcBorders>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新民镇2024年认真贯彻落实上级党委政府的相关政策，在各级领导下认真做好基层党组织建设、乡村振兴、社会治安管控、民政优抚等困难群众救助、人居环境整治、城区保洁、森林防火、市政设施运行及维护等工作。有效防范和化解社会矛盾，确保经济社会稳定，辖区群众满意度达90%以上。</w:t>
            </w:r>
          </w:p>
        </w:tc>
      </w:tr>
      <w:tr>
        <w:tblPrEx>
          <w:tblCellMar>
            <w:top w:w="0" w:type="dxa"/>
            <w:left w:w="108" w:type="dxa"/>
            <w:bottom w:w="0" w:type="dxa"/>
            <w:right w:w="108" w:type="dxa"/>
          </w:tblCellMar>
        </w:tblPrEx>
        <w:trPr>
          <w:trHeight w:val="600"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0"/>
                <w:szCs w:val="20"/>
              </w:rPr>
            </w:pPr>
            <w:r>
              <w:rPr>
                <w:rFonts w:ascii="微软雅黑" w:hAnsi="微软雅黑" w:eastAsia="微软雅黑" w:cs="宋体"/>
                <w:b/>
                <w:bCs/>
                <w:color w:val="808080"/>
                <w:sz w:val="28"/>
                <w:szCs w:val="28"/>
              </w:rPr>
              <w:t>绩效指标</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指标名称</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计量单位</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指标性质</w:t>
            </w:r>
          </w:p>
        </w:tc>
        <w:tc>
          <w:tcPr>
            <w:tcW w:w="772" w:type="dxa"/>
            <w:tcBorders>
              <w:top w:val="nil"/>
              <w:left w:val="nil"/>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指标值</w:t>
            </w:r>
          </w:p>
        </w:tc>
        <w:tc>
          <w:tcPr>
            <w:tcW w:w="584" w:type="dxa"/>
            <w:tcBorders>
              <w:top w:val="nil"/>
              <w:left w:val="nil"/>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全年完成值</w:t>
            </w:r>
          </w:p>
        </w:tc>
        <w:tc>
          <w:tcPr>
            <w:tcW w:w="663" w:type="dxa"/>
            <w:tcBorders>
              <w:top w:val="nil"/>
              <w:left w:val="nil"/>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偏离度（%）</w:t>
            </w:r>
          </w:p>
        </w:tc>
        <w:tc>
          <w:tcPr>
            <w:tcW w:w="755" w:type="dxa"/>
            <w:tcBorders>
              <w:top w:val="nil"/>
              <w:left w:val="nil"/>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得分系数（%）</w:t>
            </w:r>
          </w:p>
        </w:tc>
        <w:tc>
          <w:tcPr>
            <w:tcW w:w="491" w:type="dxa"/>
            <w:tcBorders>
              <w:top w:val="nil"/>
              <w:left w:val="nil"/>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指标权重</w:t>
            </w:r>
          </w:p>
        </w:tc>
        <w:tc>
          <w:tcPr>
            <w:tcW w:w="492" w:type="dxa"/>
            <w:tcBorders>
              <w:top w:val="nil"/>
              <w:left w:val="nil"/>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指标得分</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是否核心指标</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说明</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党建培训人次</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人次</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160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166</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3.75</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较大森林火险发生次数</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次</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年生活垃圾处理量</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吨</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5000</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农村厕所革命户数</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户</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辖区农民人均纯收入增长量</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应公开的政务信息公开率</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优抚、民政、计生等困难群众补助人数</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人</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350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358</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2.29</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征兵完成率</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重大安全事故发生次数</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次</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辖区河道水质</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类</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3</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3</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三季度预算执行进度</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75</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78</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4</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预决算按时公开率</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一般公共预算收入完成率</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辖区干部满意率</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辖区群众满意度</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816"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全年预算支出执行率</w:t>
            </w:r>
          </w:p>
        </w:tc>
        <w:tc>
          <w:tcPr>
            <w:tcW w:w="8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1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5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75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49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49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7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w:t>
            </w:r>
          </w:p>
        </w:tc>
        <w:tc>
          <w:tcPr>
            <w:tcW w:w="662"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bl>
    <w:p>
      <w:pPr>
        <w:pStyle w:val="12"/>
        <w:spacing w:line="600" w:lineRule="exact"/>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垫江县新民镇人民政府项目支出绩效自评表（二级项目）</w:t>
      </w:r>
    </w:p>
    <w:tbl>
      <w:tblPr>
        <w:tblStyle w:val="7"/>
        <w:tblW w:w="8466" w:type="dxa"/>
        <w:tblInd w:w="0" w:type="dxa"/>
        <w:tblLayout w:type="fixed"/>
        <w:tblCellMar>
          <w:top w:w="0" w:type="dxa"/>
          <w:left w:w="108" w:type="dxa"/>
          <w:bottom w:w="0" w:type="dxa"/>
          <w:right w:w="108" w:type="dxa"/>
        </w:tblCellMar>
      </w:tblPr>
      <w:tblGrid>
        <w:gridCol w:w="1349"/>
        <w:gridCol w:w="675"/>
        <w:gridCol w:w="676"/>
        <w:gridCol w:w="771"/>
        <w:gridCol w:w="696"/>
        <w:gridCol w:w="774"/>
        <w:gridCol w:w="868"/>
        <w:gridCol w:w="602"/>
        <w:gridCol w:w="603"/>
        <w:gridCol w:w="789"/>
        <w:gridCol w:w="663"/>
      </w:tblGrid>
      <w:tr>
        <w:tblPrEx>
          <w:tblCellMar>
            <w:top w:w="0" w:type="dxa"/>
            <w:left w:w="108" w:type="dxa"/>
            <w:bottom w:w="0" w:type="dxa"/>
            <w:right w:w="108" w:type="dxa"/>
          </w:tblCellMar>
        </w:tblPrEx>
        <w:trPr>
          <w:trHeight w:val="799"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1" w:firstLineChars="100"/>
              <w:jc w:val="right"/>
              <w:rPr>
                <w:rFonts w:hint="default" w:cs="宋体"/>
                <w:b/>
                <w:bCs/>
                <w:color w:val="FF0000"/>
                <w:sz w:val="20"/>
                <w:szCs w:val="20"/>
              </w:rPr>
            </w:pPr>
            <w:r>
              <w:rPr>
                <w:rFonts w:cs="宋体"/>
                <w:b/>
                <w:bCs/>
                <w:color w:val="FF0000"/>
                <w:sz w:val="20"/>
                <w:szCs w:val="20"/>
              </w:rPr>
              <w:t>状态：绩效审核已审</w:t>
            </w:r>
          </w:p>
        </w:tc>
      </w:tr>
      <w:tr>
        <w:tblPrEx>
          <w:tblCellMar>
            <w:top w:w="0" w:type="dxa"/>
            <w:left w:w="108" w:type="dxa"/>
            <w:bottom w:w="0" w:type="dxa"/>
            <w:right w:w="108" w:type="dxa"/>
          </w:tblCellMar>
        </w:tblPrEx>
        <w:trPr>
          <w:trHeight w:val="499" w:hRule="atLeast"/>
        </w:trPr>
        <w:tc>
          <w:tcPr>
            <w:tcW w:w="1349"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1351"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农村综合改革转移支付</w:t>
            </w:r>
          </w:p>
        </w:tc>
        <w:tc>
          <w:tcPr>
            <w:tcW w:w="77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1470"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50023122T000002074162</w:t>
            </w:r>
          </w:p>
        </w:tc>
        <w:tc>
          <w:tcPr>
            <w:tcW w:w="86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1205"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349"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1351"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77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1470"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86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1205"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陈老师</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023-74578690</w:t>
            </w:r>
          </w:p>
        </w:tc>
      </w:tr>
      <w:tr>
        <w:tblPrEx>
          <w:tblCellMar>
            <w:top w:w="0" w:type="dxa"/>
            <w:left w:w="108" w:type="dxa"/>
            <w:bottom w:w="0" w:type="dxa"/>
            <w:right w:w="108" w:type="dxa"/>
          </w:tblCellMar>
        </w:tblPrEx>
        <w:trPr>
          <w:trHeight w:val="600"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CellMar>
            <w:top w:w="0" w:type="dxa"/>
            <w:left w:w="108" w:type="dxa"/>
            <w:bottom w:w="0" w:type="dxa"/>
            <w:right w:w="108" w:type="dxa"/>
          </w:tblCellMar>
        </w:tblPrEx>
        <w:trPr>
          <w:trHeight w:val="499" w:hRule="atLeast"/>
        </w:trPr>
        <w:tc>
          <w:tcPr>
            <w:tcW w:w="2024"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cs="宋体"/>
                <w:color w:val="000000"/>
                <w:sz w:val="20"/>
                <w:szCs w:val="20"/>
              </w:rPr>
            </w:pPr>
            <w:r>
              <w:rPr>
                <w:rFonts w:cs="宋体"/>
                <w:color w:val="000000"/>
                <w:sz w:val="20"/>
                <w:szCs w:val="20"/>
              </w:rPr>
              <w:t>　</w:t>
            </w:r>
          </w:p>
        </w:tc>
        <w:tc>
          <w:tcPr>
            <w:tcW w:w="1447"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1470"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1470"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60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499" w:hRule="atLeast"/>
        </w:trPr>
        <w:tc>
          <w:tcPr>
            <w:tcW w:w="1349" w:type="dxa"/>
            <w:tcBorders>
              <w:top w:val="nil"/>
              <w:left w:val="single" w:color="auto" w:sz="4" w:space="0"/>
              <w:bottom w:val="single" w:color="auto" w:sz="4" w:space="0"/>
              <w:right w:val="nil"/>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67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447"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70"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2,737,549.36 </w:t>
            </w:r>
          </w:p>
        </w:tc>
        <w:tc>
          <w:tcPr>
            <w:tcW w:w="1470"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2,737,549.36 </w:t>
            </w:r>
          </w:p>
        </w:tc>
        <w:tc>
          <w:tcPr>
            <w:tcW w:w="603" w:type="dxa"/>
            <w:tcBorders>
              <w:top w:val="nil"/>
              <w:left w:val="nil"/>
              <w:bottom w:val="single" w:color="auto" w:sz="4" w:space="0"/>
              <w:right w:val="single" w:color="auto" w:sz="4" w:space="0"/>
            </w:tcBorders>
            <w:vAlign w:val="center"/>
          </w:tcPr>
          <w:p>
            <w:pPr>
              <w:spacing w:before="100" w:beforeAutospacing="1" w:after="100" w:afterAutospacing="1"/>
              <w:rPr>
                <w:rFonts w:hint="default" w:cs="宋体"/>
                <w:color w:val="000000"/>
                <w:sz w:val="20"/>
                <w:szCs w:val="20"/>
              </w:rPr>
            </w:pPr>
            <w:r>
              <w:rPr>
                <w:rFonts w:cs="宋体"/>
                <w:color w:val="000000"/>
                <w:sz w:val="20"/>
                <w:szCs w:val="20"/>
              </w:rPr>
              <w:t>　</w:t>
            </w:r>
          </w:p>
        </w:tc>
        <w:tc>
          <w:tcPr>
            <w:tcW w:w="789" w:type="dxa"/>
            <w:tcBorders>
              <w:top w:val="nil"/>
              <w:left w:val="nil"/>
              <w:bottom w:val="single" w:color="auto" w:sz="4" w:space="0"/>
              <w:right w:val="single" w:color="auto" w:sz="4" w:space="0"/>
            </w:tcBorders>
            <w:vAlign w:val="center"/>
          </w:tcPr>
          <w:p>
            <w:pPr>
              <w:spacing w:before="100" w:beforeAutospacing="1" w:after="100" w:afterAutospacing="1"/>
              <w:rPr>
                <w:rFonts w:hint="default" w:cs="宋体"/>
                <w:color w:val="000000"/>
                <w:sz w:val="20"/>
                <w:szCs w:val="20"/>
              </w:rPr>
            </w:pPr>
            <w:r>
              <w:rPr>
                <w:rFonts w:cs="宋体"/>
                <w:color w:val="000000"/>
                <w:sz w:val="20"/>
                <w:szCs w:val="20"/>
              </w:rPr>
              <w:t>　</w:t>
            </w:r>
          </w:p>
        </w:tc>
        <w:tc>
          <w:tcPr>
            <w:tcW w:w="66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cs="宋体"/>
                <w:sz w:val="20"/>
                <w:szCs w:val="20"/>
              </w:rPr>
            </w:pPr>
            <w:r>
              <w:rPr>
                <w:rFonts w:cs="宋体"/>
                <w:sz w:val="20"/>
                <w:szCs w:val="20"/>
              </w:rPr>
              <w:t>　</w:t>
            </w:r>
          </w:p>
        </w:tc>
      </w:tr>
      <w:tr>
        <w:tblPrEx>
          <w:tblCellMar>
            <w:top w:w="0" w:type="dxa"/>
            <w:left w:w="108" w:type="dxa"/>
            <w:bottom w:w="0" w:type="dxa"/>
            <w:right w:w="108" w:type="dxa"/>
          </w:tblCellMar>
        </w:tblPrEx>
        <w:trPr>
          <w:trHeight w:val="499" w:hRule="atLeast"/>
        </w:trPr>
        <w:tc>
          <w:tcPr>
            <w:tcW w:w="1349" w:type="dxa"/>
            <w:tcBorders>
              <w:top w:val="nil"/>
              <w:left w:val="single" w:color="auto" w:sz="4" w:space="0"/>
              <w:bottom w:val="single" w:color="auto" w:sz="4" w:space="0"/>
              <w:right w:val="nil"/>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67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447"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70"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2,737,549.36 </w:t>
            </w:r>
          </w:p>
        </w:tc>
        <w:tc>
          <w:tcPr>
            <w:tcW w:w="1470"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2,737,549.36 </w:t>
            </w:r>
          </w:p>
        </w:tc>
        <w:tc>
          <w:tcPr>
            <w:tcW w:w="60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66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499" w:hRule="atLeast"/>
        </w:trPr>
        <w:tc>
          <w:tcPr>
            <w:tcW w:w="1349" w:type="dxa"/>
            <w:tcBorders>
              <w:top w:val="nil"/>
              <w:left w:val="single" w:color="auto" w:sz="4" w:space="0"/>
              <w:bottom w:val="single" w:color="auto" w:sz="4" w:space="0"/>
              <w:right w:val="nil"/>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一般公共预算</w:t>
            </w:r>
          </w:p>
        </w:tc>
        <w:tc>
          <w:tcPr>
            <w:tcW w:w="67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447"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70"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2,737,549.36 </w:t>
            </w:r>
          </w:p>
        </w:tc>
        <w:tc>
          <w:tcPr>
            <w:tcW w:w="1470" w:type="dxa"/>
            <w:gridSpan w:val="2"/>
            <w:tcBorders>
              <w:top w:val="single" w:color="auto" w:sz="4" w:space="0"/>
              <w:left w:val="nil"/>
              <w:bottom w:val="single" w:color="auto" w:sz="4" w:space="0"/>
              <w:right w:val="single" w:color="000000"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2,737,549.36 </w:t>
            </w:r>
          </w:p>
        </w:tc>
        <w:tc>
          <w:tcPr>
            <w:tcW w:w="60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66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cs="宋体"/>
                <w:sz w:val="20"/>
                <w:szCs w:val="20"/>
              </w:rPr>
            </w:pPr>
            <w:r>
              <w:rPr>
                <w:rFonts w:cs="宋体"/>
                <w:sz w:val="20"/>
                <w:szCs w:val="20"/>
              </w:rPr>
              <w:t>　</w:t>
            </w:r>
          </w:p>
        </w:tc>
      </w:tr>
      <w:tr>
        <w:tblPrEx>
          <w:tblCellMar>
            <w:top w:w="0" w:type="dxa"/>
            <w:left w:w="108" w:type="dxa"/>
            <w:bottom w:w="0" w:type="dxa"/>
            <w:right w:w="108" w:type="dxa"/>
          </w:tblCellMar>
        </w:tblPrEx>
        <w:trPr>
          <w:trHeight w:val="600"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CellMar>
            <w:top w:w="0" w:type="dxa"/>
            <w:left w:w="108" w:type="dxa"/>
            <w:bottom w:w="0" w:type="dxa"/>
            <w:right w:w="108" w:type="dxa"/>
          </w:tblCellMar>
        </w:tblPrEx>
        <w:trPr>
          <w:trHeight w:val="499" w:hRule="atLeast"/>
        </w:trPr>
        <w:tc>
          <w:tcPr>
            <w:tcW w:w="3471" w:type="dxa"/>
            <w:gridSpan w:val="4"/>
            <w:tcBorders>
              <w:top w:val="single" w:color="auto" w:sz="4" w:space="0"/>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年初绩效目标</w:t>
            </w:r>
          </w:p>
        </w:tc>
        <w:tc>
          <w:tcPr>
            <w:tcW w:w="2940" w:type="dxa"/>
            <w:gridSpan w:val="4"/>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全年（调整）绩效目标</w:t>
            </w:r>
          </w:p>
        </w:tc>
        <w:tc>
          <w:tcPr>
            <w:tcW w:w="2055" w:type="dxa"/>
            <w:gridSpan w:val="3"/>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全年目标实际完成情况</w:t>
            </w:r>
          </w:p>
        </w:tc>
      </w:tr>
      <w:tr>
        <w:tblPrEx>
          <w:tblCellMar>
            <w:top w:w="0" w:type="dxa"/>
            <w:left w:w="108" w:type="dxa"/>
            <w:bottom w:w="0" w:type="dxa"/>
            <w:right w:w="108" w:type="dxa"/>
          </w:tblCellMar>
        </w:tblPrEx>
        <w:trPr>
          <w:trHeight w:val="1602" w:hRule="atLeast"/>
        </w:trPr>
        <w:tc>
          <w:tcPr>
            <w:tcW w:w="3471" w:type="dxa"/>
            <w:gridSpan w:val="4"/>
            <w:tcBorders>
              <w:top w:val="single" w:color="auto" w:sz="4" w:space="0"/>
              <w:left w:val="single" w:color="auto" w:sz="4" w:space="0"/>
              <w:bottom w:val="single" w:color="auto" w:sz="4" w:space="0"/>
              <w:right w:val="single" w:color="auto" w:sz="4" w:space="0"/>
            </w:tcBorders>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农村综合改革转移支付</w:t>
            </w:r>
          </w:p>
        </w:tc>
        <w:tc>
          <w:tcPr>
            <w:tcW w:w="2940" w:type="dxa"/>
            <w:gridSpan w:val="4"/>
            <w:tcBorders>
              <w:top w:val="single" w:color="auto" w:sz="4" w:space="0"/>
              <w:left w:val="nil"/>
              <w:bottom w:val="single" w:color="auto" w:sz="4" w:space="0"/>
              <w:right w:val="single" w:color="auto" w:sz="4" w:space="0"/>
            </w:tcBorders>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农村综合改革转移支付</w:t>
            </w:r>
          </w:p>
        </w:tc>
        <w:tc>
          <w:tcPr>
            <w:tcW w:w="2055" w:type="dxa"/>
            <w:gridSpan w:val="3"/>
            <w:tcBorders>
              <w:top w:val="single" w:color="auto" w:sz="4" w:space="0"/>
              <w:left w:val="nil"/>
              <w:bottom w:val="single" w:color="auto" w:sz="4" w:space="0"/>
              <w:right w:val="single" w:color="auto" w:sz="4" w:space="0"/>
            </w:tcBorders>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农村综合改革转移支付</w:t>
            </w:r>
          </w:p>
        </w:tc>
      </w:tr>
      <w:tr>
        <w:tblPrEx>
          <w:tblCellMar>
            <w:top w:w="0" w:type="dxa"/>
            <w:left w:w="108" w:type="dxa"/>
            <w:bottom w:w="0" w:type="dxa"/>
            <w:right w:w="108" w:type="dxa"/>
          </w:tblCellMar>
        </w:tblPrEx>
        <w:trPr>
          <w:trHeight w:val="600"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tblPrEx>
          <w:tblCellMar>
            <w:top w:w="0" w:type="dxa"/>
            <w:left w:w="108" w:type="dxa"/>
            <w:bottom w:w="0" w:type="dxa"/>
            <w:right w:w="108" w:type="dxa"/>
          </w:tblCellMar>
        </w:tblPrEx>
        <w:trPr>
          <w:trHeight w:val="499" w:hRule="atLeast"/>
        </w:trPr>
        <w:tc>
          <w:tcPr>
            <w:tcW w:w="1349"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指标名称</w:t>
            </w:r>
          </w:p>
        </w:tc>
        <w:tc>
          <w:tcPr>
            <w:tcW w:w="67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计量单位</w:t>
            </w:r>
          </w:p>
        </w:tc>
        <w:tc>
          <w:tcPr>
            <w:tcW w:w="676"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指标性质</w:t>
            </w:r>
          </w:p>
        </w:tc>
        <w:tc>
          <w:tcPr>
            <w:tcW w:w="771"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指标值</w:t>
            </w:r>
          </w:p>
        </w:tc>
        <w:tc>
          <w:tcPr>
            <w:tcW w:w="696"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全年完成值</w:t>
            </w:r>
          </w:p>
        </w:tc>
        <w:tc>
          <w:tcPr>
            <w:tcW w:w="774"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偏离度（%）</w:t>
            </w:r>
          </w:p>
        </w:tc>
        <w:tc>
          <w:tcPr>
            <w:tcW w:w="868"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得分系数（%）</w:t>
            </w:r>
          </w:p>
        </w:tc>
        <w:tc>
          <w:tcPr>
            <w:tcW w:w="602"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指标权重</w:t>
            </w:r>
          </w:p>
        </w:tc>
        <w:tc>
          <w:tcPr>
            <w:tcW w:w="603"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指标得分</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是否核心指标</w:t>
            </w:r>
          </w:p>
        </w:tc>
        <w:tc>
          <w:tcPr>
            <w:tcW w:w="663" w:type="dxa"/>
            <w:tcBorders>
              <w:top w:val="nil"/>
              <w:left w:val="nil"/>
              <w:bottom w:val="single" w:color="auto" w:sz="4" w:space="0"/>
              <w:right w:val="single" w:color="auto" w:sz="4" w:space="0"/>
            </w:tcBorders>
            <w:vAlign w:val="center"/>
          </w:tcPr>
          <w:p>
            <w:pPr>
              <w:spacing w:before="100" w:beforeAutospacing="1" w:after="100" w:afterAutospacing="1"/>
              <w:jc w:val="center"/>
              <w:rPr>
                <w:rFonts w:hint="default" w:cs="宋体"/>
                <w:b/>
                <w:bCs/>
                <w:color w:val="000000"/>
                <w:sz w:val="20"/>
                <w:szCs w:val="20"/>
              </w:rPr>
            </w:pPr>
            <w:r>
              <w:rPr>
                <w:rFonts w:ascii="Times New Roman" w:hAnsi="Times New Roman" w:eastAsia="方正仿宋_GBK"/>
                <w:color w:val="000000"/>
                <w:kern w:val="2"/>
                <w:sz w:val="20"/>
                <w:szCs w:val="20"/>
              </w:rPr>
              <w:t>说明</w:t>
            </w:r>
          </w:p>
        </w:tc>
      </w:tr>
      <w:tr>
        <w:tblPrEx>
          <w:tblCellMar>
            <w:top w:w="0" w:type="dxa"/>
            <w:left w:w="108" w:type="dxa"/>
            <w:bottom w:w="0" w:type="dxa"/>
            <w:right w:w="108" w:type="dxa"/>
          </w:tblCellMar>
        </w:tblPrEx>
        <w:trPr>
          <w:trHeight w:val="499" w:hRule="atLeast"/>
        </w:trPr>
        <w:tc>
          <w:tcPr>
            <w:tcW w:w="1349"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涉及村居个数</w:t>
            </w:r>
          </w:p>
        </w:tc>
        <w:tc>
          <w:tcPr>
            <w:tcW w:w="67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个</w:t>
            </w:r>
          </w:p>
        </w:tc>
        <w:tc>
          <w:tcPr>
            <w:tcW w:w="676"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69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77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6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0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60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499" w:hRule="atLeast"/>
        </w:trPr>
        <w:tc>
          <w:tcPr>
            <w:tcW w:w="1349"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覆盖范围</w:t>
            </w:r>
          </w:p>
        </w:tc>
        <w:tc>
          <w:tcPr>
            <w:tcW w:w="67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676"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9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7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6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0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60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499" w:hRule="atLeast"/>
        </w:trPr>
        <w:tc>
          <w:tcPr>
            <w:tcW w:w="1349"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发放及时率</w:t>
            </w:r>
          </w:p>
        </w:tc>
        <w:tc>
          <w:tcPr>
            <w:tcW w:w="67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676"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9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7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6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0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0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499" w:hRule="atLeast"/>
        </w:trPr>
        <w:tc>
          <w:tcPr>
            <w:tcW w:w="1349"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保障一事一议工作顺利进行</w:t>
            </w:r>
          </w:p>
        </w:tc>
        <w:tc>
          <w:tcPr>
            <w:tcW w:w="67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676"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定性</w:t>
            </w:r>
          </w:p>
        </w:tc>
        <w:tc>
          <w:tcPr>
            <w:tcW w:w="77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好</w:t>
            </w:r>
          </w:p>
        </w:tc>
        <w:tc>
          <w:tcPr>
            <w:tcW w:w="69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77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6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0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60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w:t>
            </w:r>
          </w:p>
        </w:tc>
        <w:tc>
          <w:tcPr>
            <w:tcW w:w="66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499" w:hRule="atLeast"/>
        </w:trPr>
        <w:tc>
          <w:tcPr>
            <w:tcW w:w="1349"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服务对象满意度</w:t>
            </w:r>
          </w:p>
        </w:tc>
        <w:tc>
          <w:tcPr>
            <w:tcW w:w="67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676"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69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77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6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0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0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cs="宋体"/>
                <w:color w:val="000000"/>
                <w:sz w:val="20"/>
                <w:szCs w:val="20"/>
              </w:rPr>
            </w:pPr>
            <w:r>
              <w:rPr>
                <w:rFonts w:cs="宋体"/>
                <w:color w:val="000000"/>
                <w:sz w:val="20"/>
                <w:szCs w:val="20"/>
              </w:rPr>
              <w:t>　</w:t>
            </w:r>
          </w:p>
        </w:tc>
      </w:tr>
      <w:tr>
        <w:tblPrEx>
          <w:tblCellMar>
            <w:top w:w="0" w:type="dxa"/>
            <w:left w:w="108" w:type="dxa"/>
            <w:bottom w:w="0" w:type="dxa"/>
            <w:right w:w="108" w:type="dxa"/>
          </w:tblCellMar>
        </w:tblPrEx>
        <w:trPr>
          <w:trHeight w:val="499" w:hRule="atLeast"/>
        </w:trPr>
        <w:tc>
          <w:tcPr>
            <w:tcW w:w="1349"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涉及总金额</w:t>
            </w:r>
          </w:p>
        </w:tc>
        <w:tc>
          <w:tcPr>
            <w:tcW w:w="675"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万元</w:t>
            </w:r>
          </w:p>
        </w:tc>
        <w:tc>
          <w:tcPr>
            <w:tcW w:w="676"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7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491</w:t>
            </w:r>
          </w:p>
        </w:tc>
        <w:tc>
          <w:tcPr>
            <w:tcW w:w="69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491</w:t>
            </w:r>
          </w:p>
        </w:tc>
        <w:tc>
          <w:tcPr>
            <w:tcW w:w="77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6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02"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60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789" w:type="dxa"/>
            <w:tcBorders>
              <w:top w:val="nil"/>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66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cs="宋体"/>
                <w:color w:val="000000"/>
                <w:sz w:val="20"/>
                <w:szCs w:val="20"/>
              </w:rPr>
            </w:pPr>
            <w:r>
              <w:rPr>
                <w:rFonts w:cs="宋体"/>
                <w:color w:val="000000"/>
                <w:sz w:val="20"/>
                <w:szCs w:val="20"/>
              </w:rPr>
              <w:t>　</w:t>
            </w:r>
          </w:p>
        </w:tc>
      </w:tr>
    </w:tbl>
    <w:p>
      <w:pPr>
        <w:pStyle w:val="12"/>
        <w:autoSpaceDE w:val="0"/>
        <w:spacing w:line="600" w:lineRule="exact"/>
        <w:rPr>
          <w:rFonts w:ascii="方正仿宋_GBK" w:hAnsi="方正仿宋_GBK" w:eastAsia="方正仿宋_GBK" w:cs="方正仿宋_GBK"/>
          <w:sz w:val="32"/>
          <w:szCs w:val="32"/>
          <w:shd w:val="clear" w:color="auto" w:fill="FFFFFF"/>
        </w:rPr>
      </w:pPr>
    </w:p>
    <w:tbl>
      <w:tblPr>
        <w:tblStyle w:val="7"/>
        <w:tblW w:w="8466" w:type="dxa"/>
        <w:tblInd w:w="0" w:type="dxa"/>
        <w:tblLayout w:type="fixed"/>
        <w:tblCellMar>
          <w:top w:w="0" w:type="dxa"/>
          <w:left w:w="108" w:type="dxa"/>
          <w:bottom w:w="0" w:type="dxa"/>
          <w:right w:w="108" w:type="dxa"/>
        </w:tblCellMar>
      </w:tblPr>
      <w:tblGrid>
        <w:gridCol w:w="1280"/>
        <w:gridCol w:w="684"/>
        <w:gridCol w:w="794"/>
        <w:gridCol w:w="840"/>
        <w:gridCol w:w="664"/>
        <w:gridCol w:w="737"/>
        <w:gridCol w:w="826"/>
        <w:gridCol w:w="576"/>
        <w:gridCol w:w="576"/>
        <w:gridCol w:w="751"/>
        <w:gridCol w:w="738"/>
      </w:tblGrid>
      <w:tr>
        <w:tblPrEx>
          <w:tblCellMar>
            <w:top w:w="0" w:type="dxa"/>
            <w:left w:w="108" w:type="dxa"/>
            <w:bottom w:w="0" w:type="dxa"/>
            <w:right w:w="108" w:type="dxa"/>
          </w:tblCellMar>
        </w:tblPrEx>
        <w:trPr>
          <w:trHeight w:val="799"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1" w:firstLineChars="100"/>
              <w:jc w:val="right"/>
              <w:rPr>
                <w:rFonts w:hint="default" w:cs="宋体"/>
                <w:b/>
                <w:bCs/>
                <w:color w:val="FF0000"/>
                <w:sz w:val="20"/>
                <w:szCs w:val="20"/>
              </w:rPr>
            </w:pPr>
            <w:r>
              <w:rPr>
                <w:rFonts w:cs="宋体"/>
                <w:b/>
                <w:bCs/>
                <w:color w:val="FF0000"/>
                <w:sz w:val="20"/>
                <w:szCs w:val="20"/>
              </w:rPr>
              <w:t>状态：绩效审核已审</w:t>
            </w:r>
          </w:p>
        </w:tc>
      </w:tr>
      <w:tr>
        <w:tblPrEx>
          <w:tblCellMar>
            <w:top w:w="0" w:type="dxa"/>
            <w:left w:w="108" w:type="dxa"/>
            <w:bottom w:w="0" w:type="dxa"/>
            <w:right w:w="108" w:type="dxa"/>
          </w:tblCellMar>
        </w:tblPrEx>
        <w:trPr>
          <w:trHeight w:val="499" w:hRule="atLeast"/>
        </w:trPr>
        <w:tc>
          <w:tcPr>
            <w:tcW w:w="1280"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1478"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垫江县超（快）充电桩建设资金</w:t>
            </w:r>
          </w:p>
        </w:tc>
        <w:tc>
          <w:tcPr>
            <w:tcW w:w="84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1401"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50023125T000004909316</w:t>
            </w:r>
          </w:p>
        </w:tc>
        <w:tc>
          <w:tcPr>
            <w:tcW w:w="82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1152"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751"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3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80"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1478"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84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1401"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82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1152"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陈老师</w:t>
            </w:r>
          </w:p>
        </w:tc>
        <w:tc>
          <w:tcPr>
            <w:tcW w:w="751"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73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023-74578690</w:t>
            </w:r>
          </w:p>
        </w:tc>
      </w:tr>
      <w:tr>
        <w:tblPrEx>
          <w:tblCellMar>
            <w:top w:w="0" w:type="dxa"/>
            <w:left w:w="108" w:type="dxa"/>
            <w:bottom w:w="0" w:type="dxa"/>
            <w:right w:w="108" w:type="dxa"/>
          </w:tblCellMar>
        </w:tblPrEx>
        <w:trPr>
          <w:trHeight w:val="600"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CellMar>
            <w:top w:w="0" w:type="dxa"/>
            <w:left w:w="108" w:type="dxa"/>
            <w:bottom w:w="0" w:type="dxa"/>
            <w:right w:w="108" w:type="dxa"/>
          </w:tblCellMar>
        </w:tblPrEx>
        <w:trPr>
          <w:trHeight w:val="499" w:hRule="atLeast"/>
        </w:trPr>
        <w:tc>
          <w:tcPr>
            <w:tcW w:w="1964"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634"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1401"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1402"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57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751"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73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499" w:hRule="atLeast"/>
        </w:trPr>
        <w:tc>
          <w:tcPr>
            <w:tcW w:w="1280" w:type="dxa"/>
            <w:tcBorders>
              <w:top w:val="nil"/>
              <w:left w:val="single" w:color="auto" w:sz="4" w:space="0"/>
              <w:bottom w:val="single" w:color="auto" w:sz="4" w:space="0"/>
              <w:right w:val="nil"/>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634"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01"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119,452.00 </w:t>
            </w:r>
          </w:p>
        </w:tc>
        <w:tc>
          <w:tcPr>
            <w:tcW w:w="1402"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119,452.00 </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51"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3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80" w:type="dxa"/>
            <w:tcBorders>
              <w:top w:val="nil"/>
              <w:left w:val="single" w:color="auto" w:sz="4" w:space="0"/>
              <w:bottom w:val="single" w:color="auto" w:sz="4" w:space="0"/>
              <w:right w:val="nil"/>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634"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01"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119,452.00 </w:t>
            </w:r>
          </w:p>
        </w:tc>
        <w:tc>
          <w:tcPr>
            <w:tcW w:w="1402"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119,452.00 </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5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73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499" w:hRule="atLeast"/>
        </w:trPr>
        <w:tc>
          <w:tcPr>
            <w:tcW w:w="1280" w:type="dxa"/>
            <w:tcBorders>
              <w:top w:val="nil"/>
              <w:left w:val="single" w:color="auto" w:sz="4" w:space="0"/>
              <w:bottom w:val="single" w:color="auto" w:sz="4" w:space="0"/>
              <w:right w:val="nil"/>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一般公共预算</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634"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01"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119,452.00 </w:t>
            </w:r>
          </w:p>
        </w:tc>
        <w:tc>
          <w:tcPr>
            <w:tcW w:w="1402"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119,452.00 </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5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3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600"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CellMar>
            <w:top w:w="0" w:type="dxa"/>
            <w:left w:w="108" w:type="dxa"/>
            <w:bottom w:w="0" w:type="dxa"/>
            <w:right w:w="108" w:type="dxa"/>
          </w:tblCellMar>
        </w:tblPrEx>
        <w:trPr>
          <w:trHeight w:val="499" w:hRule="atLeast"/>
        </w:trPr>
        <w:tc>
          <w:tcPr>
            <w:tcW w:w="3598"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年初绩效目标</w:t>
            </w:r>
          </w:p>
        </w:tc>
        <w:tc>
          <w:tcPr>
            <w:tcW w:w="2803" w:type="dxa"/>
            <w:gridSpan w:val="4"/>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全年（调整）绩效目标</w:t>
            </w:r>
          </w:p>
        </w:tc>
        <w:tc>
          <w:tcPr>
            <w:tcW w:w="2065"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全年目标实际完成情况</w:t>
            </w:r>
          </w:p>
        </w:tc>
      </w:tr>
      <w:tr>
        <w:tblPrEx>
          <w:tblCellMar>
            <w:top w:w="0" w:type="dxa"/>
            <w:left w:w="108" w:type="dxa"/>
            <w:bottom w:w="0" w:type="dxa"/>
            <w:right w:w="108" w:type="dxa"/>
          </w:tblCellMar>
        </w:tblPrEx>
        <w:trPr>
          <w:trHeight w:val="1602" w:hRule="atLeast"/>
        </w:trPr>
        <w:tc>
          <w:tcPr>
            <w:tcW w:w="3598" w:type="dxa"/>
            <w:gridSpan w:val="4"/>
            <w:tcBorders>
              <w:top w:val="single" w:color="auto" w:sz="4" w:space="0"/>
              <w:left w:val="single" w:color="auto" w:sz="4" w:space="0"/>
              <w:bottom w:val="single" w:color="auto" w:sz="4" w:space="0"/>
              <w:right w:val="single" w:color="auto" w:sz="4" w:space="0"/>
            </w:tcBorders>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乡镇委托重庆市腾泰电力有限责任公司建设快充站电力设施</w:t>
            </w:r>
          </w:p>
        </w:tc>
        <w:tc>
          <w:tcPr>
            <w:tcW w:w="2803" w:type="dxa"/>
            <w:gridSpan w:val="4"/>
            <w:tcBorders>
              <w:top w:val="single" w:color="auto" w:sz="4" w:space="0"/>
              <w:left w:val="nil"/>
              <w:bottom w:val="single" w:color="auto" w:sz="4" w:space="0"/>
              <w:right w:val="single" w:color="auto" w:sz="4" w:space="0"/>
            </w:tcBorders>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乡镇委托重庆市腾泰电力有限责任公司建设快充站电力设施</w:t>
            </w:r>
          </w:p>
        </w:tc>
        <w:tc>
          <w:tcPr>
            <w:tcW w:w="2065" w:type="dxa"/>
            <w:gridSpan w:val="3"/>
            <w:tcBorders>
              <w:top w:val="single" w:color="auto" w:sz="4" w:space="0"/>
              <w:left w:val="nil"/>
              <w:bottom w:val="single" w:color="auto" w:sz="4" w:space="0"/>
              <w:right w:val="single" w:color="auto" w:sz="4" w:space="0"/>
            </w:tcBorders>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乡镇委托重庆市腾泰电力有限责任公司建设快充站电力设施</w:t>
            </w:r>
          </w:p>
        </w:tc>
      </w:tr>
      <w:tr>
        <w:tblPrEx>
          <w:tblCellMar>
            <w:top w:w="0" w:type="dxa"/>
            <w:left w:w="108" w:type="dxa"/>
            <w:bottom w:w="0" w:type="dxa"/>
            <w:right w:w="108" w:type="dxa"/>
          </w:tblCellMar>
        </w:tblPrEx>
        <w:trPr>
          <w:trHeight w:val="600"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tblPrEx>
          <w:tblCellMar>
            <w:top w:w="0" w:type="dxa"/>
            <w:left w:w="108" w:type="dxa"/>
            <w:bottom w:w="0" w:type="dxa"/>
            <w:right w:w="108" w:type="dxa"/>
          </w:tblCellMar>
        </w:tblPrEx>
        <w:trPr>
          <w:trHeight w:val="499" w:hRule="atLeast"/>
        </w:trPr>
        <w:tc>
          <w:tcPr>
            <w:tcW w:w="1280"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指标名称</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计量单位</w:t>
            </w:r>
          </w:p>
        </w:tc>
        <w:tc>
          <w:tcPr>
            <w:tcW w:w="79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指标性质</w:t>
            </w:r>
          </w:p>
        </w:tc>
        <w:tc>
          <w:tcPr>
            <w:tcW w:w="84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指标值</w:t>
            </w:r>
          </w:p>
        </w:tc>
        <w:tc>
          <w:tcPr>
            <w:tcW w:w="66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全年完成值</w:t>
            </w:r>
          </w:p>
        </w:tc>
        <w:tc>
          <w:tcPr>
            <w:tcW w:w="737"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偏离度（%）</w:t>
            </w:r>
          </w:p>
        </w:tc>
        <w:tc>
          <w:tcPr>
            <w:tcW w:w="82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得分系数（%）</w:t>
            </w:r>
          </w:p>
        </w:tc>
        <w:tc>
          <w:tcPr>
            <w:tcW w:w="57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指标权重</w:t>
            </w:r>
          </w:p>
        </w:tc>
        <w:tc>
          <w:tcPr>
            <w:tcW w:w="57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指标得分</w:t>
            </w:r>
          </w:p>
        </w:tc>
        <w:tc>
          <w:tcPr>
            <w:tcW w:w="751"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是否核心指标</w:t>
            </w:r>
          </w:p>
        </w:tc>
        <w:tc>
          <w:tcPr>
            <w:tcW w:w="73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说明</w:t>
            </w:r>
          </w:p>
        </w:tc>
      </w:tr>
      <w:tr>
        <w:tblPrEx>
          <w:tblCellMar>
            <w:top w:w="0" w:type="dxa"/>
            <w:left w:w="108" w:type="dxa"/>
            <w:bottom w:w="0" w:type="dxa"/>
            <w:right w:w="108" w:type="dxa"/>
          </w:tblCellMar>
        </w:tblPrEx>
        <w:trPr>
          <w:trHeight w:val="499" w:hRule="atLeast"/>
        </w:trPr>
        <w:tc>
          <w:tcPr>
            <w:tcW w:w="1280"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充电桩个数</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个</w:t>
            </w:r>
          </w:p>
        </w:tc>
        <w:tc>
          <w:tcPr>
            <w:tcW w:w="79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84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66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737"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2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57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576"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751"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3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80"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充电桩安装质量验收合格率</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9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84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6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3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2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75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3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80"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安装及时完成率</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9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84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6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3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2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75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3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80"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保障基础设施建设工作</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9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定性</w:t>
            </w:r>
          </w:p>
        </w:tc>
        <w:tc>
          <w:tcPr>
            <w:tcW w:w="84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好</w:t>
            </w:r>
          </w:p>
        </w:tc>
        <w:tc>
          <w:tcPr>
            <w:tcW w:w="66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73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2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75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w:t>
            </w:r>
          </w:p>
        </w:tc>
        <w:tc>
          <w:tcPr>
            <w:tcW w:w="73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80"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服务对象满意度</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9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84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66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73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2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75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3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280"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涉及总金额</w:t>
            </w:r>
          </w:p>
        </w:tc>
        <w:tc>
          <w:tcPr>
            <w:tcW w:w="6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元</w:t>
            </w:r>
          </w:p>
        </w:tc>
        <w:tc>
          <w:tcPr>
            <w:tcW w:w="79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84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119452</w:t>
            </w:r>
          </w:p>
        </w:tc>
        <w:tc>
          <w:tcPr>
            <w:tcW w:w="66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119452</w:t>
            </w:r>
          </w:p>
        </w:tc>
        <w:tc>
          <w:tcPr>
            <w:tcW w:w="737"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2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576"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751"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3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bl>
    <w:p>
      <w:pPr>
        <w:pStyle w:val="12"/>
        <w:autoSpaceDE w:val="0"/>
        <w:spacing w:line="600" w:lineRule="exact"/>
        <w:rPr>
          <w:rFonts w:ascii="方正仿宋_GBK" w:hAnsi="方正仿宋_GBK" w:eastAsia="方正仿宋_GBK" w:cs="方正仿宋_GBK"/>
          <w:sz w:val="32"/>
          <w:szCs w:val="32"/>
          <w:shd w:val="clear" w:color="auto" w:fill="FFFFFF"/>
        </w:rPr>
      </w:pPr>
    </w:p>
    <w:tbl>
      <w:tblPr>
        <w:tblStyle w:val="7"/>
        <w:tblW w:w="8466" w:type="dxa"/>
        <w:tblInd w:w="0" w:type="dxa"/>
        <w:tblLayout w:type="fixed"/>
        <w:tblCellMar>
          <w:top w:w="0" w:type="dxa"/>
          <w:left w:w="108" w:type="dxa"/>
          <w:bottom w:w="0" w:type="dxa"/>
          <w:right w:w="108" w:type="dxa"/>
        </w:tblCellMar>
      </w:tblPr>
      <w:tblGrid>
        <w:gridCol w:w="1185"/>
        <w:gridCol w:w="635"/>
        <w:gridCol w:w="740"/>
        <w:gridCol w:w="785"/>
        <w:gridCol w:w="709"/>
        <w:gridCol w:w="788"/>
        <w:gridCol w:w="884"/>
        <w:gridCol w:w="614"/>
        <w:gridCol w:w="613"/>
        <w:gridCol w:w="804"/>
        <w:gridCol w:w="709"/>
      </w:tblGrid>
      <w:tr>
        <w:tblPrEx>
          <w:tblCellMar>
            <w:top w:w="0" w:type="dxa"/>
            <w:left w:w="108" w:type="dxa"/>
            <w:bottom w:w="0" w:type="dxa"/>
            <w:right w:w="108" w:type="dxa"/>
          </w:tblCellMar>
        </w:tblPrEx>
        <w:trPr>
          <w:trHeight w:val="799"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tblPrEx>
          <w:tblCellMar>
            <w:top w:w="0" w:type="dxa"/>
            <w:left w:w="108" w:type="dxa"/>
            <w:bottom w:w="0" w:type="dxa"/>
            <w:right w:w="108" w:type="dxa"/>
          </w:tblCellMar>
        </w:tblPrEx>
        <w:trPr>
          <w:trHeight w:val="499"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1" w:firstLineChars="100"/>
              <w:jc w:val="right"/>
              <w:rPr>
                <w:rFonts w:hint="default" w:cs="宋体"/>
                <w:b/>
                <w:bCs/>
                <w:color w:val="FF0000"/>
                <w:sz w:val="20"/>
                <w:szCs w:val="20"/>
              </w:rPr>
            </w:pPr>
            <w:r>
              <w:rPr>
                <w:rFonts w:cs="宋体"/>
                <w:b/>
                <w:bCs/>
                <w:color w:val="FF0000"/>
                <w:sz w:val="20"/>
                <w:szCs w:val="20"/>
              </w:rPr>
              <w:t>状态：绩效审核已审</w:t>
            </w:r>
          </w:p>
        </w:tc>
      </w:tr>
      <w:tr>
        <w:tblPrEx>
          <w:tblCellMar>
            <w:top w:w="0" w:type="dxa"/>
            <w:left w:w="108" w:type="dxa"/>
            <w:bottom w:w="0" w:type="dxa"/>
            <w:right w:w="108" w:type="dxa"/>
          </w:tblCellMar>
        </w:tblPrEx>
        <w:trPr>
          <w:trHeight w:val="499" w:hRule="atLeast"/>
        </w:trPr>
        <w:tc>
          <w:tcPr>
            <w:tcW w:w="1185"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项目名称：</w:t>
            </w:r>
          </w:p>
        </w:tc>
        <w:tc>
          <w:tcPr>
            <w:tcW w:w="1375"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农村公路养护工程</w:t>
            </w:r>
          </w:p>
        </w:tc>
        <w:tc>
          <w:tcPr>
            <w:tcW w:w="785" w:type="dxa"/>
            <w:tcBorders>
              <w:top w:val="nil"/>
              <w:left w:val="nil"/>
              <w:bottom w:val="single" w:color="auto" w:sz="4" w:space="0"/>
              <w:right w:val="single" w:color="auto" w:sz="4" w:space="0"/>
            </w:tcBorders>
            <w:vAlign w:val="center"/>
          </w:tcPr>
          <w:p>
            <w:pPr>
              <w:spacing w:before="100" w:beforeAutospacing="1" w:after="100" w:afterAutospacing="1"/>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项目编码：</w:t>
            </w:r>
          </w:p>
        </w:tc>
        <w:tc>
          <w:tcPr>
            <w:tcW w:w="1497"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50023122T000002046685</w:t>
            </w:r>
          </w:p>
        </w:tc>
        <w:tc>
          <w:tcPr>
            <w:tcW w:w="884" w:type="dxa"/>
            <w:tcBorders>
              <w:top w:val="nil"/>
              <w:left w:val="nil"/>
              <w:bottom w:val="single" w:color="auto" w:sz="4" w:space="0"/>
              <w:right w:val="single" w:color="auto" w:sz="4" w:space="0"/>
            </w:tcBorders>
            <w:vAlign w:val="center"/>
          </w:tcPr>
          <w:p>
            <w:pPr>
              <w:spacing w:before="100" w:beforeAutospacing="1" w:after="100" w:afterAutospacing="1"/>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自评总分：</w:t>
            </w:r>
          </w:p>
        </w:tc>
        <w:tc>
          <w:tcPr>
            <w:tcW w:w="1227"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100.00</w:t>
            </w:r>
          </w:p>
        </w:tc>
        <w:tc>
          <w:tcPr>
            <w:tcW w:w="804" w:type="dxa"/>
            <w:tcBorders>
              <w:top w:val="nil"/>
              <w:left w:val="nil"/>
              <w:bottom w:val="single" w:color="auto" w:sz="4" w:space="0"/>
              <w:right w:val="single" w:color="auto" w:sz="4" w:space="0"/>
            </w:tcBorders>
            <w:vAlign w:val="center"/>
          </w:tcPr>
          <w:p>
            <w:pPr>
              <w:spacing w:before="100" w:beforeAutospacing="1" w:after="100" w:afterAutospacing="1"/>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09" w:type="dxa"/>
            <w:tcBorders>
              <w:top w:val="nil"/>
              <w:left w:val="nil"/>
              <w:bottom w:val="single" w:color="auto" w:sz="4" w:space="0"/>
              <w:right w:val="single" w:color="auto" w:sz="4" w:space="0"/>
            </w:tcBorders>
            <w:vAlign w:val="center"/>
          </w:tcPr>
          <w:p>
            <w:pPr>
              <w:spacing w:before="100" w:beforeAutospacing="1" w:after="100" w:afterAutospacing="1"/>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85" w:type="dxa"/>
            <w:tcBorders>
              <w:top w:val="nil"/>
              <w:left w:val="single" w:color="auto" w:sz="4" w:space="0"/>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项目主管部门：</w:t>
            </w:r>
          </w:p>
        </w:tc>
        <w:tc>
          <w:tcPr>
            <w:tcW w:w="1375"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703-垫江县新民镇人民政府</w:t>
            </w:r>
          </w:p>
        </w:tc>
        <w:tc>
          <w:tcPr>
            <w:tcW w:w="78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财政归口处室：</w:t>
            </w:r>
          </w:p>
        </w:tc>
        <w:tc>
          <w:tcPr>
            <w:tcW w:w="1497"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014-会计管理核算中心</w:t>
            </w:r>
          </w:p>
        </w:tc>
        <w:tc>
          <w:tcPr>
            <w:tcW w:w="8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部门联系人：</w:t>
            </w:r>
          </w:p>
        </w:tc>
        <w:tc>
          <w:tcPr>
            <w:tcW w:w="1227" w:type="dxa"/>
            <w:gridSpan w:val="2"/>
            <w:tcBorders>
              <w:top w:val="single" w:color="auto" w:sz="4" w:space="0"/>
              <w:left w:val="nil"/>
              <w:bottom w:val="single" w:color="auto" w:sz="4" w:space="0"/>
              <w:right w:val="single" w:color="auto" w:sz="4" w:space="0"/>
            </w:tcBorders>
            <w:vAlign w:val="center"/>
          </w:tcPr>
          <w:p>
            <w:pPr>
              <w:widowControl w:val="0"/>
              <w:spacing w:before="100" w:beforeAutospacing="1" w:after="100" w:afterAutospacing="1"/>
              <w:ind w:firstLine="200" w:firstLineChars="100"/>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陈老师</w:t>
            </w:r>
          </w:p>
        </w:tc>
        <w:tc>
          <w:tcPr>
            <w:tcW w:w="80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联系电话：</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023-74578690</w:t>
            </w:r>
          </w:p>
        </w:tc>
      </w:tr>
      <w:tr>
        <w:tblPrEx>
          <w:tblCellMar>
            <w:top w:w="0" w:type="dxa"/>
            <w:left w:w="108" w:type="dxa"/>
            <w:bottom w:w="0" w:type="dxa"/>
            <w:right w:w="108" w:type="dxa"/>
          </w:tblCellMar>
        </w:tblPrEx>
        <w:trPr>
          <w:trHeight w:val="600"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CellMar>
            <w:top w:w="0" w:type="dxa"/>
            <w:left w:w="108" w:type="dxa"/>
            <w:bottom w:w="0" w:type="dxa"/>
            <w:right w:w="108" w:type="dxa"/>
          </w:tblCellMar>
        </w:tblPrEx>
        <w:trPr>
          <w:trHeight w:val="499" w:hRule="atLeast"/>
        </w:trPr>
        <w:tc>
          <w:tcPr>
            <w:tcW w:w="1820"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525"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年初预算数</w:t>
            </w:r>
          </w:p>
        </w:tc>
        <w:tc>
          <w:tcPr>
            <w:tcW w:w="1497"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全年（调整）预算数</w:t>
            </w:r>
          </w:p>
        </w:tc>
        <w:tc>
          <w:tcPr>
            <w:tcW w:w="1498"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全年执行数</w:t>
            </w:r>
          </w:p>
        </w:tc>
        <w:tc>
          <w:tcPr>
            <w:tcW w:w="61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w:t>
            </w:r>
          </w:p>
        </w:tc>
        <w:tc>
          <w:tcPr>
            <w:tcW w:w="80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执行率权重</w:t>
            </w:r>
          </w:p>
        </w:tc>
        <w:tc>
          <w:tcPr>
            <w:tcW w:w="709"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执行率得分</w:t>
            </w:r>
          </w:p>
        </w:tc>
      </w:tr>
      <w:tr>
        <w:tblPrEx>
          <w:tblCellMar>
            <w:top w:w="0" w:type="dxa"/>
            <w:left w:w="108" w:type="dxa"/>
            <w:bottom w:w="0" w:type="dxa"/>
            <w:right w:w="108" w:type="dxa"/>
          </w:tblCellMar>
        </w:tblPrEx>
        <w:trPr>
          <w:trHeight w:val="499" w:hRule="atLeast"/>
        </w:trPr>
        <w:tc>
          <w:tcPr>
            <w:tcW w:w="1185" w:type="dxa"/>
            <w:tcBorders>
              <w:top w:val="nil"/>
              <w:left w:val="single" w:color="auto" w:sz="4" w:space="0"/>
              <w:bottom w:val="single" w:color="auto" w:sz="4" w:space="0"/>
              <w:right w:val="nil"/>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年度总金额</w:t>
            </w:r>
          </w:p>
        </w:tc>
        <w:tc>
          <w:tcPr>
            <w:tcW w:w="6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525"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97"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223,458.00 </w:t>
            </w:r>
          </w:p>
        </w:tc>
        <w:tc>
          <w:tcPr>
            <w:tcW w:w="1498"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223,458.00 </w:t>
            </w:r>
          </w:p>
        </w:tc>
        <w:tc>
          <w:tcPr>
            <w:tcW w:w="61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80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09"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right"/>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85" w:type="dxa"/>
            <w:tcBorders>
              <w:top w:val="nil"/>
              <w:left w:val="single" w:color="auto" w:sz="4" w:space="0"/>
              <w:bottom w:val="single" w:color="auto" w:sz="4" w:space="0"/>
              <w:right w:val="nil"/>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其中：财政拨款</w:t>
            </w:r>
          </w:p>
        </w:tc>
        <w:tc>
          <w:tcPr>
            <w:tcW w:w="6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525"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97"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223,458.00 </w:t>
            </w:r>
          </w:p>
        </w:tc>
        <w:tc>
          <w:tcPr>
            <w:tcW w:w="1498"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223,458.00 </w:t>
            </w:r>
          </w:p>
        </w:tc>
        <w:tc>
          <w:tcPr>
            <w:tcW w:w="6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80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10.00</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10.00 </w:t>
            </w:r>
          </w:p>
        </w:tc>
      </w:tr>
      <w:tr>
        <w:tblPrEx>
          <w:tblCellMar>
            <w:top w:w="0" w:type="dxa"/>
            <w:left w:w="108" w:type="dxa"/>
            <w:bottom w:w="0" w:type="dxa"/>
            <w:right w:w="108" w:type="dxa"/>
          </w:tblCellMar>
        </w:tblPrEx>
        <w:trPr>
          <w:trHeight w:val="499" w:hRule="atLeast"/>
        </w:trPr>
        <w:tc>
          <w:tcPr>
            <w:tcW w:w="1185" w:type="dxa"/>
            <w:tcBorders>
              <w:top w:val="nil"/>
              <w:left w:val="single" w:color="auto" w:sz="4" w:space="0"/>
              <w:bottom w:val="single" w:color="auto" w:sz="4" w:space="0"/>
              <w:right w:val="nil"/>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一般公共预算</w:t>
            </w:r>
          </w:p>
        </w:tc>
        <w:tc>
          <w:tcPr>
            <w:tcW w:w="6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1525"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0.00 </w:t>
            </w:r>
          </w:p>
        </w:tc>
        <w:tc>
          <w:tcPr>
            <w:tcW w:w="1497"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223,458.00 </w:t>
            </w:r>
          </w:p>
        </w:tc>
        <w:tc>
          <w:tcPr>
            <w:tcW w:w="1498" w:type="dxa"/>
            <w:gridSpan w:val="2"/>
            <w:tcBorders>
              <w:top w:val="single" w:color="auto" w:sz="4" w:space="0"/>
              <w:left w:val="nil"/>
              <w:bottom w:val="single" w:color="auto" w:sz="4" w:space="0"/>
              <w:right w:val="single" w:color="000000"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xml:space="preserve">223,458.00 </w:t>
            </w:r>
          </w:p>
        </w:tc>
        <w:tc>
          <w:tcPr>
            <w:tcW w:w="6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80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600"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CellMar>
            <w:top w:w="0" w:type="dxa"/>
            <w:left w:w="108" w:type="dxa"/>
            <w:bottom w:w="0" w:type="dxa"/>
            <w:right w:w="108" w:type="dxa"/>
          </w:tblCellMar>
        </w:tblPrEx>
        <w:trPr>
          <w:trHeight w:val="499" w:hRule="atLeast"/>
        </w:trPr>
        <w:tc>
          <w:tcPr>
            <w:tcW w:w="3345"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年初绩效目标</w:t>
            </w:r>
          </w:p>
        </w:tc>
        <w:tc>
          <w:tcPr>
            <w:tcW w:w="2995" w:type="dxa"/>
            <w:gridSpan w:val="4"/>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全年（调整）绩效目标</w:t>
            </w:r>
          </w:p>
        </w:tc>
        <w:tc>
          <w:tcPr>
            <w:tcW w:w="2126"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全年目标实际完成情况</w:t>
            </w:r>
          </w:p>
        </w:tc>
      </w:tr>
      <w:tr>
        <w:tblPrEx>
          <w:tblCellMar>
            <w:top w:w="0" w:type="dxa"/>
            <w:left w:w="108" w:type="dxa"/>
            <w:bottom w:w="0" w:type="dxa"/>
            <w:right w:w="108" w:type="dxa"/>
          </w:tblCellMar>
        </w:tblPrEx>
        <w:trPr>
          <w:trHeight w:val="1602" w:hRule="atLeast"/>
        </w:trPr>
        <w:tc>
          <w:tcPr>
            <w:tcW w:w="3345" w:type="dxa"/>
            <w:gridSpan w:val="4"/>
            <w:tcBorders>
              <w:top w:val="single" w:color="auto" w:sz="4" w:space="0"/>
              <w:left w:val="single" w:color="auto" w:sz="4" w:space="0"/>
              <w:bottom w:val="single" w:color="auto" w:sz="4" w:space="0"/>
              <w:right w:val="single" w:color="auto" w:sz="4" w:space="0"/>
            </w:tcBorders>
          </w:tcPr>
          <w:p>
            <w:pPr>
              <w:spacing w:before="100" w:beforeAutospacing="1" w:after="100" w:afterAutospacing="1"/>
              <w:rPr>
                <w:rFonts w:hint="default" w:cs="宋体"/>
                <w:color w:val="000000"/>
                <w:sz w:val="20"/>
                <w:szCs w:val="20"/>
              </w:rPr>
            </w:pPr>
            <w:r>
              <w:rPr>
                <w:rFonts w:cs="宋体"/>
                <w:color w:val="000000"/>
                <w:sz w:val="20"/>
                <w:szCs w:val="20"/>
              </w:rPr>
              <w:t>农村公路养护工程</w:t>
            </w:r>
          </w:p>
        </w:tc>
        <w:tc>
          <w:tcPr>
            <w:tcW w:w="2995" w:type="dxa"/>
            <w:gridSpan w:val="4"/>
            <w:tcBorders>
              <w:top w:val="single" w:color="auto" w:sz="4" w:space="0"/>
              <w:left w:val="nil"/>
              <w:bottom w:val="single" w:color="auto" w:sz="4" w:space="0"/>
              <w:right w:val="single" w:color="auto" w:sz="4" w:space="0"/>
            </w:tcBorders>
          </w:tcPr>
          <w:p>
            <w:pPr>
              <w:spacing w:before="100" w:beforeAutospacing="1" w:after="100" w:afterAutospacing="1"/>
              <w:rPr>
                <w:rFonts w:hint="default" w:cs="宋体"/>
                <w:color w:val="000000"/>
                <w:sz w:val="20"/>
                <w:szCs w:val="20"/>
              </w:rPr>
            </w:pPr>
            <w:r>
              <w:rPr>
                <w:rFonts w:cs="宋体"/>
                <w:color w:val="000000"/>
                <w:sz w:val="20"/>
                <w:szCs w:val="20"/>
              </w:rPr>
              <w:t>农村公路养护工程</w:t>
            </w:r>
          </w:p>
        </w:tc>
        <w:tc>
          <w:tcPr>
            <w:tcW w:w="2126" w:type="dxa"/>
            <w:gridSpan w:val="3"/>
            <w:tcBorders>
              <w:top w:val="single" w:color="auto" w:sz="4" w:space="0"/>
              <w:left w:val="nil"/>
              <w:bottom w:val="single" w:color="auto" w:sz="4" w:space="0"/>
              <w:right w:val="single" w:color="auto" w:sz="4" w:space="0"/>
            </w:tcBorders>
          </w:tcPr>
          <w:p>
            <w:pPr>
              <w:spacing w:before="100" w:beforeAutospacing="1" w:after="100" w:afterAutospacing="1"/>
              <w:rPr>
                <w:rFonts w:hint="default" w:cs="宋体"/>
                <w:color w:val="000000"/>
                <w:sz w:val="20"/>
                <w:szCs w:val="20"/>
              </w:rPr>
            </w:pPr>
            <w:r>
              <w:rPr>
                <w:rFonts w:cs="宋体"/>
                <w:color w:val="000000"/>
                <w:sz w:val="20"/>
                <w:szCs w:val="20"/>
              </w:rPr>
              <w:t>农村</w:t>
            </w:r>
            <w:r>
              <w:rPr>
                <w:rFonts w:ascii="Times New Roman" w:hAnsi="Times New Roman" w:eastAsia="方正仿宋_GBK"/>
                <w:color w:val="000000"/>
                <w:kern w:val="2"/>
                <w:sz w:val="20"/>
                <w:szCs w:val="20"/>
              </w:rPr>
              <w:t>公路养护</w:t>
            </w:r>
            <w:r>
              <w:rPr>
                <w:rFonts w:cs="宋体"/>
                <w:color w:val="000000"/>
                <w:sz w:val="20"/>
                <w:szCs w:val="20"/>
              </w:rPr>
              <w:t>工程</w:t>
            </w:r>
          </w:p>
        </w:tc>
      </w:tr>
      <w:tr>
        <w:tblPrEx>
          <w:tblCellMar>
            <w:top w:w="0" w:type="dxa"/>
            <w:left w:w="108" w:type="dxa"/>
            <w:bottom w:w="0" w:type="dxa"/>
            <w:right w:w="108" w:type="dxa"/>
          </w:tblCellMar>
        </w:tblPrEx>
        <w:trPr>
          <w:trHeight w:val="600" w:hRule="atLeast"/>
        </w:trPr>
        <w:tc>
          <w:tcPr>
            <w:tcW w:w="8466" w:type="dxa"/>
            <w:gridSpan w:val="11"/>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微软雅黑" w:hAnsi="微软雅黑" w:eastAsia="微软雅黑" w:cs="宋体"/>
                <w:b/>
                <w:bCs/>
                <w:color w:val="808080"/>
                <w:sz w:val="20"/>
                <w:szCs w:val="20"/>
              </w:rPr>
            </w:pPr>
            <w:r>
              <w:rPr>
                <w:rFonts w:ascii="微软雅黑" w:hAnsi="微软雅黑" w:eastAsia="微软雅黑" w:cs="宋体"/>
                <w:b/>
                <w:bCs/>
                <w:color w:val="808080"/>
                <w:sz w:val="28"/>
                <w:szCs w:val="28"/>
              </w:rPr>
              <w:t>绩效指标</w:t>
            </w:r>
          </w:p>
        </w:tc>
      </w:tr>
      <w:tr>
        <w:tblPrEx>
          <w:tblCellMar>
            <w:top w:w="0" w:type="dxa"/>
            <w:left w:w="108" w:type="dxa"/>
            <w:bottom w:w="0" w:type="dxa"/>
            <w:right w:w="108" w:type="dxa"/>
          </w:tblCellMar>
        </w:tblPrEx>
        <w:trPr>
          <w:trHeight w:val="499" w:hRule="atLeast"/>
        </w:trPr>
        <w:tc>
          <w:tcPr>
            <w:tcW w:w="1185"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指标名称</w:t>
            </w:r>
          </w:p>
        </w:tc>
        <w:tc>
          <w:tcPr>
            <w:tcW w:w="63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计量单位</w:t>
            </w:r>
          </w:p>
        </w:tc>
        <w:tc>
          <w:tcPr>
            <w:tcW w:w="740"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指标性质</w:t>
            </w:r>
          </w:p>
        </w:tc>
        <w:tc>
          <w:tcPr>
            <w:tcW w:w="785"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指标值</w:t>
            </w:r>
          </w:p>
        </w:tc>
        <w:tc>
          <w:tcPr>
            <w:tcW w:w="709"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全年完成值</w:t>
            </w:r>
          </w:p>
        </w:tc>
        <w:tc>
          <w:tcPr>
            <w:tcW w:w="788"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偏离度（%）</w:t>
            </w:r>
          </w:p>
        </w:tc>
        <w:tc>
          <w:tcPr>
            <w:tcW w:w="88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得分系数（%）</w:t>
            </w:r>
          </w:p>
        </w:tc>
        <w:tc>
          <w:tcPr>
            <w:tcW w:w="61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指标权重</w:t>
            </w:r>
          </w:p>
        </w:tc>
        <w:tc>
          <w:tcPr>
            <w:tcW w:w="613"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指标得分</w:t>
            </w:r>
          </w:p>
        </w:tc>
        <w:tc>
          <w:tcPr>
            <w:tcW w:w="804"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是否核心指标</w:t>
            </w:r>
          </w:p>
        </w:tc>
        <w:tc>
          <w:tcPr>
            <w:tcW w:w="709" w:type="dxa"/>
            <w:tcBorders>
              <w:top w:val="nil"/>
              <w:left w:val="nil"/>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说明</w:t>
            </w:r>
          </w:p>
        </w:tc>
      </w:tr>
      <w:tr>
        <w:tblPrEx>
          <w:tblCellMar>
            <w:top w:w="0" w:type="dxa"/>
            <w:left w:w="108" w:type="dxa"/>
            <w:bottom w:w="0" w:type="dxa"/>
            <w:right w:w="108" w:type="dxa"/>
          </w:tblCellMar>
        </w:tblPrEx>
        <w:trPr>
          <w:trHeight w:val="499" w:hRule="atLeast"/>
        </w:trPr>
        <w:tc>
          <w:tcPr>
            <w:tcW w:w="1185"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涉及村居个数</w:t>
            </w:r>
          </w:p>
        </w:tc>
        <w:tc>
          <w:tcPr>
            <w:tcW w:w="63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个</w:t>
            </w:r>
          </w:p>
        </w:tc>
        <w:tc>
          <w:tcPr>
            <w:tcW w:w="74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8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12</w:t>
            </w:r>
          </w:p>
        </w:tc>
        <w:tc>
          <w:tcPr>
            <w:tcW w:w="78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1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6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80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85"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覆盖范围</w:t>
            </w:r>
          </w:p>
        </w:tc>
        <w:tc>
          <w:tcPr>
            <w:tcW w:w="63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4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8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8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1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6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15</w:t>
            </w:r>
          </w:p>
        </w:tc>
        <w:tc>
          <w:tcPr>
            <w:tcW w:w="80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85"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发放及时率</w:t>
            </w:r>
          </w:p>
        </w:tc>
        <w:tc>
          <w:tcPr>
            <w:tcW w:w="63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4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8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78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1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80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85"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保障农村公路养护工作</w:t>
            </w:r>
          </w:p>
        </w:tc>
        <w:tc>
          <w:tcPr>
            <w:tcW w:w="63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c>
          <w:tcPr>
            <w:tcW w:w="74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定性</w:t>
            </w:r>
          </w:p>
        </w:tc>
        <w:tc>
          <w:tcPr>
            <w:tcW w:w="78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好</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w:t>
            </w:r>
          </w:p>
        </w:tc>
        <w:tc>
          <w:tcPr>
            <w:tcW w:w="78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1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6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80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是</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85"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服务对象满意度</w:t>
            </w:r>
          </w:p>
        </w:tc>
        <w:tc>
          <w:tcPr>
            <w:tcW w:w="63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4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8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90</w:t>
            </w:r>
          </w:p>
        </w:tc>
        <w:tc>
          <w:tcPr>
            <w:tcW w:w="78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1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6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w:t>
            </w:r>
          </w:p>
        </w:tc>
        <w:tc>
          <w:tcPr>
            <w:tcW w:w="80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r>
        <w:tblPrEx>
          <w:tblCellMar>
            <w:top w:w="0" w:type="dxa"/>
            <w:left w:w="108" w:type="dxa"/>
            <w:bottom w:w="0" w:type="dxa"/>
            <w:right w:w="108" w:type="dxa"/>
          </w:tblCellMar>
        </w:tblPrEx>
        <w:trPr>
          <w:trHeight w:val="499" w:hRule="atLeast"/>
        </w:trPr>
        <w:tc>
          <w:tcPr>
            <w:tcW w:w="1185" w:type="dxa"/>
            <w:tcBorders>
              <w:top w:val="nil"/>
              <w:left w:val="single" w:color="auto" w:sz="4" w:space="0"/>
              <w:bottom w:val="single" w:color="auto" w:sz="4" w:space="0"/>
              <w:right w:val="single" w:color="auto" w:sz="4" w:space="0"/>
            </w:tcBorders>
            <w:vAlign w:val="center"/>
          </w:tcPr>
          <w:p>
            <w:pPr>
              <w:spacing w:before="100" w:beforeAutospacing="1" w:after="100" w:afterAutospacing="1"/>
              <w:ind w:firstLine="200" w:firstLineChars="100"/>
              <w:jc w:val="center"/>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涉及总金额</w:t>
            </w:r>
          </w:p>
        </w:tc>
        <w:tc>
          <w:tcPr>
            <w:tcW w:w="63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元</w:t>
            </w:r>
          </w:p>
        </w:tc>
        <w:tc>
          <w:tcPr>
            <w:tcW w:w="740"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w:t>
            </w:r>
          </w:p>
        </w:tc>
        <w:tc>
          <w:tcPr>
            <w:tcW w:w="785"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223458</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223458</w:t>
            </w:r>
          </w:p>
        </w:tc>
        <w:tc>
          <w:tcPr>
            <w:tcW w:w="788"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0</w:t>
            </w:r>
          </w:p>
        </w:tc>
        <w:tc>
          <w:tcPr>
            <w:tcW w:w="88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100</w:t>
            </w:r>
          </w:p>
        </w:tc>
        <w:tc>
          <w:tcPr>
            <w:tcW w:w="61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613"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20</w:t>
            </w:r>
          </w:p>
        </w:tc>
        <w:tc>
          <w:tcPr>
            <w:tcW w:w="804"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否</w:t>
            </w:r>
          </w:p>
        </w:tc>
        <w:tc>
          <w:tcPr>
            <w:tcW w:w="709" w:type="dxa"/>
            <w:tcBorders>
              <w:top w:val="nil"/>
              <w:left w:val="nil"/>
              <w:bottom w:val="single" w:color="auto" w:sz="4" w:space="0"/>
              <w:right w:val="single" w:color="auto" w:sz="4" w:space="0"/>
            </w:tcBorders>
            <w:vAlign w:val="center"/>
          </w:tcPr>
          <w:p>
            <w:pPr>
              <w:widowControl w:val="0"/>
              <w:spacing w:before="100" w:beforeAutospacing="1" w:after="100" w:afterAutospacing="1"/>
              <w:jc w:val="both"/>
              <w:rPr>
                <w:rFonts w:hint="default" w:ascii="Times New Roman" w:hAnsi="Times New Roman" w:eastAsia="方正仿宋_GBK"/>
                <w:color w:val="000000"/>
                <w:kern w:val="2"/>
                <w:sz w:val="20"/>
                <w:szCs w:val="20"/>
              </w:rPr>
            </w:pPr>
            <w:r>
              <w:rPr>
                <w:rFonts w:ascii="Times New Roman" w:hAnsi="Times New Roman" w:eastAsia="方正仿宋_GBK"/>
                <w:color w:val="000000"/>
                <w:kern w:val="2"/>
                <w:sz w:val="20"/>
                <w:szCs w:val="20"/>
              </w:rPr>
              <w:t>　</w:t>
            </w:r>
          </w:p>
        </w:tc>
      </w:tr>
    </w:tbl>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1"/>
        <w:autoSpaceDE w:val="0"/>
        <w:spacing w:before="100" w:beforeAutospacing="1" w:after="100" w:afterAutospacing="1"/>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pPr>
        <w:pStyle w:val="11"/>
        <w:autoSpaceDE w:val="0"/>
        <w:spacing w:before="100" w:beforeAutospacing="1" w:after="100" w:afterAutospacing="1"/>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6"/>
        <w:shd w:val="clear" w:color="auto" w:fill="FFFFFF"/>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县财政局委托第三方对我部门开展了部门整体绩效评价，涉及财政拨款项目资金</w:t>
      </w:r>
      <w:r>
        <w:rPr>
          <w:rFonts w:hint="default" w:ascii="方正仿宋_GBK" w:hAnsi="方正仿宋_GBK" w:eastAsia="方正仿宋_GBK" w:cs="方正仿宋_GBK"/>
          <w:sz w:val="32"/>
          <w:szCs w:val="32"/>
          <w:shd w:val="clear" w:color="auto" w:fill="FFFFFF"/>
        </w:rPr>
        <w:t>2,265.57万元，评价得分86.5分，评价等次为良。绩效评价发现了预算编制科学性不足，预算调整幅度较大；部门整体绩效目标不明确，指标设置不完善；“三公”经费管控不严，存在超支现象；政府采购管理缺失，无预算采购频发；修理费报销跨年处理；项目管理不规范，执行过程存在缺陷等主要问题，提出以下工作建议：1.提高预算编制科学性，优化预算调整机制；2.动态调整绩效目标，完善绩效指标体系；3.严格执行预算，强化监督与问责；4.加强政府采购预算管理，</w:t>
      </w:r>
      <w:r>
        <w:rPr>
          <w:rFonts w:ascii="方正仿宋_GBK" w:hAnsi="方正仿宋_GBK" w:eastAsia="方正仿宋_GBK" w:cs="方正仿宋_GBK"/>
          <w:sz w:val="32"/>
          <w:szCs w:val="32"/>
          <w:shd w:val="clear" w:color="auto" w:fill="FFFFFF"/>
        </w:rPr>
        <w:t>严格执行政府采购程序；</w:t>
      </w:r>
      <w:r>
        <w:rPr>
          <w:rFonts w:hint="default" w:ascii="方正仿宋_GBK" w:hAnsi="方正仿宋_GBK" w:eastAsia="方正仿宋_GBK" w:cs="方正仿宋_GBK"/>
          <w:sz w:val="32"/>
          <w:szCs w:val="32"/>
          <w:shd w:val="clear" w:color="auto" w:fill="FFFFFF"/>
        </w:rPr>
        <w:t>5.强化报销时效管理，提高财务核算严谨性；6.提升项目管理规范性，强化项目后期运营管理。</w:t>
      </w:r>
    </w:p>
    <w:p>
      <w:pPr>
        <w:pStyle w:val="6"/>
        <w:shd w:val="clear" w:color="auto" w:fill="FFFFFF"/>
        <w:ind w:firstLine="643" w:firstLineChars="200"/>
        <w:rPr>
          <w:rFonts w:hint="default" w:ascii="方正仿宋_GBK" w:hAnsi="方正仿宋_GBK" w:eastAsia="方正仿宋_GBK" w:cs="方正仿宋_GBK"/>
          <w:b/>
          <w:sz w:val="32"/>
          <w:szCs w:val="32"/>
          <w:shd w:val="clear" w:color="auto" w:fill="FFFFFF"/>
        </w:rPr>
      </w:pPr>
      <w:r>
        <w:rPr>
          <w:rStyle w:val="10"/>
          <w:rFonts w:ascii="黑体" w:hAnsi="黑体" w:eastAsia="黑体" w:cs="黑体"/>
          <w:sz w:val="32"/>
          <w:szCs w:val="32"/>
          <w:shd w:val="clear" w:color="auto" w:fill="FFFFFF"/>
        </w:rPr>
        <w:t>六、专业名词解释</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line="600" w:lineRule="exact"/>
        <w:ind w:firstLine="640" w:firstLineChars="200"/>
        <w:jc w:val="both"/>
        <w:rPr>
          <w:rFonts w:hint="default" w:ascii="Times New Roman" w:hAnsi="Times New Roman" w:eastAsia="方正仿宋_GBK"/>
          <w:kern w:val="2"/>
          <w:sz w:val="32"/>
          <w:szCs w:val="32"/>
        </w:rPr>
        <w:sectPr>
          <w:headerReference r:id="rId3" w:type="default"/>
          <w:footerReference r:id="rId4" w:type="default"/>
          <w:pgSz w:w="11850" w:h="16783"/>
          <w:pgMar w:top="1440" w:right="1800" w:bottom="1440" w:left="1800" w:header="0" w:footer="283" w:gutter="0"/>
          <w:pgNumType w:fmt="numberInDash"/>
          <w:cols w:space="720" w:num="1"/>
          <w:docGrid w:type="lines" w:linePitch="326" w:charSpace="0"/>
        </w:sectPr>
      </w:pPr>
      <w:r>
        <w:rPr>
          <w:rFonts w:ascii="方正仿宋_GBK" w:hAnsi="方正仿宋_GBK" w:eastAsia="方正仿宋_GBK" w:cs="方正仿宋_GBK"/>
          <w:sz w:val="32"/>
          <w:szCs w:val="32"/>
          <w:shd w:val="clear" w:color="auto" w:fill="FFFFFF"/>
        </w:rPr>
        <w:t>本部门决算公开信息反馈和联系方式：</w:t>
      </w:r>
      <w:r>
        <w:rPr>
          <w:rFonts w:ascii="Times New Roman" w:hAnsi="Times New Roman" w:eastAsia="方正仿宋_GBK"/>
          <w:kern w:val="2"/>
          <w:sz w:val="32"/>
          <w:szCs w:val="32"/>
        </w:rPr>
        <w:t>023-74577588。</w:t>
      </w:r>
      <w:bookmarkStart w:id="0" w:name="_GoBack"/>
    </w:p>
    <w:tbl>
      <w:tblPr>
        <w:tblStyle w:val="7"/>
        <w:tblpPr w:leftFromText="180" w:rightFromText="180" w:vertAnchor="text" w:horzAnchor="page" w:tblpX="1058" w:tblpY="22"/>
        <w:tblOverlap w:val="never"/>
        <w:tblW w:w="5000" w:type="pct"/>
        <w:tblInd w:w="0" w:type="dxa"/>
        <w:tblLayout w:type="autofit"/>
        <w:tblCellMar>
          <w:top w:w="0" w:type="dxa"/>
          <w:left w:w="0" w:type="dxa"/>
          <w:bottom w:w="0" w:type="dxa"/>
          <w:right w:w="0" w:type="dxa"/>
        </w:tblCellMar>
      </w:tblPr>
      <w:tblGrid>
        <w:gridCol w:w="4465"/>
        <w:gridCol w:w="3699"/>
        <w:gridCol w:w="4204"/>
        <w:gridCol w:w="2954"/>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1207" w:type="pct"/>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964" w:type="pct"/>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垫江县新民镇人民政府</w:t>
            </w:r>
          </w:p>
        </w:tc>
        <w:tc>
          <w:tcPr>
            <w:tcW w:w="1372" w:type="pct"/>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964" w:type="pct"/>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6" w:type="pct"/>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3,521.43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821.84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7" w:type="pct"/>
            <w:tcBorders>
              <w:top w:val="nil"/>
              <w:left w:val="nil"/>
              <w:bottom w:val="nil"/>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564.18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88.59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4,343.26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4,377.55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4"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7" w:type="pc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4" w:type="pct"/>
            <w:tcBorders>
              <w:top w:val="nil"/>
              <w:left w:val="nil"/>
              <w:bottom w:val="single" w:color="auto"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4,377.55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4,377.55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垫江县新民镇人民政府</w:t>
            </w:r>
          </w:p>
        </w:tc>
        <w:tc>
          <w:tcPr>
            <w:tcW w:w="140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4,343.26</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4,343.26</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690.57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690.57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641.34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641.34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564.18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564.18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112.45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112.45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373.29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373.29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110.69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110.69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1,019.44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1,019.44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125.52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125.52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125.52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245.19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245.19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111.81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111.81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619.62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619.62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273.75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273.75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345.86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345.86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397.05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397.05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397.05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397.05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1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垫江县新民镇人民政府 </w:t>
            </w: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4,377.55</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2,111.98</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2,265.57</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641.34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690.57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641.34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641.34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641.34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564.18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519.24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112.45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373.29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373.29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110.69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110.68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88.59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947.80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83.59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137.46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137.46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137.46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278.50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245.19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245.19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111.81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111.81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619.62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327.27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273.75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273.75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345.86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327.27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197.05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55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5000" w:type="pct"/>
        <w:tblInd w:w="0" w:type="dxa"/>
        <w:tblLayout w:type="autofit"/>
        <w:tblCellMar>
          <w:top w:w="0" w:type="dxa"/>
          <w:left w:w="0" w:type="dxa"/>
          <w:bottom w:w="0" w:type="dxa"/>
          <w:right w:w="0" w:type="dxa"/>
        </w:tblCellMar>
      </w:tblPr>
      <w:tblGrid>
        <w:gridCol w:w="3098"/>
        <w:gridCol w:w="1587"/>
        <w:gridCol w:w="3319"/>
        <w:gridCol w:w="1768"/>
        <w:gridCol w:w="1768"/>
        <w:gridCol w:w="1768"/>
        <w:gridCol w:w="2014"/>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垫江县新民镇人民政府</w:t>
            </w:r>
          </w:p>
        </w:tc>
        <w:tc>
          <w:tcPr>
            <w:tcW w:w="577" w:type="pct"/>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3,521.43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564.18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810.34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4,343.26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4,377.55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3,555.72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821.84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4,377.55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4,377.55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3,555.72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821.84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垫江县新民镇人民政府</w:t>
            </w:r>
          </w:p>
        </w:tc>
        <w:tc>
          <w:tcPr>
            <w:tcW w:w="3300"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3,555.72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2,111.98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1,443.74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641.34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690.57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641.34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641.34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641.34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564.18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519.24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112.45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373.29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373.29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179.23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179.23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83.38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83.38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110.69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110.68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44.61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44.61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88.59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221.05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83.59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83.59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83.59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83.59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83.59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137.46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137.46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137.46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600.06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467.95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278.50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245.19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245.19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245.19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111.81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111.81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2130550</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619.62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327.27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292.35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273.75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345.86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327.27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197.05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垫江县新民镇人民政府</w:t>
            </w:r>
          </w:p>
        </w:tc>
        <w:tc>
          <w:tcPr>
            <w:tcW w:w="165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1,546.69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127.34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304.62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357.90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179.23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437.95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428.90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1,984.64</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127.34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586"/>
        <w:gridCol w:w="3630"/>
        <w:gridCol w:w="1651"/>
        <w:gridCol w:w="1651"/>
        <w:gridCol w:w="1652"/>
        <w:gridCol w:w="1652"/>
        <w:gridCol w:w="1716"/>
        <w:gridCol w:w="1784"/>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867"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垫江县新民镇人民政府</w:t>
            </w:r>
          </w:p>
        </w:tc>
        <w:tc>
          <w:tcPr>
            <w:tcW w:w="165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5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5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8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867"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65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5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5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8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5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02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7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5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5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1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7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5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5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521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821.84</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821.84</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821.84</w:t>
            </w:r>
            <w:r>
              <w:rPr>
                <w:rFonts w:ascii="Times New Roman" w:hAnsi="Times New Roman"/>
                <w:b/>
                <w:color w:val="000000"/>
                <w:sz w:val="20"/>
              </w:rPr>
              <w:t xml:space="preserve"> </w:t>
            </w:r>
          </w:p>
        </w:tc>
        <w:tc>
          <w:tcPr>
            <w:tcW w:w="1784"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784"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810.34</w:t>
            </w:r>
            <w:r>
              <w:rPr>
                <w:rFonts w:ascii="Times New Roman" w:hAnsi="Times New Roman"/>
                <w:b/>
                <w:color w:val="000000"/>
                <w:sz w:val="20"/>
              </w:rPr>
              <w:t xml:space="preserve"> </w:t>
            </w:r>
          </w:p>
        </w:tc>
        <w:tc>
          <w:tcPr>
            <w:tcW w:w="1784"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630"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767.44</w:t>
            </w:r>
            <w:r>
              <w:rPr>
                <w:rFonts w:ascii="Times New Roman" w:hAnsi="Times New Roman"/>
                <w:color w:val="000000"/>
                <w:sz w:val="20"/>
              </w:rPr>
              <w:t xml:space="preserve"> </w:t>
            </w:r>
          </w:p>
        </w:tc>
        <w:tc>
          <w:tcPr>
            <w:tcW w:w="1784"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630"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rPr>
              <w:t xml:space="preserve"> </w:t>
            </w:r>
          </w:p>
        </w:tc>
        <w:tc>
          <w:tcPr>
            <w:tcW w:w="1784"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630"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rPr>
              <w:t xml:space="preserve"> </w:t>
            </w:r>
          </w:p>
        </w:tc>
        <w:tc>
          <w:tcPr>
            <w:tcW w:w="1784"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784"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w:t>
            </w:r>
            <w:r>
              <w:rPr>
                <w:rFonts w:ascii="Times New Roman" w:hAnsi="Times New Roman"/>
                <w:b/>
                <w:color w:val="000000"/>
                <w:sz w:val="20"/>
              </w:rPr>
              <w:t xml:space="preserve"> </w:t>
            </w:r>
          </w:p>
        </w:tc>
        <w:tc>
          <w:tcPr>
            <w:tcW w:w="1784"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630"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84"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630"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1"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w:t>
            </w:r>
            <w:r>
              <w:rPr>
                <w:rFonts w:ascii="Times New Roman" w:hAnsi="Times New Roman"/>
                <w:color w:val="000000"/>
                <w:sz w:val="20"/>
              </w:rPr>
              <w:t xml:space="preserve"> </w:t>
            </w:r>
          </w:p>
        </w:tc>
        <w:tc>
          <w:tcPr>
            <w:tcW w:w="1784" w:type="dxa"/>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垫江县新民镇人民政府</w:t>
            </w:r>
          </w:p>
        </w:tc>
        <w:tc>
          <w:tcPr>
            <w:tcW w:w="3739"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5322" w:type="dxa"/>
        <w:tblInd w:w="0" w:type="dxa"/>
        <w:tblLayout w:type="fixed"/>
        <w:tblCellMar>
          <w:top w:w="0" w:type="dxa"/>
          <w:left w:w="170" w:type="dxa"/>
          <w:bottom w:w="0" w:type="dxa"/>
          <w:right w:w="170" w:type="dxa"/>
        </w:tblCellMar>
      </w:tblPr>
      <w:tblGrid>
        <w:gridCol w:w="3444"/>
        <w:gridCol w:w="2620"/>
        <w:gridCol w:w="2574"/>
        <w:gridCol w:w="3981"/>
        <w:gridCol w:w="2703"/>
      </w:tblGrid>
      <w:tr>
        <w:tblPrEx>
          <w:tblCellMar>
            <w:top w:w="0" w:type="dxa"/>
            <w:left w:w="170" w:type="dxa"/>
            <w:bottom w:w="0" w:type="dxa"/>
            <w:right w:w="170" w:type="dxa"/>
          </w:tblCellMar>
        </w:tblPrEx>
        <w:trPr>
          <w:trHeight w:val="343" w:hRule="atLeast"/>
        </w:trPr>
        <w:tc>
          <w:tcPr>
            <w:tcW w:w="15322"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444" w:type="dxa"/>
            <w:tcMar>
              <w:top w:w="15" w:type="dxa"/>
              <w:left w:w="15" w:type="dxa"/>
              <w:right w:w="15" w:type="dxa"/>
            </w:tcMar>
            <w:vAlign w:val="bottom"/>
          </w:tcPr>
          <w:p>
            <w:pPr>
              <w:spacing w:line="280" w:lineRule="exact"/>
              <w:rPr>
                <w:rFonts w:hint="default" w:cs="宋体"/>
                <w:color w:val="000000"/>
                <w:kern w:val="2"/>
                <w:sz w:val="20"/>
                <w:szCs w:val="20"/>
              </w:rPr>
            </w:pPr>
          </w:p>
        </w:tc>
        <w:tc>
          <w:tcPr>
            <w:tcW w:w="2620"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574"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1" w:type="dxa"/>
            <w:tcMar>
              <w:top w:w="15" w:type="dxa"/>
              <w:left w:w="15" w:type="dxa"/>
              <w:right w:w="15" w:type="dxa"/>
            </w:tcMar>
            <w:vAlign w:val="bottom"/>
          </w:tcPr>
          <w:p>
            <w:pPr>
              <w:spacing w:line="280" w:lineRule="exact"/>
              <w:rPr>
                <w:rFonts w:hint="default" w:cs="宋体"/>
                <w:color w:val="000000"/>
                <w:kern w:val="2"/>
                <w:sz w:val="20"/>
                <w:szCs w:val="20"/>
              </w:rPr>
            </w:pPr>
          </w:p>
        </w:tc>
        <w:tc>
          <w:tcPr>
            <w:tcW w:w="2703"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6064"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垫江县新民镇人民政府</w:t>
            </w:r>
          </w:p>
        </w:tc>
        <w:tc>
          <w:tcPr>
            <w:tcW w:w="2574"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1"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703"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100.03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7.14</w:t>
            </w:r>
            <w:r>
              <w:rPr>
                <w:rFonts w:ascii="Times New Roman" w:hAnsi="Times New Roman"/>
                <w:color w:val="000000"/>
                <w:sz w:val="18"/>
              </w:rPr>
              <w:t xml:space="preserve"> </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7.14</w:t>
            </w: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100.03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6.17</w:t>
            </w:r>
            <w:r>
              <w:rPr>
                <w:rFonts w:ascii="Times New Roman" w:hAnsi="Times New Roman"/>
                <w:color w:val="000000"/>
                <w:sz w:val="18"/>
              </w:rPr>
              <w:t xml:space="preserve"> </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6.17</w:t>
            </w: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6.17</w:t>
            </w:r>
            <w:r>
              <w:rPr>
                <w:rFonts w:ascii="Times New Roman" w:hAnsi="Times New Roman"/>
                <w:color w:val="000000"/>
                <w:sz w:val="18"/>
              </w:rPr>
              <w:t xml:space="preserve"> </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6.17</w:t>
            </w: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0.97</w:t>
            </w:r>
            <w:r>
              <w:rPr>
                <w:rFonts w:ascii="Times New Roman" w:hAnsi="Times New Roman"/>
                <w:color w:val="000000"/>
                <w:sz w:val="18"/>
              </w:rPr>
              <w:t xml:space="preserve"> </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0.97</w:t>
            </w: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0.97</w:t>
            </w: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w:t>
            </w: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2.79</w:t>
            </w: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4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6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5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28.89</w:t>
            </w:r>
            <w:r>
              <w:rPr>
                <w:rFonts w:ascii="Times New Roman" w:hAnsi="Times New Roman"/>
                <w:color w:val="000000"/>
                <w:sz w:val="18"/>
              </w:rPr>
              <w:t xml:space="preserve"> </w:t>
            </w:r>
          </w:p>
        </w:tc>
        <w:tc>
          <w:tcPr>
            <w:tcW w:w="3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7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bookmarkEnd w:id="0"/>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文本框 127"/>
              <wp:cNvGraphicFramePr/>
              <a:graphic xmlns:a="http://schemas.openxmlformats.org/drawingml/2006/main">
                <a:graphicData uri="http://schemas.microsoft.com/office/word/2010/wordprocessingShape">
                  <wps:wsp>
                    <wps:cNvSpPr>
                      <a:spLocks noChangeArrowheads="1"/>
                    </wps:cNvSpPr>
                    <wps:spPr bwMode="auto">
                      <a:xfrm>
                        <a:off x="0" y="0"/>
                        <a:ext cx="400685" cy="147955"/>
                      </a:xfrm>
                      <a:prstGeom prst="rect">
                        <a:avLst/>
                      </a:prstGeom>
                      <a:noFill/>
                      <a:ln>
                        <a:noFill/>
                      </a:ln>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43 -</w:t>
                          </w:r>
                          <w:r>
                            <w:fldChar w:fldCharType="end"/>
                          </w:r>
                          <w:r>
                            <w:t xml:space="preserve"> </w:t>
                          </w:r>
                        </w:p>
                      </w:txbxContent>
                    </wps:txbx>
                    <wps:bodyPr rot="0" vert="horz" wrap="none" lIns="0" tIns="0" rIns="0" bIns="0" anchor="t" anchorCtr="0" upright="1">
                      <a:spAutoFit/>
                    </wps:bodyPr>
                  </wps:wsp>
                </a:graphicData>
              </a:graphic>
            </wp:anchor>
          </w:drawing>
        </mc:Choice>
        <mc:Fallback>
          <w:pict>
            <v:rect id="文本框 127" o:spid="_x0000_s1026" o:spt="1"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hkEedIA&#10;AAADAQAADwAAAAAAAAABACAAAAAiAAAAZHJzL2Rvd25yZXYueG1sUEsBAhQAFAAAAAgAh07iQGfz&#10;NpLsAQAArAMAAA4AAAAAAAAAAQAgAAAAIQEAAGRycy9lMm9Eb2MueG1sUEsFBgAAAAAGAAYAWQEA&#10;AH8FAAAAAA==&#10;">
              <v:fill on="f" focussize="0,0"/>
              <v:stroke on="f"/>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43 -</w:t>
                    </w:r>
                    <w:r>
                      <w:fldChar w:fldCharType="end"/>
                    </w:r>
                    <w:r>
                      <w:t xml:space="preserve"> </w:t>
                    </w:r>
                  </w:p>
                </w:txbxContent>
              </v:textbox>
            </v:rect>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文本框 126"/>
              <wp:cNvGraphicFramePr/>
              <a:graphic xmlns:a="http://schemas.openxmlformats.org/drawingml/2006/main">
                <a:graphicData uri="http://schemas.microsoft.com/office/word/2010/wordprocessingShape">
                  <wps:wsp>
                    <wps:cNvSpPr>
                      <a:spLocks noChangeArrowheads="1"/>
                    </wps:cNvSpPr>
                    <wps:spPr bwMode="auto">
                      <a:xfrm>
                        <a:off x="0" y="0"/>
                        <a:ext cx="572135" cy="220980"/>
                      </a:xfrm>
                      <a:prstGeom prst="rect">
                        <a:avLst/>
                      </a:prstGeom>
                      <a:noFill/>
                      <a:ln>
                        <a:noFill/>
                      </a:ln>
                    </wps:spPr>
                    <wps:txbx>
                      <w:txbxContent>
                        <w:p>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rect id="文本框 126" o:spid="_x0000_s1026" o:spt="1"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qt&#10;DlDXAAAACQEAAA8AAAAAAAAAAQAgAAAAIgAAAGRycy9kb3ducmV2LnhtbFBLAQIUABQAAAAIAIdO&#10;4kBQJKk66wEAAKwDAAAOAAAAAAAAAAEAIAAAACYBAABkcnMvZTJvRG9jLnhtbFBLBQYAAAAABgAG&#10;AFkBAACDBQAAAAA=&#10;">
              <v:fill on="f" focussize="0,0"/>
              <v:stroke on="f"/>
              <v:imagedata o:title=""/>
              <o:lock v:ext="edit" aspectratio="f"/>
              <v:textbox inset="0mm,0mm,0mm,0mm">
                <w:txbxContent>
                  <w:p>
                    <w:pPr>
                      <w:pStyle w:val="3"/>
                      <w:jc w:val="both"/>
                      <w:rPr>
                        <w:rFonts w:hint="default" w:cs="宋体"/>
                      </w:rPr>
                    </w:pPr>
                    <w:r>
                      <w:rPr>
                        <w:rFonts w:cs="宋体"/>
                      </w:rPr>
                      <w:t>— 27.1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22380"/>
    <w:rsid w:val="00026BF2"/>
    <w:rsid w:val="00026F6B"/>
    <w:rsid w:val="00030FF3"/>
    <w:rsid w:val="00052EA8"/>
    <w:rsid w:val="000659B7"/>
    <w:rsid w:val="00082FAD"/>
    <w:rsid w:val="000C01CC"/>
    <w:rsid w:val="000D7702"/>
    <w:rsid w:val="001126B6"/>
    <w:rsid w:val="00125501"/>
    <w:rsid w:val="001753E1"/>
    <w:rsid w:val="001C38E5"/>
    <w:rsid w:val="001F55D8"/>
    <w:rsid w:val="00211F3F"/>
    <w:rsid w:val="00261065"/>
    <w:rsid w:val="002652BC"/>
    <w:rsid w:val="00274486"/>
    <w:rsid w:val="002906A1"/>
    <w:rsid w:val="002A0D04"/>
    <w:rsid w:val="002C38E5"/>
    <w:rsid w:val="002D0E5A"/>
    <w:rsid w:val="002D13D1"/>
    <w:rsid w:val="002E5443"/>
    <w:rsid w:val="002E7059"/>
    <w:rsid w:val="002F4F0A"/>
    <w:rsid w:val="002F7932"/>
    <w:rsid w:val="0032196C"/>
    <w:rsid w:val="003364EF"/>
    <w:rsid w:val="003646A7"/>
    <w:rsid w:val="003A4F55"/>
    <w:rsid w:val="003A71D7"/>
    <w:rsid w:val="003B0202"/>
    <w:rsid w:val="003E28D5"/>
    <w:rsid w:val="003E5D08"/>
    <w:rsid w:val="00402463"/>
    <w:rsid w:val="00436B74"/>
    <w:rsid w:val="004658E8"/>
    <w:rsid w:val="00491DDA"/>
    <w:rsid w:val="004C12FF"/>
    <w:rsid w:val="004C205E"/>
    <w:rsid w:val="005119AB"/>
    <w:rsid w:val="00550ABE"/>
    <w:rsid w:val="005617C1"/>
    <w:rsid w:val="005B023C"/>
    <w:rsid w:val="005B5B96"/>
    <w:rsid w:val="005D7348"/>
    <w:rsid w:val="005E27DC"/>
    <w:rsid w:val="005E3F0F"/>
    <w:rsid w:val="00600322"/>
    <w:rsid w:val="006137D7"/>
    <w:rsid w:val="006209E3"/>
    <w:rsid w:val="00634FA8"/>
    <w:rsid w:val="0063613A"/>
    <w:rsid w:val="0066082F"/>
    <w:rsid w:val="006748C5"/>
    <w:rsid w:val="006A1351"/>
    <w:rsid w:val="006E2034"/>
    <w:rsid w:val="006E37A8"/>
    <w:rsid w:val="006F12D9"/>
    <w:rsid w:val="0070492A"/>
    <w:rsid w:val="00706C0E"/>
    <w:rsid w:val="00710FEE"/>
    <w:rsid w:val="00732392"/>
    <w:rsid w:val="007663F3"/>
    <w:rsid w:val="00792285"/>
    <w:rsid w:val="007A0D2E"/>
    <w:rsid w:val="007A131F"/>
    <w:rsid w:val="007A3314"/>
    <w:rsid w:val="007B419D"/>
    <w:rsid w:val="00810F13"/>
    <w:rsid w:val="00827C14"/>
    <w:rsid w:val="0089320A"/>
    <w:rsid w:val="008C4892"/>
    <w:rsid w:val="008E645E"/>
    <w:rsid w:val="008F6E83"/>
    <w:rsid w:val="00944711"/>
    <w:rsid w:val="009821E3"/>
    <w:rsid w:val="00984852"/>
    <w:rsid w:val="009B1E83"/>
    <w:rsid w:val="009B2B15"/>
    <w:rsid w:val="009B453C"/>
    <w:rsid w:val="009B67B8"/>
    <w:rsid w:val="00A03B1E"/>
    <w:rsid w:val="00A23C6C"/>
    <w:rsid w:val="00A5081A"/>
    <w:rsid w:val="00A67739"/>
    <w:rsid w:val="00A77809"/>
    <w:rsid w:val="00A820B7"/>
    <w:rsid w:val="00A9546D"/>
    <w:rsid w:val="00AA06DF"/>
    <w:rsid w:val="00AB113A"/>
    <w:rsid w:val="00AC5566"/>
    <w:rsid w:val="00AD64DA"/>
    <w:rsid w:val="00AE4564"/>
    <w:rsid w:val="00AF3D5F"/>
    <w:rsid w:val="00B03CCD"/>
    <w:rsid w:val="00B20643"/>
    <w:rsid w:val="00B40138"/>
    <w:rsid w:val="00BA6821"/>
    <w:rsid w:val="00BB0A2B"/>
    <w:rsid w:val="00BF5A85"/>
    <w:rsid w:val="00C307F6"/>
    <w:rsid w:val="00C96B11"/>
    <w:rsid w:val="00CC6B99"/>
    <w:rsid w:val="00CF46AE"/>
    <w:rsid w:val="00D31494"/>
    <w:rsid w:val="00D60830"/>
    <w:rsid w:val="00DE2A6B"/>
    <w:rsid w:val="00DF7706"/>
    <w:rsid w:val="00E05175"/>
    <w:rsid w:val="00E32A77"/>
    <w:rsid w:val="00E376A7"/>
    <w:rsid w:val="00E56ED1"/>
    <w:rsid w:val="00E654E2"/>
    <w:rsid w:val="00E76362"/>
    <w:rsid w:val="00E82A0C"/>
    <w:rsid w:val="00E96672"/>
    <w:rsid w:val="00E976F3"/>
    <w:rsid w:val="00EF05EE"/>
    <w:rsid w:val="00F137D3"/>
    <w:rsid w:val="00F13C36"/>
    <w:rsid w:val="00F23C68"/>
    <w:rsid w:val="00F32C53"/>
    <w:rsid w:val="00F4427C"/>
    <w:rsid w:val="00F52DBA"/>
    <w:rsid w:val="00F5344E"/>
    <w:rsid w:val="00F73F90"/>
    <w:rsid w:val="00F7623D"/>
    <w:rsid w:val="00F84F02"/>
    <w:rsid w:val="00F8598B"/>
    <w:rsid w:val="00F902FA"/>
    <w:rsid w:val="00FA0819"/>
    <w:rsid w:val="00FB2B15"/>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AF809CE"/>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193C62"/>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D10A7"/>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3A204D"/>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E07773"/>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333F23"/>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17AC4"/>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A6888-BB6A-4B93-B504-37A6A1B1CC3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5588</Words>
  <Characters>31852</Characters>
  <Lines>265</Lines>
  <Paragraphs>74</Paragraphs>
  <TotalTime>32</TotalTime>
  <ScaleCrop>false</ScaleCrop>
  <LinksUpToDate>false</LinksUpToDate>
  <CharactersWithSpaces>37366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2025-09-17T10:08:00Z</dcterms:created>
  <dc:creator>Administrator</dc:creator>
  <cp:lastModifiedBy>Administrator</cp:lastModifiedBy>
  <cp:lastPrinted>2025-09-17T10:09:00Z</cp:lastPrinted>
  <dcterms:modified xsi:type="dcterms:W3CDTF">2025-09-18T03:56:59Z</dcterms:modified>
  <dc:title>垫江县新民镇人民政府</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