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垫江县新民镇人民政府（本级）</w:t>
      </w:r>
    </w:p>
    <w:p>
      <w:pPr>
        <w:pStyle w:val="6"/>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pacing w:line="597" w:lineRule="exact"/>
        <w:ind w:firstLine="640" w:firstLineChars="200"/>
        <w:rPr>
          <w:rFonts w:hint="default" w:ascii="Times New Roman" w:hAnsi="Times New Roman" w:eastAsia="方正仿宋_GBK" w:cs="宋体"/>
          <w:sz w:val="32"/>
          <w:szCs w:val="32"/>
        </w:rPr>
      </w:pPr>
      <w:r>
        <w:rPr>
          <w:rStyle w:val="10"/>
          <w:rFonts w:ascii="方正仿宋_GBK" w:hAnsi="方正仿宋_GBK" w:eastAsia="方正仿宋_GBK" w:cs="方正仿宋_GBK"/>
          <w:bCs/>
          <w:sz w:val="32"/>
          <w:szCs w:val="32"/>
          <w:shd w:val="clear" w:color="auto" w:fill="FFFFFF"/>
        </w:rPr>
        <w:t>1.</w:t>
      </w:r>
      <w:r>
        <w:rPr>
          <w:rFonts w:ascii="Times New Roman" w:hAnsi="Times New Roman" w:eastAsia="方正仿宋_GBK" w:cs="宋体"/>
          <w:sz w:val="32"/>
          <w:szCs w:val="32"/>
        </w:rPr>
        <w:t>加强基层党的建设。加强党的基层组织建设、夯实党在基层的执政根基，推动全面从严治党向基层延伸。</w:t>
      </w:r>
    </w:p>
    <w:p>
      <w:pPr>
        <w:pStyle w:val="6"/>
        <w:spacing w:line="597" w:lineRule="exact"/>
        <w:ind w:firstLine="640" w:firstLineChars="200"/>
        <w:rPr>
          <w:rFonts w:hint="default" w:ascii="Times New Roman" w:hAnsi="Times New Roman" w:eastAsia="方正仿宋_GBK" w:cs="宋体"/>
          <w:sz w:val="32"/>
          <w:szCs w:val="32"/>
        </w:rPr>
      </w:pPr>
      <w:r>
        <w:rPr>
          <w:rStyle w:val="10"/>
          <w:rFonts w:ascii="方正仿宋_GBK" w:hAnsi="方正仿宋_GBK" w:eastAsia="方正仿宋_GBK" w:cs="方正仿宋_GBK"/>
          <w:bCs/>
          <w:sz w:val="32"/>
          <w:szCs w:val="32"/>
          <w:shd w:val="clear" w:color="auto" w:fill="FFFFFF"/>
        </w:rPr>
        <w:t>2.</w:t>
      </w:r>
      <w:r>
        <w:rPr>
          <w:rFonts w:ascii="Times New Roman" w:hAnsi="Times New Roman" w:eastAsia="方正仿宋_GBK" w:cs="宋体"/>
          <w:sz w:val="32"/>
          <w:szCs w:val="32"/>
        </w:rPr>
        <w:t>强化服务管理职能。强化企业投资、规划建设、城镇管理、环境保护、安全生</w:t>
      </w:r>
      <w:r>
        <w:rPr>
          <w:rFonts w:hint="default" w:ascii="Times New Roman" w:hAnsi="Times New Roman" w:eastAsia="方正仿宋_GBK" w:cs="宋体"/>
          <w:sz w:val="32"/>
          <w:szCs w:val="32"/>
        </w:rPr>
        <w:t>产、农业发展、农村经营管理、生态建设、防灾减灾、扶贫济困等方面的服务管理职能。</w:t>
      </w:r>
    </w:p>
    <w:p>
      <w:pPr>
        <w:pStyle w:val="6"/>
        <w:spacing w:line="597" w:lineRule="exact"/>
        <w:ind w:firstLine="640" w:firstLineChars="200"/>
        <w:rPr>
          <w:rFonts w:hint="default" w:ascii="Times New Roman" w:hAnsi="Times New Roman" w:eastAsia="方正仿宋_GBK" w:cs="宋体"/>
          <w:sz w:val="32"/>
          <w:szCs w:val="32"/>
        </w:rPr>
      </w:pPr>
      <w:r>
        <w:rPr>
          <w:rStyle w:val="10"/>
          <w:rFonts w:hint="default" w:ascii="方正仿宋_GBK" w:hAnsi="方正仿宋_GBK" w:eastAsia="方正仿宋_GBK" w:cs="方正仿宋_GBK"/>
          <w:bCs/>
          <w:sz w:val="32"/>
          <w:szCs w:val="32"/>
          <w:shd w:val="clear" w:color="auto" w:fill="FFFFFF"/>
        </w:rPr>
        <w:t>3.</w:t>
      </w:r>
      <w:r>
        <w:rPr>
          <w:rFonts w:hint="default" w:ascii="Times New Roman" w:hAnsi="Times New Roman" w:eastAsia="方正仿宋_GBK" w:cs="宋体"/>
          <w:sz w:val="32"/>
          <w:szCs w:val="32"/>
        </w:rPr>
        <w:t>提高审批服务便民化</w:t>
      </w:r>
      <w:r>
        <w:rPr>
          <w:rFonts w:ascii="Times New Roman" w:hAnsi="Times New Roman" w:eastAsia="方正仿宋_GBK" w:cs="宋体"/>
          <w:sz w:val="32"/>
          <w:szCs w:val="32"/>
        </w:rPr>
        <w:t>水平。推进审批服务标准化，着力提升“互联网+政务服务”能力。</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hint="default" w:ascii="方正仿宋_GBK" w:hAnsi="方正仿宋_GBK" w:eastAsia="方正仿宋_GBK" w:cs="方正仿宋_GBK"/>
          <w:bCs/>
          <w:sz w:val="32"/>
          <w:szCs w:val="32"/>
          <w:shd w:val="clear" w:color="auto" w:fill="FFFFFF"/>
        </w:rPr>
        <w:t>4.</w:t>
      </w:r>
      <w:r>
        <w:rPr>
          <w:rFonts w:ascii="Times New Roman" w:hAnsi="Times New Roman" w:eastAsia="方正仿宋_GBK" w:cs="宋体"/>
          <w:sz w:val="32"/>
          <w:szCs w:val="32"/>
        </w:rPr>
        <w:t>推进综合行政执法。集中行使依法授权或委托的农林水利、规划建设、环境保护、卫生健康、市容环卫、文化旅游、民政管理、消防等领域的行政执法权。加强综合行政执法队伍建设，实行综合行政执法。</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Times New Roman" w:hAnsi="Times New Roman" w:eastAsia="方正仿宋_GBK" w:cs="宋体"/>
          <w:sz w:val="32"/>
          <w:szCs w:val="32"/>
        </w:rPr>
        <w:t>共设置党委、政府综合办事机</w:t>
      </w:r>
      <w:r>
        <w:rPr>
          <w:rFonts w:ascii="方正仿宋_GBK" w:hAnsi="方正仿宋_GBK" w:eastAsia="方正仿宋_GBK" w:cs="方正仿宋_GBK"/>
          <w:sz w:val="32"/>
          <w:szCs w:val="32"/>
          <w:shd w:val="clear" w:color="auto" w:fill="FFFFFF"/>
        </w:rPr>
        <w:t>构10个，（党政办公室、党群工作办公室、人大办公室、经济发展办公室、财政办公室、民政和社会事务办公室、平安建设办公室</w:t>
      </w:r>
      <w:r>
        <w:rPr>
          <w:rFonts w:ascii="Times New Roman" w:hAnsi="Times New Roman" w:eastAsia="方正仿宋_GBK"/>
          <w:sz w:val="32"/>
          <w:szCs w:val="32"/>
        </w:rPr>
        <w:t>、规划建设管理环保办公室、应急管理办公室、综合行政执法办公室）</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2024年度收入总计3509.52万元，支出总计</w:t>
      </w:r>
      <w:r>
        <w:rPr>
          <w:rFonts w:ascii="方正仿宋_GBK" w:hAnsi="方正仿宋_GBK" w:eastAsia="方正仿宋_GBK" w:cs="方正仿宋_GBK"/>
          <w:sz w:val="32"/>
          <w:szCs w:val="32"/>
        </w:rPr>
        <w:t>3509.52</w:t>
      </w:r>
      <w:r>
        <w:rPr>
          <w:rFonts w:ascii="方正仿宋_GBK" w:hAnsi="方正仿宋_GBK" w:eastAsia="方正仿宋_GBK" w:cs="方正仿宋_GBK"/>
          <w:sz w:val="32"/>
          <w:szCs w:val="32"/>
          <w:shd w:val="clear" w:color="auto" w:fill="FFFFFF"/>
        </w:rPr>
        <w:t>万元。收、支与2023年度相比，减少849.06万元，下降19.48%，主要原因是减少农村综合改革、乡村振兴等项目的投入。</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2024年度收入合计3475.22万元，与2023年度相比，减少596.36万元，下降14.65%，主要原因是减少农村综合改革、乡村振兴等项目的投入。其中：财政拨款收入</w:t>
      </w:r>
      <w:r>
        <w:rPr>
          <w:rFonts w:ascii="方正仿宋_GBK" w:hAnsi="方正仿宋_GBK" w:eastAsia="方正仿宋_GBK" w:cs="方正仿宋_GBK"/>
          <w:sz w:val="32"/>
          <w:szCs w:val="32"/>
        </w:rPr>
        <w:t>3475.22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34.29</w:t>
      </w:r>
      <w:r>
        <w:rPr>
          <w:rFonts w:ascii="方正仿宋_GBK" w:hAnsi="方正仿宋_GBK" w:eastAsia="方正仿宋_GBK" w:cs="方正仿宋_GBK"/>
          <w:sz w:val="32"/>
          <w:szCs w:val="32"/>
          <w:shd w:val="clear" w:color="auto" w:fill="FFFFFF"/>
        </w:rPr>
        <w:t>万元。</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3509.52</w:t>
      </w:r>
      <w:r>
        <w:rPr>
          <w:rFonts w:ascii="方正仿宋_GBK" w:hAnsi="方正仿宋_GBK" w:eastAsia="方正仿宋_GBK" w:cs="方正仿宋_GBK"/>
          <w:sz w:val="32"/>
          <w:szCs w:val="32"/>
          <w:shd w:val="clear" w:color="auto" w:fill="FFFFFF"/>
        </w:rPr>
        <w:t>万元，与2023年度相比，减少849.06万元，下降19.48%，主要原因是减少农村综合改革、乡村振兴等项目的投入。其中：基本支出</w:t>
      </w:r>
      <w:r>
        <w:rPr>
          <w:rFonts w:ascii="方正仿宋_GBK" w:hAnsi="方正仿宋_GBK" w:eastAsia="方正仿宋_GBK" w:cs="方正仿宋_GBK"/>
          <w:sz w:val="32"/>
          <w:szCs w:val="32"/>
        </w:rPr>
        <w:t>1243.94</w:t>
      </w:r>
      <w:r>
        <w:rPr>
          <w:rFonts w:ascii="方正仿宋_GBK" w:hAnsi="方正仿宋_GBK" w:eastAsia="方正仿宋_GBK" w:cs="方正仿宋_GBK"/>
          <w:sz w:val="32"/>
          <w:szCs w:val="32"/>
          <w:shd w:val="clear" w:color="auto" w:fill="FFFFFF"/>
        </w:rPr>
        <w:t>万元，占35.44%；项目支出</w:t>
      </w:r>
      <w:r>
        <w:rPr>
          <w:rFonts w:ascii="方正仿宋_GBK" w:hAnsi="方正仿宋_GBK" w:eastAsia="方正仿宋_GBK" w:cs="方正仿宋_GBK"/>
          <w:sz w:val="32"/>
          <w:szCs w:val="32"/>
        </w:rPr>
        <w:t>2265.57</w:t>
      </w:r>
      <w:r>
        <w:rPr>
          <w:rFonts w:ascii="方正仿宋_GBK" w:hAnsi="方正仿宋_GBK" w:eastAsia="方正仿宋_GBK" w:cs="方正仿宋_GBK"/>
          <w:sz w:val="32"/>
          <w:szCs w:val="32"/>
          <w:shd w:val="clear" w:color="auto" w:fill="FFFFFF"/>
        </w:rPr>
        <w:t>万元，占64.56%；经营支出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2024年度财政拨款收、支总计3509.52万元。与2023年相比，财政拨款收、支总计各减少849.06万元，下降19.48%。主要原因是减少农村综合改革、乡村振兴等项目的投入。</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2653.39</w:t>
      </w:r>
      <w:r>
        <w:rPr>
          <w:rFonts w:ascii="方正仿宋_GBK" w:hAnsi="方正仿宋_GBK" w:eastAsia="方正仿宋_GBK" w:cs="方正仿宋_GBK"/>
          <w:sz w:val="32"/>
          <w:szCs w:val="32"/>
          <w:shd w:val="clear" w:color="auto" w:fill="FFFFFF"/>
        </w:rPr>
        <w:t>万元，与2023年度相比，减少1402.98万元，下降34.59%。主要原因是减少农村综合改革、乡村振兴等项目的投入。较年初预算数增加1236.39万元，增长87.25%。主要原因是财政追加土地征收补偿费、农村综合改革转移支付、生态环境“以奖促治”专项、二级公路还贷补助资金（区县）、农业防灾减灾资金、森林植被恢复返还、农村公路养护工程等项目经费</w:t>
      </w:r>
      <w:r>
        <w:rPr>
          <w:rFonts w:ascii="方正仿宋_GBK" w:hAnsi="方正仿宋_GBK" w:eastAsia="方正仿宋_GBK" w:cs="方正仿宋_GBK"/>
          <w:sz w:val="30"/>
          <w:szCs w:val="30"/>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34.29</w:t>
      </w:r>
      <w:r>
        <w:rPr>
          <w:rFonts w:ascii="方正仿宋_GBK" w:hAnsi="方正仿宋_GBK" w:eastAsia="方正仿宋_GBK" w:cs="方正仿宋_GBK"/>
          <w:sz w:val="32"/>
          <w:szCs w:val="32"/>
          <w:shd w:val="clear" w:color="auto" w:fill="FFFFFF"/>
        </w:rPr>
        <w:t>万元。</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2687.68</w:t>
      </w:r>
      <w:r>
        <w:rPr>
          <w:rFonts w:ascii="方正仿宋_GBK" w:hAnsi="方正仿宋_GBK" w:eastAsia="方正仿宋_GBK" w:cs="方正仿宋_GBK"/>
          <w:sz w:val="32"/>
          <w:szCs w:val="32"/>
          <w:shd w:val="clear" w:color="auto" w:fill="FFFFFF"/>
        </w:rPr>
        <w:t>万元，与2023年度相比，减少1655.69万元，下降38.12%。主要原因是减少农村综合改革、乡村振兴等项目的投入。较年初预算数增加1270.68万元，增长89.67%。主要原因是财政追加土地征收补偿费、农村综合改革转移支付、生态环境“以奖促治”专项、二级公路还贷补助资金（区县）、农业防灾减灾资金、森林植被恢复返还、农村公路养护工程等项目经费</w:t>
      </w:r>
      <w:r>
        <w:rPr>
          <w:rFonts w:ascii="方正仿宋_GBK" w:hAnsi="方正仿宋_GBK" w:eastAsia="方正仿宋_GBK" w:cs="方正仿宋_GBK"/>
          <w:sz w:val="30"/>
          <w:szCs w:val="30"/>
        </w:rPr>
        <w:t>。</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710.39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26.43</w:t>
      </w:r>
      <w:r>
        <w:rPr>
          <w:rFonts w:ascii="方正仿宋_GBK" w:hAnsi="方正仿宋_GBK" w:eastAsia="方正仿宋_GBK" w:cs="方正仿宋_GBK"/>
          <w:sz w:val="32"/>
          <w:szCs w:val="32"/>
          <w:shd w:val="clear" w:color="auto" w:fill="FFFFFF"/>
        </w:rPr>
        <w:t>%，较年初预算数增加65.94万元，增长10.23%，主要原因是财政追加</w:t>
      </w:r>
      <w:r>
        <w:rPr>
          <w:rFonts w:ascii="方正仿宋_GBK" w:hAnsi="方正仿宋_GBK" w:eastAsia="方正仿宋_GBK" w:cs="方正仿宋_GBK"/>
          <w:sz w:val="32"/>
          <w:szCs w:val="32"/>
        </w:rPr>
        <w:t>公务员年度考核奖、平安建设专项经费、特殊信访疑难问题专项资金、第五次全国经济普查、食品药品安全协管员补助资金</w:t>
      </w:r>
      <w:r>
        <w:rPr>
          <w:rFonts w:ascii="方正仿宋_GBK" w:hAnsi="方正仿宋_GBK" w:eastAsia="方正仿宋_GBK" w:cs="方正仿宋_GBK"/>
          <w:sz w:val="30"/>
          <w:szCs w:val="30"/>
        </w:rPr>
        <w:t>等项目经费。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8.03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%，较年初预算数增加7.47万元，增长1333.93%，主要原因是财政追加全县道安办劝导员工作经费。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%，较年初预算数增加5.00万元，增长100.00%，主要原因是财政追加公共图书馆、美术馆、文化馆（站）免费开发补助资金、森林植被恢复返还等等项目经费。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219.82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8.18</w:t>
      </w:r>
      <w:r>
        <w:rPr>
          <w:rFonts w:ascii="方正仿宋_GBK" w:hAnsi="方正仿宋_GBK" w:eastAsia="方正仿宋_GBK" w:cs="方正仿宋_GBK"/>
          <w:sz w:val="32"/>
          <w:szCs w:val="32"/>
          <w:shd w:val="clear" w:color="auto" w:fill="FFFFFF"/>
        </w:rPr>
        <w:t>%，较年初预算数增加61.90万元，增长39.20%，主要原因是财政追加公务员补缴2</w:t>
      </w:r>
      <w:r>
        <w:rPr>
          <w:rFonts w:hint="default" w:ascii="方正仿宋_GBK" w:hAnsi="方正仿宋_GBK" w:eastAsia="方正仿宋_GBK" w:cs="方正仿宋_GBK"/>
          <w:sz w:val="32"/>
          <w:szCs w:val="32"/>
          <w:shd w:val="clear" w:color="auto" w:fill="FFFFFF"/>
        </w:rPr>
        <w:t>022</w:t>
      </w:r>
      <w:r>
        <w:rPr>
          <w:rFonts w:ascii="方正仿宋_GBK" w:hAnsi="方正仿宋_GBK"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54.69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2.03</w:t>
      </w:r>
      <w:r>
        <w:rPr>
          <w:rFonts w:ascii="方正仿宋_GBK" w:hAnsi="方正仿宋_GBK" w:eastAsia="方正仿宋_GBK" w:cs="方正仿宋_GBK"/>
          <w:sz w:val="32"/>
          <w:szCs w:val="32"/>
          <w:shd w:val="clear" w:color="auto" w:fill="FFFFFF"/>
        </w:rPr>
        <w:t>%，较年初预算数增加13.86万元，增长33.95%，主要原因是财政追加优抚对象补助（直达资金）、计划生育特殊家庭节日走访慰问等经费。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29.01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1.08</w:t>
      </w:r>
      <w:r>
        <w:rPr>
          <w:rFonts w:ascii="方正仿宋_GBK" w:hAnsi="方正仿宋_GBK" w:eastAsia="方正仿宋_GBK" w:cs="方正仿宋_GBK"/>
          <w:sz w:val="32"/>
          <w:szCs w:val="32"/>
          <w:shd w:val="clear" w:color="auto" w:fill="FFFFFF"/>
        </w:rPr>
        <w:t>%，较年初预算数增加29.01万元，增长100.00%，主要原因是财政追加生态环境“以奖促治”专项、国有林保护修复补助等经费。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137.46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%，较年初预算数增加137.46万元，增长100.00%，主要原因是财政追加乡镇（街道）耕地补足、撂荒地复耕复种补助资金、垫江县超（快）充电桩建设资金、地质灾害综合治理项目等经费。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795.22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29.59</w:t>
      </w:r>
      <w:r>
        <w:rPr>
          <w:rFonts w:ascii="方正仿宋_GBK" w:hAnsi="方正仿宋_GBK" w:eastAsia="方正仿宋_GBK" w:cs="方正仿宋_GBK"/>
          <w:sz w:val="32"/>
          <w:szCs w:val="32"/>
          <w:shd w:val="clear" w:color="auto" w:fill="FFFFFF"/>
        </w:rPr>
        <w:t>%，较年初预算数增加415.74万元，增长109.56%，主要原因是农业防灾减灾资金、市级财政衔接推进乡村振兴补助资金、农村综合改革转移支付、林业局森林防火经费、产粮大县奖励资金等项目经费。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419.40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15.60</w:t>
      </w:r>
      <w:r>
        <w:rPr>
          <w:rFonts w:ascii="方正仿宋_GBK" w:hAnsi="方正仿宋_GBK" w:eastAsia="方正仿宋_GBK" w:cs="方正仿宋_GBK"/>
          <w:sz w:val="32"/>
          <w:szCs w:val="32"/>
          <w:shd w:val="clear" w:color="auto" w:fill="FFFFFF"/>
        </w:rPr>
        <w:t>%，较年初预算数增加419.40万元，增长100.00%，主要原因是财政追加二级公路还贷补助资金（区县）、车辆购置税补助地方收入等项目经费。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175.00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6.51</w:t>
      </w:r>
      <w:r>
        <w:rPr>
          <w:rFonts w:ascii="方正仿宋_GBK" w:hAnsi="方正仿宋_GBK" w:eastAsia="方正仿宋_GBK" w:cs="方正仿宋_GBK"/>
          <w:sz w:val="32"/>
          <w:szCs w:val="32"/>
          <w:shd w:val="clear" w:color="auto" w:fill="FFFFFF"/>
        </w:rPr>
        <w:t>%，较年初预算数增加36.00万元，增长25.90%，主要原因是财政追加支持中小企业发展资金。</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9.82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%，较年初预算数增加9.82万元，增长100.00%，主要原因是财政追加限上企业（个体）发展奖励。</w:t>
      </w:r>
    </w:p>
    <w:p>
      <w:pPr>
        <w:spacing w:before="100" w:beforeAutospacing="1" w:after="100" w:afterAutospacing="1"/>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住房保障支出80.36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2.99</w:t>
      </w:r>
      <w:r>
        <w:rPr>
          <w:rFonts w:ascii="方正仿宋_GBK" w:hAnsi="方正仿宋_GBK" w:eastAsia="方正仿宋_GBK" w:cs="方正仿宋_GBK"/>
          <w:sz w:val="32"/>
          <w:szCs w:val="32"/>
          <w:shd w:val="clear" w:color="auto" w:fill="FFFFFF"/>
        </w:rPr>
        <w:t>%，较年初预算数增加25.60万元，增长46.75%，主要原因是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pPr>
        <w:spacing w:before="100" w:beforeAutospacing="1" w:after="100" w:afterAutospacing="1"/>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灾害防治及应急管理支出43.48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%，较年初预算数增加43.48万元，增长100.00%，主要原因是财政追加中央自然灾害救灾资金、自然灾害救灾资金地质灾害避险搬迁项目等项目资金。</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1243.94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1143.91</w:t>
      </w:r>
      <w:r>
        <w:rPr>
          <w:rFonts w:ascii="方正仿宋_GBK" w:hAnsi="方正仿宋_GBK" w:eastAsia="方正仿宋_GBK" w:cs="方正仿宋_GBK"/>
          <w:sz w:val="32"/>
          <w:szCs w:val="32"/>
          <w:shd w:val="clear" w:color="auto" w:fill="FFFFFF"/>
        </w:rPr>
        <w:t>万元，与2023年度相比，减少111.99万元，下降8.92%，主要原因是</w:t>
      </w:r>
      <w:r>
        <w:rPr>
          <w:rFonts w:hint="default" w:ascii="方正仿宋_GBK" w:hAnsi="方正仿宋_GBK" w:eastAsia="方正仿宋_GBK" w:cs="方正仿宋_GBK"/>
          <w:sz w:val="32"/>
          <w:szCs w:val="32"/>
          <w:shd w:val="clear" w:color="auto" w:fill="FFFFFF"/>
        </w:rPr>
        <w:t>2023年补发公务员以前年度奖金</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sz w:val="32"/>
          <w:szCs w:val="32"/>
          <w:shd w:val="clear" w:color="auto" w:fill="FFFFFF"/>
        </w:rPr>
        <w:t>基本</w:t>
      </w:r>
      <w:r>
        <w:rPr>
          <w:rFonts w:ascii="方正仿宋_GBK" w:hAnsi="方正仿宋_GBK" w:eastAsia="方正仿宋_GBK" w:cs="方正仿宋_GBK"/>
          <w:sz w:val="32"/>
          <w:szCs w:val="32"/>
          <w:shd w:val="clear" w:color="auto" w:fill="FFFFFF"/>
        </w:rPr>
        <w:t>工资</w:t>
      </w:r>
      <w:r>
        <w:rPr>
          <w:rFonts w:hint="default" w:ascii="方正仿宋_GBK" w:hAnsi="方正仿宋_GBK" w:eastAsia="方正仿宋_GBK" w:cs="方正仿宋_GBK"/>
          <w:sz w:val="32"/>
          <w:szCs w:val="32"/>
          <w:shd w:val="clear" w:color="auto" w:fill="FFFFFF"/>
        </w:rPr>
        <w:t>144.28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津贴补贴121.29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奖金225.18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伙食补助费6.69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机关事业单位基本养老保险缴费76.9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职业年金缴费32.43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职工基本医疗保险缴费40.49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其他社会保障缴费3.05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住房公积金59.96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医疗费5.12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其他工资福利支出35.71</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生活补助386.96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医疗费补助4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奖励金1.85</w:t>
      </w:r>
      <w:r>
        <w:rPr>
          <w:rFonts w:ascii="方正仿宋_GBK" w:hAnsi="方正仿宋_GBK" w:eastAsia="方正仿宋_GBK" w:cs="方正仿宋_GBK"/>
          <w:sz w:val="32"/>
          <w:szCs w:val="32"/>
          <w:shd w:val="clear" w:color="auto" w:fill="FFFFFF"/>
        </w:rPr>
        <w:t>万元。公用经费</w:t>
      </w:r>
      <w:r>
        <w:rPr>
          <w:rFonts w:ascii="方正仿宋_GBK" w:hAnsi="方正仿宋_GBK" w:eastAsia="方正仿宋_GBK" w:cs="方正仿宋_GBK"/>
          <w:sz w:val="32"/>
          <w:szCs w:val="32"/>
        </w:rPr>
        <w:t>100.03</w:t>
      </w:r>
      <w:r>
        <w:rPr>
          <w:rFonts w:ascii="方正仿宋_GBK" w:hAnsi="方正仿宋_GBK" w:eastAsia="方正仿宋_GBK" w:cs="方正仿宋_GBK"/>
          <w:sz w:val="32"/>
          <w:szCs w:val="32"/>
          <w:shd w:val="clear" w:color="auto" w:fill="FFFFFF"/>
        </w:rPr>
        <w:t>万元，与2023年度相比，减少185.33万元，下降64.95%，主要原因是合理安排使用资金，</w:t>
      </w:r>
      <w:r>
        <w:rPr>
          <w:rFonts w:hint="default" w:ascii="方正仿宋_GBK" w:hAnsi="方正仿宋_GBK" w:eastAsia="方正仿宋_GBK" w:cs="方正仿宋_GBK"/>
          <w:sz w:val="32"/>
          <w:szCs w:val="32"/>
          <w:shd w:val="clear" w:color="auto" w:fill="FFFFFF"/>
        </w:rPr>
        <w:t>严格控制公用经费。</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sz w:val="32"/>
          <w:szCs w:val="32"/>
          <w:shd w:val="clear" w:color="auto" w:fill="FFFFFF"/>
        </w:rPr>
        <w:t>办公费3.86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印刷费7.15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水费4.64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电费3.79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邮电费21.05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差旅费14.5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培训费0.49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劳务费1.47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委托业务费0.05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工会经费6.01</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公务用车运行维护费6.17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其他交通费用28.17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其他商品和服务支出2.69</w:t>
      </w:r>
      <w:r>
        <w:rPr>
          <w:rFonts w:ascii="方正仿宋_GBK" w:hAnsi="方正仿宋_GBK" w:eastAsia="方正仿宋_GBK" w:cs="方正仿宋_GBK"/>
          <w:sz w:val="32"/>
          <w:szCs w:val="32"/>
          <w:shd w:val="clear" w:color="auto" w:fill="FFFFFF"/>
        </w:rPr>
        <w:t>万元。</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821.84</w:t>
      </w:r>
      <w:r>
        <w:rPr>
          <w:rFonts w:ascii="方正仿宋_GBK" w:hAnsi="方正仿宋_GBK" w:eastAsia="方正仿宋_GBK" w:cs="方正仿宋_GBK"/>
          <w:sz w:val="32"/>
          <w:szCs w:val="32"/>
          <w:shd w:val="clear" w:color="auto" w:fill="FFFFFF"/>
        </w:rPr>
        <w:t>万元，与2023年度相比，增加807.00万元，增长5438.01%，主要原因是</w:t>
      </w:r>
      <w:r>
        <w:rPr>
          <w:rFonts w:hint="default" w:ascii="方正仿宋_GBK" w:hAnsi="方正仿宋_GBK" w:eastAsia="方正仿宋_GBK" w:cs="方正仿宋_GBK"/>
          <w:sz w:val="32"/>
          <w:szCs w:val="32"/>
          <w:shd w:val="clear" w:color="auto" w:fill="FFFFFF"/>
        </w:rPr>
        <w:t>2024年缴纳土地征收补偿款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821.84</w:t>
      </w:r>
      <w:r>
        <w:rPr>
          <w:rFonts w:ascii="方正仿宋_GBK" w:hAnsi="方正仿宋_GBK" w:eastAsia="方正仿宋_GBK" w:cs="方正仿宋_GBK"/>
          <w:sz w:val="32"/>
          <w:szCs w:val="32"/>
          <w:shd w:val="clear" w:color="auto" w:fill="FFFFFF"/>
        </w:rPr>
        <w:t>万元，与2023年度相比，增加807.00万元，增长5438.01%，主要原因是</w:t>
      </w:r>
      <w:r>
        <w:rPr>
          <w:rFonts w:hint="default" w:ascii="方正仿宋_GBK" w:hAnsi="方正仿宋_GBK" w:eastAsia="方正仿宋_GBK" w:cs="方正仿宋_GBK"/>
          <w:sz w:val="32"/>
          <w:szCs w:val="32"/>
          <w:shd w:val="clear" w:color="auto" w:fill="FFFFFF"/>
        </w:rPr>
        <w:t>2024年缴纳土地征收补偿款</w:t>
      </w:r>
      <w:r>
        <w:rPr>
          <w:rFonts w:ascii="方正仿宋_GBK" w:hAnsi="方正仿宋_GBK" w:eastAsia="方正仿宋_GBK" w:cs="方正仿宋_GBK"/>
          <w:sz w:val="32"/>
          <w:szCs w:val="32"/>
          <w:shd w:val="clear" w:color="auto" w:fill="FFFFFF"/>
        </w:rPr>
        <w:t>。</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7.14</w:t>
      </w:r>
      <w:r>
        <w:rPr>
          <w:rFonts w:ascii="方正仿宋_GBK" w:hAnsi="方正仿宋_GBK" w:eastAsia="方正仿宋_GBK" w:cs="方正仿宋_GBK"/>
          <w:sz w:val="32"/>
          <w:szCs w:val="32"/>
          <w:shd w:val="clear" w:color="auto" w:fill="FFFFFF"/>
        </w:rPr>
        <w:t>万元，较年初预算数增加1.14万元，增长19.00%，主要原因是在严控“三公”经费，公车和公务接待据实支出。较上年支出数减少9.69万元，下降57.58%，主要原因是严格控制“三公”经费支出情况，按照标准使用公务车外出办事，强化公务接待支出管理，严格遵守公务接待开支范围和开支标准，不超范围接待。</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6.17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年初预算数增加0.17万元，增长2.83%，主要原因是在严控“三公”经费的标准下，据实支出。较上年支出数减少5.34万元，下降46.39%，主要原因是严格控制“三公”经费支出情况，按照标准使用公务车外出办事</w:t>
      </w:r>
      <w:r>
        <w:rPr>
          <w:rFonts w:ascii="Times New Roman" w:hAnsi="Times New Roman" w:eastAsia="方正仿宋_GBK"/>
          <w:sz w:val="32"/>
          <w:szCs w:val="32"/>
        </w:rPr>
        <w:t>。</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0.97</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上级部门到我单位学习调研督导各项工作推进情况及招商引资接待费等。</w:t>
      </w:r>
      <w:r>
        <w:rPr>
          <w:rFonts w:ascii="方正仿宋_GBK" w:hAnsi="方正仿宋_GBK" w:eastAsia="方正仿宋_GBK" w:cs="方正仿宋_GBK"/>
          <w:sz w:val="32"/>
          <w:szCs w:val="32"/>
          <w:shd w:val="clear" w:color="auto" w:fill="FFFFFF"/>
        </w:rPr>
        <w:t>费用支出较年初预算数增加0.97万元，增长100.00%，主要原因是在严控“三公”经费的标准下，据实支出。较上年支出数减少4.35万元，下降81.77%，主要原因是</w:t>
      </w:r>
      <w:r>
        <w:rPr>
          <w:rFonts w:ascii="Times New Roman" w:hAnsi="Times New Roman" w:eastAsia="方正仿宋_GBK"/>
          <w:sz w:val="32"/>
          <w:szCs w:val="32"/>
        </w:rPr>
        <w:t>加强管理，节约开支。</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51.68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1"/>
        <w:autoSpaceDE w:val="0"/>
        <w:spacing w:before="100" w:beforeAutospacing="1" w:after="100" w:afterAutospacing="1"/>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万元，与2023年度相比，减少5.54万元，下降62.95%，主要原因减少非必要的</w:t>
      </w:r>
      <w:r>
        <w:rPr>
          <w:rFonts w:hint="eastAsia" w:ascii="方正仿宋_GBK" w:hAnsi="方正仿宋_GBK" w:eastAsia="方正仿宋_GBK" w:cs="方正仿宋_GBK"/>
          <w:sz w:val="32"/>
          <w:szCs w:val="32"/>
          <w:shd w:val="clear" w:color="auto" w:fill="FFFFFF"/>
        </w:rPr>
        <w:t>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万元，与2023年度相比，减少1.26万元，下降31.11%，主要原因是减少非必要的培训。</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100.03</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sz w:val="32"/>
          <w:szCs w:val="32"/>
          <w:shd w:val="clear" w:color="auto" w:fill="FFFFFF"/>
        </w:rPr>
        <w:t>办公费3.86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印刷费7.15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水费4.64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电费3.79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邮电费21.05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差旅费14.5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培训费0.49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劳务费1.47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委托业务费0.05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工会经费6.01</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公务用车运行维护费6.17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其他交通费用28.17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其他商品和服务支出2.69</w:t>
      </w:r>
      <w:r>
        <w:rPr>
          <w:rFonts w:ascii="方正仿宋_GBK" w:hAnsi="方正仿宋_GBK" w:eastAsia="方正仿宋_GBK" w:cs="方正仿宋_GBK"/>
          <w:sz w:val="32"/>
          <w:szCs w:val="32"/>
          <w:shd w:val="clear" w:color="auto" w:fill="FFFFFF"/>
        </w:rPr>
        <w:t>万元。机关运行经费较上年支出数减少185.33万元，下降64.95%，主要原因是</w:t>
      </w:r>
      <w:r>
        <w:rPr>
          <w:rFonts w:ascii="Times New Roman" w:hAnsi="Times New Roman" w:eastAsia="方正仿宋_GBK"/>
          <w:sz w:val="32"/>
          <w:szCs w:val="32"/>
        </w:rPr>
        <w:t>加强管理，节约开支。</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w:t>
      </w: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ascii="方正仿宋_GBK" w:hAnsi="方正仿宋_GBK" w:eastAsia="方正仿宋_GBK" w:cs="方正仿宋_GBK"/>
          <w:sz w:val="32"/>
          <w:szCs w:val="32"/>
          <w:shd w:val="clear" w:color="auto" w:fill="FFFFFF"/>
        </w:rPr>
        <w:t>2,265.57</w:t>
      </w:r>
      <w:r>
        <w:rPr>
          <w:rFonts w:hint="eastAsia"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w:t>
      </w:r>
    </w:p>
    <w:p>
      <w:pPr>
        <w:pStyle w:val="12"/>
        <w:spacing w:line="600" w:lineRule="exact"/>
        <w:jc w:val="both"/>
        <w:rPr>
          <w:rFonts w:ascii="楷体" w:hAnsi="楷体" w:eastAsia="楷体" w:cs="楷体"/>
          <w:b/>
          <w:bCs/>
          <w:sz w:val="28"/>
          <w:szCs w:val="28"/>
          <w:shd w:val="clear" w:color="auto" w:fill="FFFFFF"/>
        </w:rPr>
      </w:pPr>
      <w:r>
        <w:rPr>
          <w:rFonts w:hint="eastAsia" w:ascii="方正仿宋_GBK" w:hAnsi="方正仿宋_GBK" w:eastAsia="方正仿宋_GBK" w:cs="方正仿宋_GBK"/>
          <w:sz w:val="28"/>
          <w:szCs w:val="28"/>
          <w:shd w:val="clear" w:color="auto" w:fill="FFFFFF"/>
        </w:rPr>
        <w:t>垫江县新民镇人民政府（本级）项目支出绩效自评表（二级项目）</w:t>
      </w:r>
    </w:p>
    <w:tbl>
      <w:tblPr>
        <w:tblStyle w:val="7"/>
        <w:tblW w:w="8531" w:type="dxa"/>
        <w:tblInd w:w="0" w:type="dxa"/>
        <w:tblLayout w:type="fixed"/>
        <w:tblCellMar>
          <w:top w:w="0" w:type="dxa"/>
          <w:left w:w="108" w:type="dxa"/>
          <w:bottom w:w="0" w:type="dxa"/>
          <w:right w:w="108" w:type="dxa"/>
        </w:tblCellMar>
      </w:tblPr>
      <w:tblGrid>
        <w:gridCol w:w="1273"/>
        <w:gridCol w:w="694"/>
        <w:gridCol w:w="695"/>
        <w:gridCol w:w="777"/>
        <w:gridCol w:w="713"/>
        <w:gridCol w:w="779"/>
        <w:gridCol w:w="859"/>
        <w:gridCol w:w="632"/>
        <w:gridCol w:w="632"/>
        <w:gridCol w:w="793"/>
        <w:gridCol w:w="684"/>
      </w:tblGrid>
      <w:tr>
        <w:tblPrEx>
          <w:tblCellMar>
            <w:top w:w="0" w:type="dxa"/>
            <w:left w:w="108" w:type="dxa"/>
            <w:bottom w:w="0" w:type="dxa"/>
            <w:right w:w="108" w:type="dxa"/>
          </w:tblCellMar>
        </w:tblPrEx>
        <w:trPr>
          <w:trHeight w:val="799"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389"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492"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50023122T000002074162</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1264"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389"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492"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1264"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6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967"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cs="宋体"/>
                <w:color w:val="000000"/>
                <w:sz w:val="20"/>
                <w:szCs w:val="20"/>
              </w:rPr>
            </w:pPr>
            <w:r>
              <w:rPr>
                <w:rFonts w:cs="宋体"/>
                <w:color w:val="000000"/>
                <w:sz w:val="20"/>
                <w:szCs w:val="20"/>
              </w:rPr>
              <w:t>　</w:t>
            </w:r>
          </w:p>
        </w:tc>
        <w:tc>
          <w:tcPr>
            <w:tcW w:w="1472"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492"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491"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6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72"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92"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1491"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632" w:type="dxa"/>
            <w:tcBorders>
              <w:top w:val="nil"/>
              <w:left w:val="nil"/>
              <w:bottom w:val="single" w:color="auto" w:sz="4" w:space="0"/>
              <w:right w:val="single" w:color="auto" w:sz="4" w:space="0"/>
            </w:tcBorders>
            <w:vAlign w:val="center"/>
          </w:tcPr>
          <w:p>
            <w:pPr>
              <w:spacing w:before="100" w:beforeAutospacing="1" w:after="100" w:afterAutospacing="1"/>
              <w:rPr>
                <w:rFonts w:hint="default" w:cs="宋体"/>
                <w:color w:val="000000"/>
                <w:sz w:val="20"/>
                <w:szCs w:val="20"/>
              </w:rPr>
            </w:pPr>
            <w:r>
              <w:rPr>
                <w:rFonts w:cs="宋体"/>
                <w:color w:val="000000"/>
                <w:sz w:val="20"/>
                <w:szCs w:val="20"/>
              </w:rPr>
              <w:t>　</w:t>
            </w:r>
          </w:p>
        </w:tc>
        <w:tc>
          <w:tcPr>
            <w:tcW w:w="793" w:type="dxa"/>
            <w:tcBorders>
              <w:top w:val="nil"/>
              <w:left w:val="nil"/>
              <w:bottom w:val="single" w:color="auto" w:sz="4" w:space="0"/>
              <w:right w:val="single" w:color="auto" w:sz="4" w:space="0"/>
            </w:tcBorders>
            <w:vAlign w:val="center"/>
          </w:tcPr>
          <w:p>
            <w:pPr>
              <w:spacing w:before="100" w:beforeAutospacing="1" w:after="100" w:afterAutospacing="1"/>
              <w:rPr>
                <w:rFonts w:hint="default" w:cs="宋体"/>
                <w:color w:val="000000"/>
                <w:sz w:val="20"/>
                <w:szCs w:val="20"/>
              </w:rPr>
            </w:pPr>
            <w:r>
              <w:rPr>
                <w:rFonts w:cs="宋体"/>
                <w:color w:val="000000"/>
                <w:sz w:val="20"/>
                <w:szCs w:val="20"/>
              </w:rPr>
              <w:t>　</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cs="宋体"/>
                <w:sz w:val="20"/>
                <w:szCs w:val="20"/>
              </w:rPr>
            </w:pPr>
            <w:r>
              <w:rPr>
                <w:rFonts w:cs="宋体"/>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72"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92"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1491"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6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72"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92"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1491"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cs="宋体"/>
                <w:sz w:val="20"/>
                <w:szCs w:val="20"/>
              </w:rPr>
            </w:pPr>
            <w:r>
              <w:rPr>
                <w:rFonts w:cs="宋体"/>
                <w:sz w:val="20"/>
                <w:szCs w:val="20"/>
              </w:rPr>
              <w:t>　</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3439"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2983" w:type="dxa"/>
            <w:gridSpan w:val="4"/>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2109" w:type="dxa"/>
            <w:gridSpan w:val="3"/>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3439" w:type="dxa"/>
            <w:gridSpan w:val="4"/>
            <w:tcBorders>
              <w:top w:val="single" w:color="auto" w:sz="4" w:space="0"/>
              <w:left w:val="single" w:color="auto" w:sz="4" w:space="0"/>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c>
          <w:tcPr>
            <w:tcW w:w="2983" w:type="dxa"/>
            <w:gridSpan w:val="4"/>
            <w:tcBorders>
              <w:top w:val="single" w:color="auto" w:sz="4" w:space="0"/>
              <w:left w:val="nil"/>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c>
          <w:tcPr>
            <w:tcW w:w="2109" w:type="dxa"/>
            <w:gridSpan w:val="3"/>
            <w:tcBorders>
              <w:top w:val="single" w:color="auto" w:sz="4" w:space="0"/>
              <w:left w:val="nil"/>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68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保障一事一议工作顺利进行</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273"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69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万元</w:t>
            </w:r>
          </w:p>
        </w:tc>
        <w:tc>
          <w:tcPr>
            <w:tcW w:w="69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491</w:t>
            </w:r>
          </w:p>
        </w:tc>
        <w:tc>
          <w:tcPr>
            <w:tcW w:w="7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491</w:t>
            </w:r>
          </w:p>
        </w:tc>
        <w:tc>
          <w:tcPr>
            <w:tcW w:w="77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5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3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9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bl>
    <w:p>
      <w:pPr>
        <w:pStyle w:val="12"/>
        <w:autoSpaceDE w:val="0"/>
        <w:spacing w:line="600" w:lineRule="exact"/>
        <w:ind w:firstLine="640" w:firstLineChars="200"/>
        <w:rPr>
          <w:rFonts w:ascii="方正仿宋_GBK" w:hAnsi="方正仿宋_GBK" w:eastAsia="方正仿宋_GBK" w:cs="方正仿宋_GBK"/>
          <w:sz w:val="32"/>
          <w:szCs w:val="32"/>
          <w:shd w:val="clear" w:color="auto" w:fill="FFFFFF"/>
        </w:rPr>
      </w:pPr>
    </w:p>
    <w:tbl>
      <w:tblPr>
        <w:tblStyle w:val="7"/>
        <w:tblW w:w="8531" w:type="dxa"/>
        <w:tblInd w:w="0" w:type="dxa"/>
        <w:tblLayout w:type="fixed"/>
        <w:tblCellMar>
          <w:top w:w="0" w:type="dxa"/>
          <w:left w:w="108" w:type="dxa"/>
          <w:bottom w:w="0" w:type="dxa"/>
          <w:right w:w="108" w:type="dxa"/>
        </w:tblCellMar>
      </w:tblPr>
      <w:tblGrid>
        <w:gridCol w:w="1214"/>
        <w:gridCol w:w="702"/>
        <w:gridCol w:w="797"/>
        <w:gridCol w:w="836"/>
        <w:gridCol w:w="685"/>
        <w:gridCol w:w="748"/>
        <w:gridCol w:w="823"/>
        <w:gridCol w:w="609"/>
        <w:gridCol w:w="609"/>
        <w:gridCol w:w="760"/>
        <w:gridCol w:w="748"/>
      </w:tblGrid>
      <w:tr>
        <w:tblPrEx>
          <w:tblCellMar>
            <w:top w:w="0" w:type="dxa"/>
            <w:left w:w="108" w:type="dxa"/>
            <w:bottom w:w="0" w:type="dxa"/>
            <w:right w:w="108" w:type="dxa"/>
          </w:tblCellMar>
        </w:tblPrEx>
        <w:trPr>
          <w:trHeight w:val="799"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499"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垫江县超（快）充电桩建设资金</w:t>
            </w:r>
          </w:p>
        </w:tc>
        <w:tc>
          <w:tcPr>
            <w:tcW w:w="83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433"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50023125T000004909316</w:t>
            </w:r>
          </w:p>
        </w:tc>
        <w:tc>
          <w:tcPr>
            <w:tcW w:w="82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1218"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7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499"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83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433"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82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1218"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7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916"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3"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433"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432"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6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7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3"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33"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1432"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3"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33"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1432"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3"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33"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1432"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3549"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2865"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2117"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3549" w:type="dxa"/>
            <w:gridSpan w:val="4"/>
            <w:tcBorders>
              <w:top w:val="single" w:color="auto" w:sz="4" w:space="0"/>
              <w:left w:val="single" w:color="auto" w:sz="4" w:space="0"/>
              <w:bottom w:val="single" w:color="auto" w:sz="4" w:space="0"/>
              <w:right w:val="single" w:color="auto" w:sz="4" w:space="0"/>
            </w:tcBorders>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乡镇委托重庆市腾泰电力有限责任公司建设快充站电力设施</w:t>
            </w:r>
          </w:p>
        </w:tc>
        <w:tc>
          <w:tcPr>
            <w:tcW w:w="2865" w:type="dxa"/>
            <w:gridSpan w:val="4"/>
            <w:tcBorders>
              <w:top w:val="single" w:color="auto" w:sz="4" w:space="0"/>
              <w:left w:val="nil"/>
              <w:bottom w:val="single" w:color="auto" w:sz="4" w:space="0"/>
              <w:right w:val="single" w:color="auto" w:sz="4" w:space="0"/>
            </w:tcBorders>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乡镇委托重庆市腾泰电力有限责任公司建设快充站电力设施</w:t>
            </w:r>
          </w:p>
        </w:tc>
        <w:tc>
          <w:tcPr>
            <w:tcW w:w="2117" w:type="dxa"/>
            <w:gridSpan w:val="3"/>
            <w:tcBorders>
              <w:top w:val="single" w:color="auto" w:sz="4" w:space="0"/>
              <w:left w:val="nil"/>
              <w:bottom w:val="single" w:color="auto" w:sz="4" w:space="0"/>
              <w:right w:val="single" w:color="auto" w:sz="4" w:space="0"/>
            </w:tcBorders>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乡镇委托重庆市腾泰电力有限责任公司建设快充站电力设施</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797"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83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68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82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6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6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7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充电桩个数</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79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3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68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4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充电桩安装质量验收合格率</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9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3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安装及时完成率</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9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3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保障基础</w:t>
            </w:r>
            <w:bookmarkStart w:id="0" w:name="_GoBack"/>
            <w:bookmarkEnd w:id="0"/>
            <w:r>
              <w:rPr>
                <w:rFonts w:ascii="Times New Roman" w:hAnsi="Times New Roman" w:eastAsia="方正仿宋_GBK"/>
                <w:color w:val="000000"/>
                <w:kern w:val="2"/>
                <w:sz w:val="20"/>
                <w:szCs w:val="20"/>
              </w:rPr>
              <w:t>设施建设工作</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9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83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6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9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3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6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14"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70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79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3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119452</w:t>
            </w:r>
          </w:p>
        </w:tc>
        <w:tc>
          <w:tcPr>
            <w:tcW w:w="6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119452</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4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bl>
    <w:p>
      <w:pPr>
        <w:pStyle w:val="12"/>
        <w:autoSpaceDE w:val="0"/>
        <w:spacing w:line="600" w:lineRule="exact"/>
        <w:rPr>
          <w:rFonts w:ascii="方正仿宋_GBK" w:hAnsi="方正仿宋_GBK" w:eastAsia="方正仿宋_GBK" w:cs="方正仿宋_GBK"/>
          <w:sz w:val="32"/>
          <w:szCs w:val="32"/>
          <w:highlight w:val="yellow"/>
          <w:shd w:val="clear" w:color="auto" w:fill="FFFFFF"/>
        </w:rPr>
      </w:pPr>
    </w:p>
    <w:tbl>
      <w:tblPr>
        <w:tblStyle w:val="7"/>
        <w:tblW w:w="8531" w:type="dxa"/>
        <w:tblInd w:w="0" w:type="dxa"/>
        <w:tblLayout w:type="fixed"/>
        <w:tblCellMar>
          <w:top w:w="0" w:type="dxa"/>
          <w:left w:w="108" w:type="dxa"/>
          <w:bottom w:w="0" w:type="dxa"/>
          <w:right w:w="108" w:type="dxa"/>
        </w:tblCellMar>
      </w:tblPr>
      <w:tblGrid>
        <w:gridCol w:w="1132"/>
        <w:gridCol w:w="660"/>
        <w:gridCol w:w="750"/>
        <w:gridCol w:w="789"/>
        <w:gridCol w:w="723"/>
        <w:gridCol w:w="792"/>
        <w:gridCol w:w="873"/>
        <w:gridCol w:w="641"/>
        <w:gridCol w:w="641"/>
        <w:gridCol w:w="806"/>
        <w:gridCol w:w="724"/>
      </w:tblGrid>
      <w:tr>
        <w:tblPrEx>
          <w:tblCellMar>
            <w:top w:w="0" w:type="dxa"/>
            <w:left w:w="108" w:type="dxa"/>
            <w:bottom w:w="0" w:type="dxa"/>
            <w:right w:w="108" w:type="dxa"/>
          </w:tblCellMar>
        </w:tblPrEx>
        <w:trPr>
          <w:trHeight w:val="799"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410"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农村公路养护工程</w:t>
            </w:r>
          </w:p>
        </w:tc>
        <w:tc>
          <w:tcPr>
            <w:tcW w:w="789" w:type="dxa"/>
            <w:tcBorders>
              <w:top w:val="nil"/>
              <w:left w:val="nil"/>
              <w:bottom w:val="single" w:color="auto" w:sz="4" w:space="0"/>
              <w:right w:val="single" w:color="auto" w:sz="4" w:space="0"/>
            </w:tcBorders>
            <w:vAlign w:val="center"/>
          </w:tcPr>
          <w:p>
            <w:pPr>
              <w:spacing w:before="100" w:beforeAutospacing="1" w:after="100" w:afterAutospacing="1"/>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515"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50023122T000002046685</w:t>
            </w:r>
          </w:p>
        </w:tc>
        <w:tc>
          <w:tcPr>
            <w:tcW w:w="873" w:type="dxa"/>
            <w:tcBorders>
              <w:top w:val="nil"/>
              <w:left w:val="nil"/>
              <w:bottom w:val="single" w:color="auto" w:sz="4" w:space="0"/>
              <w:right w:val="single" w:color="auto" w:sz="4" w:space="0"/>
            </w:tcBorders>
            <w:vAlign w:val="center"/>
          </w:tcPr>
          <w:p>
            <w:pPr>
              <w:spacing w:before="100" w:beforeAutospacing="1" w:after="100" w:afterAutospacing="1"/>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1282"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806" w:type="dxa"/>
            <w:tcBorders>
              <w:top w:val="nil"/>
              <w:left w:val="nil"/>
              <w:bottom w:val="single" w:color="auto" w:sz="4" w:space="0"/>
              <w:right w:val="single" w:color="auto" w:sz="4" w:space="0"/>
            </w:tcBorders>
            <w:vAlign w:val="center"/>
          </w:tcPr>
          <w:p>
            <w:pPr>
              <w:spacing w:before="100" w:beforeAutospacing="1" w:after="100" w:afterAutospacing="1"/>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24" w:type="dxa"/>
            <w:tcBorders>
              <w:top w:val="nil"/>
              <w:left w:val="nil"/>
              <w:bottom w:val="single" w:color="auto" w:sz="4" w:space="0"/>
              <w:right w:val="single" w:color="auto" w:sz="4" w:space="0"/>
            </w:tcBorders>
            <w:vAlign w:val="center"/>
          </w:tcPr>
          <w:p>
            <w:pPr>
              <w:spacing w:before="100" w:beforeAutospacing="1" w:after="100" w:afterAutospacing="1"/>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410"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515"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1282"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79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39"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515"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514"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64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80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72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6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39"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515"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1514"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64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80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2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6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39"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515"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1514"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6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39"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515"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1514"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3331"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3029" w:type="dxa"/>
            <w:gridSpan w:val="4"/>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2171" w:type="dxa"/>
            <w:gridSpan w:val="3"/>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3331" w:type="dxa"/>
            <w:gridSpan w:val="4"/>
            <w:tcBorders>
              <w:top w:val="single" w:color="auto" w:sz="4" w:space="0"/>
              <w:left w:val="single" w:color="auto" w:sz="4" w:space="0"/>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农村公路养护工程</w:t>
            </w:r>
          </w:p>
        </w:tc>
        <w:tc>
          <w:tcPr>
            <w:tcW w:w="3029" w:type="dxa"/>
            <w:gridSpan w:val="4"/>
            <w:tcBorders>
              <w:top w:val="single" w:color="auto" w:sz="4" w:space="0"/>
              <w:left w:val="nil"/>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农村公路养护工程</w:t>
            </w:r>
          </w:p>
          <w:p>
            <w:pPr>
              <w:widowControl w:val="0"/>
              <w:ind w:firstLine="200" w:firstLineChars="100"/>
              <w:jc w:val="right"/>
              <w:rPr>
                <w:rFonts w:hint="default" w:ascii="Times New Roman" w:hAnsi="Times New Roman" w:eastAsia="方正仿宋_GBK"/>
                <w:color w:val="000000"/>
                <w:kern w:val="2"/>
                <w:sz w:val="20"/>
                <w:szCs w:val="20"/>
              </w:rPr>
            </w:pPr>
          </w:p>
        </w:tc>
        <w:tc>
          <w:tcPr>
            <w:tcW w:w="2171" w:type="dxa"/>
            <w:gridSpan w:val="3"/>
            <w:tcBorders>
              <w:top w:val="single" w:color="auto" w:sz="4" w:space="0"/>
              <w:left w:val="nil"/>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农村公路养护工程</w:t>
            </w:r>
          </w:p>
        </w:tc>
      </w:tr>
      <w:tr>
        <w:tblPrEx>
          <w:tblCellMar>
            <w:top w:w="0" w:type="dxa"/>
            <w:left w:w="108" w:type="dxa"/>
            <w:bottom w:w="0" w:type="dxa"/>
            <w:right w:w="108" w:type="dxa"/>
          </w:tblCellMar>
        </w:tblPrEx>
        <w:trPr>
          <w:trHeight w:val="600" w:hRule="atLeast"/>
        </w:trPr>
        <w:tc>
          <w:tcPr>
            <w:tcW w:w="8531"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0"/>
                <w:szCs w:val="20"/>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66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75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78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72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79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87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64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64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80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72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6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75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6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5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6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5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保障农村公路养护工作</w:t>
            </w:r>
          </w:p>
        </w:tc>
        <w:tc>
          <w:tcPr>
            <w:tcW w:w="6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5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7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6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5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32"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66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75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223458</w:t>
            </w:r>
          </w:p>
        </w:tc>
        <w:tc>
          <w:tcPr>
            <w:tcW w:w="72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223458</w:t>
            </w:r>
          </w:p>
        </w:tc>
        <w:tc>
          <w:tcPr>
            <w:tcW w:w="7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7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4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80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2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bl>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spacing w:before="100" w:beforeAutospacing="1" w:after="100" w:afterAutospacing="1"/>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我单位未组织未开展绩效评价。</w:t>
      </w:r>
    </w:p>
    <w:p>
      <w:pPr>
        <w:pStyle w:val="11"/>
        <w:tabs>
          <w:tab w:val="left" w:pos="6602"/>
        </w:tabs>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r>
        <w:rPr>
          <w:rFonts w:ascii="楷体" w:hAnsi="楷体" w:eastAsia="楷体" w:cs="楷体"/>
          <w:b/>
          <w:bCs/>
          <w:sz w:val="32"/>
          <w:szCs w:val="32"/>
          <w:shd w:val="clear" w:color="auto" w:fill="FFFFFF"/>
        </w:rPr>
        <w:tab/>
      </w:r>
    </w:p>
    <w:p>
      <w:pPr>
        <w:pStyle w:val="6"/>
        <w:shd w:val="clear" w:color="auto" w:fill="FFFFFF"/>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ind w:firstLine="643" w:firstLineChars="200"/>
        <w:rPr>
          <w:rFonts w:hint="default" w:ascii="方正仿宋_GBK" w:hAnsi="方正仿宋_GBK" w:eastAsia="方正仿宋_GBK" w:cs="方正仿宋_GBK"/>
          <w:b/>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11"/>
        <w:autoSpaceDE w:val="0"/>
        <w:spacing w:before="100" w:beforeAutospacing="1" w:after="100" w:afterAutospacing="1"/>
        <w:ind w:firstLine="640"/>
        <w:rPr>
          <w:rStyle w:val="10"/>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ascii="Times New Roman" w:hAnsi="Times New Roman" w:eastAsia="方正仿宋_GBK"/>
          <w:kern w:val="2"/>
          <w:sz w:val="32"/>
          <w:szCs w:val="32"/>
        </w:rPr>
        <w:t>023-74577588。</w:t>
      </w:r>
    </w:p>
    <w:p>
      <w:pPr>
        <w:shd w:val="clear" w:color="060000" w:fill="FFFFFF"/>
        <w:spacing w:line="15" w:lineRule="atLeast"/>
        <w:ind w:firstLine="640" w:firstLineChars="200"/>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5000" w:type="pct"/>
        <w:tblInd w:w="0" w:type="dxa"/>
        <w:tblLayout w:type="autofit"/>
        <w:tblCellMar>
          <w:top w:w="0" w:type="dxa"/>
          <w:left w:w="0" w:type="dxa"/>
          <w:bottom w:w="0" w:type="dxa"/>
          <w:right w:w="0" w:type="dxa"/>
        </w:tblCellMar>
      </w:tblPr>
      <w:tblGrid>
        <w:gridCol w:w="4465"/>
        <w:gridCol w:w="3699"/>
        <w:gridCol w:w="4204"/>
        <w:gridCol w:w="295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1207" w:type="pct"/>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964" w:type="pct"/>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垫江县新民镇人民政府（本级）</w:t>
            </w:r>
          </w:p>
        </w:tc>
        <w:tc>
          <w:tcPr>
            <w:tcW w:w="1372" w:type="pct"/>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964" w:type="pct"/>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2,653.39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3,475.22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3,509.52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3,509.52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3,509.52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垫江县新民镇人民政府（本级）</w:t>
            </w:r>
          </w:p>
        </w:tc>
        <w:tc>
          <w:tcPr>
            <w:tcW w:w="145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3,475.22</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3,475.22</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795.22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垫江县新民镇人民政府（本级） </w:t>
            </w: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3,509.52</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1,243.94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2,265.57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795.22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3098"/>
        <w:gridCol w:w="1587"/>
        <w:gridCol w:w="3319"/>
        <w:gridCol w:w="1768"/>
        <w:gridCol w:w="1768"/>
        <w:gridCol w:w="1768"/>
        <w:gridCol w:w="2014"/>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垫江县新民镇人民政府（本级）</w:t>
            </w: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2,653.39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810.34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3,475.22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2,687.68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3,509.52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2,687.68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垫江县新民镇人民政府（本级）</w:t>
            </w:r>
          </w:p>
        </w:tc>
        <w:tc>
          <w:tcPr>
            <w:tcW w:w="329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2,687.68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1,243.94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1,443.74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174.88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174.88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垫江县新民镇人民政府（本级）</w:t>
            </w: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751.10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392.81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1,143.91</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垫江县新民镇人民政府（本级）</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821.84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821.84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821.84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垫江县新民镇人民政府（本级）</w:t>
            </w: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5000" w:type="pct"/>
        <w:tblInd w:w="0" w:type="dxa"/>
        <w:tblLayout w:type="autofit"/>
        <w:tblCellMar>
          <w:top w:w="0" w:type="dxa"/>
          <w:left w:w="170" w:type="dxa"/>
          <w:bottom w:w="0" w:type="dxa"/>
          <w:right w:w="170" w:type="dxa"/>
        </w:tblCellMar>
      </w:tblPr>
      <w:tblGrid>
        <w:gridCol w:w="3447"/>
        <w:gridCol w:w="2620"/>
        <w:gridCol w:w="2574"/>
        <w:gridCol w:w="3984"/>
        <w:gridCol w:w="2697"/>
      </w:tblGrid>
      <w:tr>
        <w:tblPrEx>
          <w:tblCellMar>
            <w:top w:w="0" w:type="dxa"/>
            <w:left w:w="170" w:type="dxa"/>
            <w:bottom w:w="0" w:type="dxa"/>
            <w:right w:w="170" w:type="dxa"/>
          </w:tblCellMar>
        </w:tblPrEx>
        <w:trPr>
          <w:trHeight w:val="343" w:hRule="atLeast"/>
        </w:trPr>
        <w:tc>
          <w:tcPr>
            <w:tcW w:w="5000" w:type="pct"/>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5" w:type="pct"/>
            <w:tcMar>
              <w:top w:w="15" w:type="dxa"/>
              <w:left w:w="15" w:type="dxa"/>
              <w:right w:w="15" w:type="dxa"/>
            </w:tcMar>
            <w:vAlign w:val="bottom"/>
          </w:tcPr>
          <w:p>
            <w:pPr>
              <w:spacing w:line="280" w:lineRule="exact"/>
              <w:rPr>
                <w:rFonts w:hint="default" w:cs="宋体"/>
                <w:color w:val="000000"/>
                <w:kern w:val="2"/>
                <w:sz w:val="20"/>
                <w:szCs w:val="20"/>
              </w:rPr>
            </w:pPr>
          </w:p>
        </w:tc>
        <w:tc>
          <w:tcPr>
            <w:tcW w:w="855" w:type="pct"/>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300" w:type="pct"/>
            <w:tcMar>
              <w:top w:w="15" w:type="dxa"/>
              <w:left w:w="15" w:type="dxa"/>
              <w:right w:w="15" w:type="dxa"/>
            </w:tcMar>
            <w:vAlign w:val="bottom"/>
          </w:tcPr>
          <w:p>
            <w:pPr>
              <w:spacing w:line="280" w:lineRule="exact"/>
              <w:rPr>
                <w:rFonts w:hint="default" w:cs="宋体"/>
                <w:color w:val="000000"/>
                <w:kern w:val="2"/>
                <w:sz w:val="20"/>
                <w:szCs w:val="20"/>
              </w:rPr>
            </w:pPr>
          </w:p>
        </w:tc>
        <w:tc>
          <w:tcPr>
            <w:tcW w:w="880" w:type="pct"/>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80" w:type="pct"/>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垫江县新民镇人民政府（本级）</w:t>
            </w:r>
          </w:p>
        </w:tc>
        <w:tc>
          <w:tcPr>
            <w:tcW w:w="840" w:type="pct"/>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300" w:type="pct"/>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880" w:type="pct"/>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100.03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7.14</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100.03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w:t>
            </w:r>
            <w:r>
              <w:rPr>
                <w:rFonts w:ascii="Times New Roman" w:hAnsi="Times New Roman"/>
                <w:color w:val="000000"/>
                <w:sz w:val="18"/>
              </w:rPr>
              <w:t xml:space="preserve"> </w:t>
            </w:r>
          </w:p>
        </w:tc>
        <w:tc>
          <w:tcPr>
            <w:tcW w:w="13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88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spacing w:before="100" w:beforeAutospacing="1" w:after="100" w:afterAutospacing="1"/>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rect id="文本框 2" o:spid="_x0000_s2051" o:spt="1"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rect id="文本框 127" o:spid="_x0000_s2050" o:spt="1"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rect>
      </w:pict>
    </w:r>
    <w:r>
      <w:rPr>
        <w:rFonts w:hint="default"/>
      </w:rPr>
      <w:pict>
        <v:rect id="文本框 126" o:spid="_x0000_s2049"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3"/>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94A6F"/>
    <w:rsid w:val="000B272E"/>
    <w:rsid w:val="000C01CC"/>
    <w:rsid w:val="000D7702"/>
    <w:rsid w:val="001379CB"/>
    <w:rsid w:val="001A7E65"/>
    <w:rsid w:val="001B1D67"/>
    <w:rsid w:val="00203111"/>
    <w:rsid w:val="002457B6"/>
    <w:rsid w:val="002563CC"/>
    <w:rsid w:val="00261065"/>
    <w:rsid w:val="002C3ED5"/>
    <w:rsid w:val="002D0E5A"/>
    <w:rsid w:val="002E5443"/>
    <w:rsid w:val="0032196C"/>
    <w:rsid w:val="00432C42"/>
    <w:rsid w:val="00435EBB"/>
    <w:rsid w:val="004417C6"/>
    <w:rsid w:val="00472EDA"/>
    <w:rsid w:val="004C12FF"/>
    <w:rsid w:val="005438A4"/>
    <w:rsid w:val="00550ABE"/>
    <w:rsid w:val="005B023C"/>
    <w:rsid w:val="006000E5"/>
    <w:rsid w:val="00600322"/>
    <w:rsid w:val="006107D5"/>
    <w:rsid w:val="006137D7"/>
    <w:rsid w:val="00634FA8"/>
    <w:rsid w:val="0063613A"/>
    <w:rsid w:val="006A45CD"/>
    <w:rsid w:val="006E2034"/>
    <w:rsid w:val="00712ACF"/>
    <w:rsid w:val="00732392"/>
    <w:rsid w:val="00792285"/>
    <w:rsid w:val="007A0D2E"/>
    <w:rsid w:val="007A3314"/>
    <w:rsid w:val="007B2DF5"/>
    <w:rsid w:val="007B419D"/>
    <w:rsid w:val="007C338A"/>
    <w:rsid w:val="007E29AA"/>
    <w:rsid w:val="00810F13"/>
    <w:rsid w:val="00865859"/>
    <w:rsid w:val="008B2782"/>
    <w:rsid w:val="008B47A8"/>
    <w:rsid w:val="008F0BBC"/>
    <w:rsid w:val="009409F1"/>
    <w:rsid w:val="00944711"/>
    <w:rsid w:val="009821E3"/>
    <w:rsid w:val="00984852"/>
    <w:rsid w:val="00992794"/>
    <w:rsid w:val="009B5551"/>
    <w:rsid w:val="009B67B8"/>
    <w:rsid w:val="009B7272"/>
    <w:rsid w:val="00A03B1E"/>
    <w:rsid w:val="00A05523"/>
    <w:rsid w:val="00A11222"/>
    <w:rsid w:val="00A67739"/>
    <w:rsid w:val="00A820B7"/>
    <w:rsid w:val="00AC5566"/>
    <w:rsid w:val="00AC642B"/>
    <w:rsid w:val="00B03CCD"/>
    <w:rsid w:val="00B36217"/>
    <w:rsid w:val="00B40138"/>
    <w:rsid w:val="00BC20F3"/>
    <w:rsid w:val="00BF5A85"/>
    <w:rsid w:val="00C10871"/>
    <w:rsid w:val="00C307F6"/>
    <w:rsid w:val="00C373DF"/>
    <w:rsid w:val="00C96B11"/>
    <w:rsid w:val="00CC6B99"/>
    <w:rsid w:val="00CF26E2"/>
    <w:rsid w:val="00D12E11"/>
    <w:rsid w:val="00D9313C"/>
    <w:rsid w:val="00DF7706"/>
    <w:rsid w:val="00E00042"/>
    <w:rsid w:val="00E05175"/>
    <w:rsid w:val="00E262D5"/>
    <w:rsid w:val="00E5363E"/>
    <w:rsid w:val="00E615EA"/>
    <w:rsid w:val="00E654E2"/>
    <w:rsid w:val="00E72BD4"/>
    <w:rsid w:val="00E76362"/>
    <w:rsid w:val="00E85844"/>
    <w:rsid w:val="00EB1BD0"/>
    <w:rsid w:val="00EE3D91"/>
    <w:rsid w:val="00F137D3"/>
    <w:rsid w:val="00F13C36"/>
    <w:rsid w:val="00F173E2"/>
    <w:rsid w:val="00F21803"/>
    <w:rsid w:val="00F23C68"/>
    <w:rsid w:val="00F32C53"/>
    <w:rsid w:val="00F3555A"/>
    <w:rsid w:val="00F40155"/>
    <w:rsid w:val="00F46B92"/>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394FED"/>
    <w:rsid w:val="086C12F4"/>
    <w:rsid w:val="08BA052C"/>
    <w:rsid w:val="08DB07BA"/>
    <w:rsid w:val="0969353F"/>
    <w:rsid w:val="098305D0"/>
    <w:rsid w:val="098A0877"/>
    <w:rsid w:val="0A5C4B69"/>
    <w:rsid w:val="0A86124A"/>
    <w:rsid w:val="0AB54CC0"/>
    <w:rsid w:val="0B9335CE"/>
    <w:rsid w:val="0B977B3C"/>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A25DBC"/>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228B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35445D"/>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5110</Words>
  <Characters>29132</Characters>
  <Lines>242</Lines>
  <Paragraphs>68</Paragraphs>
  <TotalTime>20</TotalTime>
  <ScaleCrop>false</ScaleCrop>
  <LinksUpToDate>false</LinksUpToDate>
  <CharactersWithSpaces>34174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2025-09-17T10:16:00Z</cp:lastPrinted>
  <dcterms:modified xsi:type="dcterms:W3CDTF">2025-09-18T05:39:05Z</dcterms:modified>
  <dc:title>垫江县新民镇人民政府（本级）</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