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EC8" w:rsidRDefault="00F74886">
      <w:pPr>
        <w:pStyle w:val="a7"/>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垫江县新民镇产业融合发展服务中心</w:t>
      </w:r>
    </w:p>
    <w:p w:rsidR="003F1EC8" w:rsidRDefault="00F74886">
      <w:pPr>
        <w:pStyle w:val="a7"/>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shd w:val="clear" w:color="auto" w:fill="FFFFFF"/>
        </w:rPr>
        <w:t>2024年度决算公开说明</w:t>
      </w:r>
    </w:p>
    <w:p w:rsidR="003F1EC8" w:rsidRDefault="00F74886">
      <w:pPr>
        <w:pStyle w:val="a7"/>
        <w:shd w:val="clear" w:color="auto" w:fill="FFFFFF"/>
        <w:ind w:firstLineChars="200" w:firstLine="643"/>
        <w:rPr>
          <w:rFonts w:ascii="黑体" w:eastAsia="黑体" w:hAnsi="黑体" w:cs="黑体" w:hint="default"/>
          <w:sz w:val="32"/>
          <w:szCs w:val="32"/>
        </w:rPr>
      </w:pPr>
      <w:r>
        <w:rPr>
          <w:rStyle w:val="a9"/>
          <w:rFonts w:ascii="黑体" w:eastAsia="黑体" w:hAnsi="黑体" w:cs="黑体"/>
          <w:sz w:val="32"/>
          <w:szCs w:val="32"/>
          <w:shd w:val="clear" w:color="auto" w:fill="FFFFFF"/>
        </w:rPr>
        <w:t>一、单位基本情况</w:t>
      </w:r>
    </w:p>
    <w:p w:rsidR="003F1EC8" w:rsidRDefault="00F74886">
      <w:pPr>
        <w:pStyle w:val="a7"/>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rsidR="003F1EC8" w:rsidRPr="004F3F39" w:rsidRDefault="004F3F39">
      <w:pPr>
        <w:pStyle w:val="a7"/>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4F3F39">
        <w:rPr>
          <w:rFonts w:ascii="方正仿宋_GBK" w:eastAsia="方正仿宋_GBK" w:hAnsi="方正仿宋_GBK" w:cs="方正仿宋_GBK"/>
          <w:sz w:val="32"/>
          <w:szCs w:val="32"/>
          <w:shd w:val="clear" w:color="auto" w:fill="FFFFFF"/>
        </w:rPr>
        <w:t>围绕农文旅融合功能地区的发展定位，推动特色农业、旅游休闲等产业的发展，为相关产业的发展、延伸、升级以及融合提供服务，承担与产业发展相适应的基础设施建设和配套服务业集聚融合相关工作，负责组织实施产业发展与乡村振兴战略融合相关工作。</w:t>
      </w:r>
    </w:p>
    <w:p w:rsidR="003F1EC8" w:rsidRDefault="00F74886">
      <w:pPr>
        <w:pStyle w:val="a7"/>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rsidR="003F1EC8" w:rsidRPr="00685A40" w:rsidRDefault="00F74886">
      <w:pPr>
        <w:pStyle w:val="a7"/>
        <w:shd w:val="clear" w:color="auto" w:fill="FFFFFF"/>
        <w:ind w:firstLineChars="200" w:firstLine="640"/>
        <w:rPr>
          <w:rFonts w:ascii="方正仿宋_GBK" w:eastAsia="方正仿宋_GBK" w:hAnsi="方正仿宋_GBK" w:cs="方正仿宋_GBK" w:hint="default"/>
          <w:sz w:val="32"/>
          <w:szCs w:val="32"/>
          <w:shd w:val="clear" w:color="auto" w:fill="FFFFFF"/>
        </w:rPr>
      </w:pPr>
      <w:r w:rsidRPr="00685A40">
        <w:rPr>
          <w:rFonts w:ascii="方正仿宋_GBK" w:eastAsia="方正仿宋_GBK" w:hAnsi="方正仿宋_GBK" w:cs="方正仿宋_GBK"/>
          <w:sz w:val="32"/>
          <w:szCs w:val="32"/>
          <w:shd w:val="clear" w:color="auto" w:fill="FFFFFF"/>
        </w:rPr>
        <w:t>本单位为垫江县新民镇产业融合发展服务中心，所属二级预算单位，单位类型为公益一类事业单位，本单位现有在职职工4人。</w:t>
      </w:r>
    </w:p>
    <w:p w:rsidR="003F1EC8" w:rsidRDefault="00F74886">
      <w:pPr>
        <w:pStyle w:val="a7"/>
        <w:shd w:val="clear" w:color="auto" w:fill="FFFFFF"/>
        <w:spacing w:before="0" w:beforeAutospacing="0" w:after="0" w:afterAutospacing="0" w:line="596" w:lineRule="exact"/>
        <w:ind w:firstLineChars="200" w:firstLine="643"/>
        <w:rPr>
          <w:rFonts w:ascii="黑体" w:eastAsia="黑体" w:hAnsi="黑体" w:cs="黑体" w:hint="default"/>
          <w:b/>
          <w:sz w:val="32"/>
          <w:szCs w:val="32"/>
          <w:shd w:val="clear" w:color="auto" w:fill="FFFFFF"/>
        </w:rPr>
      </w:pPr>
      <w:r>
        <w:rPr>
          <w:rStyle w:val="a9"/>
          <w:rFonts w:ascii="黑体" w:eastAsia="黑体" w:hAnsi="黑体" w:cs="黑体"/>
          <w:sz w:val="32"/>
          <w:szCs w:val="32"/>
          <w:shd w:val="clear" w:color="auto" w:fill="FFFFFF"/>
        </w:rPr>
        <w:t>二、单位决算收支情况说明</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3F1EC8" w:rsidRDefault="00F74886">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2024年度收入总计31.11万元，支出总计</w:t>
      </w:r>
      <w:r>
        <w:rPr>
          <w:rFonts w:ascii="方正仿宋_GBK" w:eastAsia="方正仿宋_GBK" w:hAnsi="方正仿宋_GBK" w:cs="方正仿宋_GBK"/>
          <w:sz w:val="32"/>
          <w:szCs w:val="32"/>
        </w:rPr>
        <w:t>31.11</w:t>
      </w:r>
      <w:r>
        <w:rPr>
          <w:rFonts w:ascii="方正仿宋_GBK" w:eastAsia="方正仿宋_GBK" w:hAnsi="方正仿宋_GBK" w:cs="方正仿宋_GBK"/>
          <w:sz w:val="32"/>
          <w:szCs w:val="32"/>
          <w:shd w:val="clear" w:color="auto" w:fill="FFFFFF"/>
        </w:rPr>
        <w:t>万元。收、支与2023年度相比，增加31.11万元，增</w:t>
      </w:r>
      <w:r>
        <w:rPr>
          <w:rFonts w:ascii="方正仿宋_GBK" w:eastAsia="方正仿宋_GBK" w:hAnsi="方正仿宋_GBK" w:cs="方正仿宋_GBK"/>
          <w:sz w:val="32"/>
          <w:szCs w:val="32"/>
          <w:shd w:val="clear" w:color="auto" w:fill="FFFFFF"/>
        </w:rPr>
        <w:lastRenderedPageBreak/>
        <w:t>长100.00%，主要原因是本单位为202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年5月新增单位，无上年数。</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2024年度收入合计31.11万元，与2023年度相比，增加31.11万元，增长100.00%，主要原因是本单位为2024年5月新增单位，无上年数。其中：财政拨款收入</w:t>
      </w:r>
      <w:r>
        <w:rPr>
          <w:rFonts w:ascii="方正仿宋_GBK" w:eastAsia="方正仿宋_GBK" w:hAnsi="方正仿宋_GBK" w:cs="方正仿宋_GBK"/>
          <w:sz w:val="32"/>
          <w:szCs w:val="32"/>
        </w:rPr>
        <w:t>31.11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31.11</w:t>
      </w:r>
      <w:r>
        <w:rPr>
          <w:rFonts w:ascii="方正仿宋_GBK" w:eastAsia="方正仿宋_GBK" w:hAnsi="方正仿宋_GBK" w:cs="方正仿宋_GBK"/>
          <w:sz w:val="32"/>
          <w:szCs w:val="32"/>
          <w:shd w:val="clear" w:color="auto" w:fill="FFFFFF"/>
        </w:rPr>
        <w:t>万元，与2023年度相比，增加31.11万元，增长100.00%，主要原因是本单位为2024年5月新增单位，无上年数。其中：基本支出</w:t>
      </w:r>
      <w:r>
        <w:rPr>
          <w:rFonts w:ascii="方正仿宋_GBK" w:eastAsia="方正仿宋_GBK" w:hAnsi="方正仿宋_GBK" w:cs="方正仿宋_GBK"/>
          <w:sz w:val="32"/>
          <w:szCs w:val="32"/>
        </w:rPr>
        <w:t>31.11</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万元，与2023年度相比，无增减，主要原因是本单位为2024年5月新增单位，无上年数。</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2024年度财政拨款收、支总计31.11万元。与2023年相比，财政拨款收、支总计各增加31.11万元，增长100.00%。主要原因是本单位为2024年5月新增单位，无上年数。</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31.11</w:t>
      </w:r>
      <w:r>
        <w:rPr>
          <w:rFonts w:ascii="方正仿宋_GBK" w:eastAsia="方正仿宋_GBK" w:hAnsi="方正仿宋_GBK" w:cs="方正仿宋_GBK"/>
          <w:sz w:val="32"/>
          <w:szCs w:val="32"/>
          <w:shd w:val="clear" w:color="auto" w:fill="FFFFFF"/>
        </w:rPr>
        <w:t>万元，与2023年度相比，增加31.11万元，增长100.00%。主要原因是本单位为2024年5月新增单位，无上年数。较年初预算数增加31.11万元，增长100.00%。主要原因是本单位为2024年5月新增单位，无上年数。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31.11</w:t>
      </w:r>
      <w:r>
        <w:rPr>
          <w:rFonts w:ascii="方正仿宋_GBK" w:eastAsia="方正仿宋_GBK" w:hAnsi="方正仿宋_GBK" w:cs="方正仿宋_GBK"/>
          <w:sz w:val="32"/>
          <w:szCs w:val="32"/>
          <w:shd w:val="clear" w:color="auto" w:fill="FFFFFF"/>
        </w:rPr>
        <w:t>万元，与2023年度相比，增加31.11万元，增长100.00%。主要原因是本单位为2024年5月新增单位，无上年数。较年初预算数增加31.11万元，增长100.00%。主要原因是本单位为2024年5月新增单位，无上年数。</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万元，与2023年度相比，无增减，主要原因是本单位2024年5月新增单位，无上年数，收支平衡无结转结余。</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lastRenderedPageBreak/>
        <w:t>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1</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0.98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3.16</w:t>
      </w:r>
      <w:r>
        <w:rPr>
          <w:rFonts w:ascii="方正仿宋_GBK" w:eastAsia="方正仿宋_GBK" w:hAnsi="方正仿宋_GBK" w:cs="方正仿宋_GBK"/>
          <w:sz w:val="32"/>
          <w:szCs w:val="32"/>
          <w:shd w:val="clear" w:color="auto" w:fill="FFFFFF"/>
        </w:rPr>
        <w:t>%，较年初预算数增加0.98万元，增长100.00%，主要原因本单位为2024年5月新增单位，年初未编制预算。</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）农林水支出</w:t>
      </w:r>
      <w:r>
        <w:rPr>
          <w:rFonts w:ascii="方正仿宋_GBK" w:eastAsia="方正仿宋_GBK" w:hAnsi="方正仿宋_GBK" w:cs="方正仿宋_GBK"/>
          <w:sz w:val="32"/>
          <w:szCs w:val="32"/>
        </w:rPr>
        <w:t>27.61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88.74</w:t>
      </w:r>
      <w:r>
        <w:rPr>
          <w:rFonts w:ascii="方正仿宋_GBK" w:eastAsia="方正仿宋_GBK" w:hAnsi="方正仿宋_GBK" w:cs="方正仿宋_GBK"/>
          <w:sz w:val="32"/>
          <w:szCs w:val="32"/>
          <w:shd w:val="clear" w:color="auto" w:fill="FFFFFF"/>
        </w:rPr>
        <w:t>%，较年初预算数增加27.61万元，增长100.00%，主要原因是本单位为2024年5月新增单位，年初未编制预算。</w:t>
      </w:r>
    </w:p>
    <w:p w:rsidR="003F1EC8" w:rsidRDefault="00F74886">
      <w:pPr>
        <w:spacing w:before="100" w:beforeAutospacing="1" w:after="100" w:afterAutospacing="1"/>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住房保障支出2.52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8.10</w:t>
      </w:r>
      <w:r>
        <w:rPr>
          <w:rFonts w:ascii="方正仿宋_GBK" w:eastAsia="方正仿宋_GBK" w:hAnsi="方正仿宋_GBK" w:cs="方正仿宋_GBK"/>
          <w:sz w:val="32"/>
          <w:szCs w:val="32"/>
          <w:shd w:val="clear" w:color="auto" w:fill="FFFFFF"/>
        </w:rPr>
        <w:t>%，较年初预算数增加2.52万元，增长100.00%，主要原因是本单位为2024年5月新增单位，年初未编制预算。</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2024年度一般公共财政拨款基本支出</w:t>
      </w:r>
      <w:r>
        <w:rPr>
          <w:rFonts w:ascii="方正仿宋_GBK" w:eastAsia="方正仿宋_GBK" w:hAnsi="方正仿宋_GBK" w:cs="方正仿宋_GBK"/>
          <w:sz w:val="32"/>
          <w:szCs w:val="32"/>
        </w:rPr>
        <w:t>31.11</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29.11</w:t>
      </w:r>
      <w:r>
        <w:rPr>
          <w:rFonts w:ascii="方正仿宋_GBK" w:eastAsia="方正仿宋_GBK" w:hAnsi="方正仿宋_GBK" w:cs="方正仿宋_GBK"/>
          <w:sz w:val="32"/>
          <w:szCs w:val="32"/>
          <w:shd w:val="clear" w:color="auto" w:fill="FFFFFF"/>
        </w:rPr>
        <w:t>万元，与2023年度相比，增加29.11万元，增长100.00%，主要原因是本单位为2024年5月新增单位，无上年数。人员经费用途主要包括</w:t>
      </w:r>
      <w:r>
        <w:rPr>
          <w:rFonts w:ascii="方正仿宋_GBK" w:eastAsia="方正仿宋_GBK" w:hAnsi="方正仿宋_GBK" w:cs="方正仿宋_GBK" w:hint="default"/>
          <w:sz w:val="32"/>
          <w:szCs w:val="32"/>
          <w:shd w:val="clear" w:color="auto" w:fill="FFFFFF"/>
        </w:rPr>
        <w:t>基本工资8.76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津贴补贴1.45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绩效工资15.39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机关事业单位基本养老保险缴费0.93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职业年金缴费0.05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住房公积金2.52</w:t>
      </w:r>
      <w:r>
        <w:rPr>
          <w:rFonts w:ascii="方正仿宋_GBK" w:eastAsia="方正仿宋_GBK" w:hAnsi="方正仿宋_GBK" w:cs="方正仿宋_GBK"/>
          <w:sz w:val="32"/>
          <w:szCs w:val="32"/>
          <w:shd w:val="clear" w:color="auto" w:fill="FFFFFF"/>
        </w:rPr>
        <w:t>万元。公用经费</w:t>
      </w:r>
      <w:r>
        <w:rPr>
          <w:rFonts w:ascii="方正仿宋_GBK" w:eastAsia="方正仿宋_GBK" w:hAnsi="方正仿宋_GBK" w:cs="方正仿宋_GBK"/>
          <w:sz w:val="32"/>
          <w:szCs w:val="32"/>
        </w:rPr>
        <w:t>2.00</w:t>
      </w:r>
      <w:r>
        <w:rPr>
          <w:rFonts w:ascii="方正仿宋_GBK" w:eastAsia="方正仿宋_GBK" w:hAnsi="方正仿宋_GBK" w:cs="方正仿宋_GBK"/>
          <w:sz w:val="32"/>
          <w:szCs w:val="32"/>
          <w:shd w:val="clear" w:color="auto" w:fill="FFFFFF"/>
        </w:rPr>
        <w:t>万元，与2023年度相比，增加2.00</w:t>
      </w:r>
      <w:r>
        <w:rPr>
          <w:rFonts w:ascii="方正仿宋_GBK" w:eastAsia="方正仿宋_GBK" w:hAnsi="方正仿宋_GBK" w:cs="方正仿宋_GBK"/>
          <w:sz w:val="32"/>
          <w:szCs w:val="32"/>
          <w:shd w:val="clear" w:color="auto" w:fill="FFFFFF"/>
        </w:rPr>
        <w:lastRenderedPageBreak/>
        <w:t>万元，增长100.00%，主要原因是本单位为2024年5月新增单位，无上年数。公用经费用途主要包括</w:t>
      </w:r>
      <w:r>
        <w:rPr>
          <w:rFonts w:ascii="方正仿宋_GBK" w:eastAsia="方正仿宋_GBK" w:hAnsi="方正仿宋_GBK" w:cs="方正仿宋_GBK" w:hint="default"/>
          <w:sz w:val="32"/>
          <w:szCs w:val="32"/>
          <w:shd w:val="clear" w:color="auto" w:fill="FFFFFF"/>
        </w:rPr>
        <w:t>电费2.00</w:t>
      </w:r>
      <w:r>
        <w:rPr>
          <w:rFonts w:ascii="方正仿宋_GBK" w:eastAsia="方正仿宋_GBK" w:hAnsi="方正仿宋_GBK" w:cs="方正仿宋_GBK"/>
          <w:sz w:val="32"/>
          <w:szCs w:val="32"/>
          <w:shd w:val="clear" w:color="auto" w:fill="FFFFFF"/>
        </w:rPr>
        <w:t>万元。</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万元，与2023年度相比，无增减，主要原因是本年度无政府性基金预算财政拨款收入。本年支出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万元，与2023年度相比，无增减，主要原因是本年度无政府性基金预算财政拨款支出。本单位2024年度无政府性基金预算财政拨款收支。</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万元，本单位2024年度无国有资本经营预算财政拨款支出。</w:t>
      </w:r>
    </w:p>
    <w:p w:rsidR="003F1EC8" w:rsidRDefault="00F74886">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三、财政拨款“三公”经费情况说明</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万元，较年初预算数无增减，主要原因是本单位202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年未发生“三公”经费支出。较上年支出数无增减，主要原因是本单位本年及上年均未发生“三公”经费支出。</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（二）“三公”经费分项支出情况</w:t>
      </w:r>
    </w:p>
    <w:p w:rsidR="003F1EC8" w:rsidRDefault="00F74886">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万元，费用支出较年初预算数无增减，主要原因是年初预算数未安排因公出国（境）费用，也未发生因公出国（境）费用。较上年支出数无增减，主要原因是本单位本年及上年均未发生因公出国（境）费用。</w:t>
      </w:r>
    </w:p>
    <w:p w:rsidR="003F1EC8" w:rsidRDefault="00F74886">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万元，费用支出较年初预算数无增减，主要原因是年初预算数未安排且本年未发生公务车购置费用。较上年支出数无增减，主要原因是本单位本年及上年均未发生公务车购置费用。</w:t>
      </w:r>
    </w:p>
    <w:p w:rsidR="003F1EC8" w:rsidRDefault="00F74886">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万元，费用支出较年初预算数无增减，主要原因是年初预算数未安排且本年未发生公务车运行维护费用。较上年支出数无增减，主要原因是本单位本年及上年均未发生公务车运行维护费用。</w:t>
      </w:r>
    </w:p>
    <w:p w:rsidR="003F1EC8" w:rsidRDefault="00F74886">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eastAsia="方正仿宋_GBK" w:hAnsi="方正仿宋_GBK" w:cs="方正仿宋_GBK"/>
          <w:sz w:val="32"/>
          <w:szCs w:val="32"/>
          <w:shd w:val="clear" w:color="auto" w:fill="FFFFFF"/>
        </w:rPr>
        <w:t>。较上年支出数无增减，</w:t>
      </w:r>
      <w:r>
        <w:rPr>
          <w:rFonts w:ascii="方正仿宋_GBK" w:eastAsia="方正仿宋_GBK"/>
          <w:sz w:val="32"/>
          <w:szCs w:val="32"/>
        </w:rPr>
        <w:t>主要原因是</w:t>
      </w:r>
      <w:r>
        <w:rPr>
          <w:rFonts w:ascii="方正仿宋_GBK" w:eastAsia="方正仿宋_GBK" w:hAnsi="方正仿宋_GBK" w:cs="方正仿宋_GBK"/>
          <w:sz w:val="32"/>
          <w:szCs w:val="32"/>
          <w:shd w:val="clear" w:color="auto" w:fill="FFFFFF"/>
        </w:rPr>
        <w:t>本单位本年及上年均未发生</w:t>
      </w:r>
      <w:r>
        <w:rPr>
          <w:rFonts w:ascii="方正仿宋_GBK" w:eastAsia="方正仿宋_GBK"/>
          <w:sz w:val="32"/>
          <w:szCs w:val="32"/>
        </w:rPr>
        <w:t>公务接待费用。</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3F1EC8" w:rsidRDefault="00F74886">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万元，与2023年度相比，无变化，</w:t>
      </w:r>
      <w:r>
        <w:rPr>
          <w:rFonts w:ascii="方正仿宋_GBK" w:eastAsia="方正仿宋_GBK"/>
          <w:sz w:val="32"/>
          <w:szCs w:val="32"/>
        </w:rPr>
        <w:t>主要原因本年度无培训费支出。</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w:t>
      </w:r>
      <w:r>
        <w:rPr>
          <w:rFonts w:ascii="方正仿宋_GBK" w:eastAsia="方正仿宋_GBK" w:hAnsi="方正仿宋_GBK" w:cs="方正仿宋_GBK"/>
          <w:sz w:val="32"/>
          <w:szCs w:val="32"/>
          <w:shd w:val="clear" w:color="auto" w:fill="FFFFFF"/>
        </w:rPr>
        <w:lastRenderedPageBreak/>
        <w:t>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3F1EC8" w:rsidRDefault="00F74886">
      <w:pPr>
        <w:pStyle w:val="a7"/>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%。主要用于采购2024年度我单位未发生政府采购事项，无相关经费支出。</w:t>
      </w:r>
    </w:p>
    <w:p w:rsidR="003F1EC8" w:rsidRDefault="00F74886">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五、2024年度预算绩效管理情况说明</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3F1EC8" w:rsidRDefault="00F74886">
      <w:pPr>
        <w:pStyle w:val="Char"/>
        <w:autoSpaceDE w:val="0"/>
        <w:spacing w:line="600" w:lineRule="exact"/>
        <w:ind w:firstLineChars="200" w:firstLine="640"/>
        <w:rPr>
          <w:rFonts w:ascii="方正仿宋_GBK" w:eastAsia="方正仿宋_GBK" w:hAnsi="方正仿宋_GBK" w:cs="方正仿宋_GBK"/>
          <w:sz w:val="32"/>
          <w:szCs w:val="32"/>
          <w:highlight w:val="yellow"/>
          <w:shd w:val="clear" w:color="auto" w:fill="FFFFFF"/>
        </w:rPr>
      </w:pPr>
      <w:r>
        <w:rPr>
          <w:rFonts w:ascii="方正仿宋_GBK" w:eastAsia="方正仿宋_GBK" w:hAnsi="方正仿宋_GBK" w:cs="方正仿宋_GBK" w:hint="eastAsia"/>
          <w:sz w:val="32"/>
          <w:szCs w:val="32"/>
          <w:shd w:val="clear" w:color="auto" w:fill="FFFFFF"/>
        </w:rPr>
        <w:t>我单位202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eastAsia"/>
          <w:sz w:val="32"/>
          <w:szCs w:val="32"/>
          <w:shd w:val="clear" w:color="auto" w:fill="FFFFFF"/>
        </w:rPr>
        <w:t>年无项目支出，无单位项目自评情况。</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3F1EC8" w:rsidRDefault="00F74886">
      <w:pPr>
        <w:pStyle w:val="1"/>
        <w:autoSpaceDE w:val="0"/>
        <w:spacing w:before="100" w:beforeAutospacing="1" w:after="100" w:afterAutospacing="1"/>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3F1EC8" w:rsidRDefault="00F74886">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3F1EC8" w:rsidRDefault="00F74886">
      <w:pPr>
        <w:pStyle w:val="2"/>
        <w:autoSpaceDE w:val="0"/>
        <w:spacing w:before="100" w:beforeAutospacing="1" w:after="100" w:afterAutospacing="1"/>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3F1EC8" w:rsidRDefault="00F74886">
      <w:pPr>
        <w:pStyle w:val="2"/>
        <w:autoSpaceDE w:val="0"/>
        <w:spacing w:before="100" w:beforeAutospacing="1" w:after="100" w:afterAutospacing="1"/>
        <w:ind w:firstLine="643"/>
        <w:rPr>
          <w:rStyle w:val="a9"/>
          <w:rFonts w:ascii="方正仿宋_GBK" w:eastAsia="方正仿宋_GBK" w:hAnsi="方正仿宋_GBK" w:cs="方正仿宋_GBK"/>
          <w:b w:val="0"/>
          <w:sz w:val="32"/>
          <w:szCs w:val="32"/>
          <w:shd w:val="clear" w:color="auto" w:fill="FFFFFF"/>
        </w:rPr>
      </w:pPr>
      <w:r>
        <w:rPr>
          <w:rStyle w:val="a9"/>
          <w:rFonts w:ascii="黑体" w:eastAsia="黑体" w:hAnsi="黑体" w:cs="黑体"/>
          <w:sz w:val="32"/>
          <w:szCs w:val="32"/>
          <w:shd w:val="clear" w:color="auto" w:fill="FFFFFF"/>
        </w:rPr>
        <w:t>六、专业名词解释</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Fonts w:ascii="楷体" w:eastAsia="楷体" w:hAnsi="楷体" w:cs="楷体"/>
          <w:b/>
          <w:bCs/>
          <w:sz w:val="32"/>
          <w:szCs w:val="32"/>
          <w:shd w:val="clear" w:color="auto" w:fill="FFFFFF"/>
        </w:rPr>
        <w:lastRenderedPageBreak/>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lastRenderedPageBreak/>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w:t>
      </w:r>
      <w:r>
        <w:rPr>
          <w:rFonts w:ascii="方正仿宋_GBK" w:eastAsia="方正仿宋_GBK" w:hAnsi="方正仿宋_GBK" w:cs="方正仿宋_GBK"/>
          <w:sz w:val="32"/>
          <w:szCs w:val="32"/>
          <w:shd w:val="clear" w:color="auto" w:fill="FFFFFF"/>
        </w:rPr>
        <w:lastRenderedPageBreak/>
        <w:t>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3F1EC8" w:rsidRDefault="00F74886">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lastRenderedPageBreak/>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3F1EC8" w:rsidRDefault="00F74886">
      <w:pPr>
        <w:pStyle w:val="a7"/>
        <w:shd w:val="clear" w:color="auto" w:fill="FFFFFF"/>
        <w:ind w:firstLineChars="200" w:firstLine="643"/>
        <w:rPr>
          <w:rStyle w:val="a9"/>
          <w:rFonts w:ascii="方正仿宋_GBK" w:eastAsia="方正仿宋_GBK" w:hAnsi="方正仿宋_GBK" w:cs="方正仿宋_GBK" w:hint="default"/>
          <w:sz w:val="32"/>
          <w:szCs w:val="32"/>
          <w:shd w:val="clear" w:color="auto" w:fill="FFFFFF"/>
        </w:rPr>
      </w:pPr>
      <w:r>
        <w:rPr>
          <w:rStyle w:val="a9"/>
          <w:rFonts w:ascii="黑体" w:eastAsia="黑体" w:hAnsi="黑体" w:cs="黑体"/>
          <w:sz w:val="32"/>
          <w:szCs w:val="32"/>
          <w:shd w:val="clear" w:color="auto" w:fill="FFFFFF"/>
        </w:rPr>
        <w:t>七、决算公开联系方式及信息反馈渠道</w:t>
      </w:r>
    </w:p>
    <w:p w:rsidR="003F1EC8" w:rsidRDefault="00F74886">
      <w:pPr>
        <w:pStyle w:val="1"/>
        <w:autoSpaceDE w:val="0"/>
        <w:spacing w:before="100" w:beforeAutospacing="1" w:after="100" w:afterAutospacing="1"/>
        <w:ind w:firstLine="640"/>
        <w:rPr>
          <w:rStyle w:val="a9"/>
          <w:rFonts w:ascii="方正仿宋_GBK" w:eastAsia="方正仿宋_GBK" w:hAnsi="方正仿宋_GBK" w:cs="方正仿宋_GBK"/>
          <w:sz w:val="32"/>
          <w:szCs w:val="32"/>
          <w:shd w:val="clear" w:color="auto" w:fill="FFFF00"/>
        </w:rPr>
      </w:pPr>
      <w:r>
        <w:rPr>
          <w:rFonts w:ascii="方正仿宋_GBK" w:eastAsia="方正仿宋_GBK" w:hAnsi="方正仿宋_GBK" w:cs="方正仿宋_GBK"/>
          <w:sz w:val="32"/>
          <w:szCs w:val="32"/>
          <w:shd w:val="clear" w:color="auto" w:fill="FFFFFF"/>
        </w:rPr>
        <w:t>本单位决算公开信息反馈和联系方式：023-74577588。</w:t>
      </w:r>
    </w:p>
    <w:p w:rsidR="003F1EC8" w:rsidRDefault="003F1EC8">
      <w:pPr>
        <w:pStyle w:val="1"/>
        <w:autoSpaceDE w:val="0"/>
        <w:spacing w:before="100" w:beforeAutospacing="1" w:after="100" w:afterAutospacing="1"/>
        <w:ind w:firstLineChars="0" w:firstLine="0"/>
        <w:rPr>
          <w:rStyle w:val="a9"/>
          <w:rFonts w:ascii="方正仿宋_GBK" w:eastAsia="方正仿宋_GBK" w:hAnsi="方正仿宋_GBK" w:cs="方正仿宋_GBK"/>
          <w:sz w:val="32"/>
          <w:szCs w:val="32"/>
          <w:shd w:val="clear" w:color="auto" w:fill="FFFF00"/>
        </w:rPr>
      </w:pPr>
    </w:p>
    <w:p w:rsidR="003F1EC8" w:rsidRDefault="003F1EC8">
      <w:pPr>
        <w:pStyle w:val="1"/>
        <w:autoSpaceDE w:val="0"/>
        <w:spacing w:before="100" w:beforeAutospacing="1" w:after="100" w:afterAutospacing="1"/>
        <w:ind w:firstLineChars="0" w:firstLine="0"/>
        <w:rPr>
          <w:rStyle w:val="a9"/>
          <w:rFonts w:ascii="方正仿宋_GBK" w:eastAsia="方正仿宋_GBK" w:hAnsi="方正仿宋_GBK" w:cs="方正仿宋_GBK"/>
          <w:sz w:val="32"/>
          <w:szCs w:val="32"/>
          <w:shd w:val="clear" w:color="auto" w:fill="FFFF00"/>
        </w:rPr>
      </w:pPr>
    </w:p>
    <w:p w:rsidR="003F1EC8" w:rsidRDefault="003F1EC8">
      <w:pPr>
        <w:shd w:val="clear" w:color="auto" w:fill="FFFFFF"/>
        <w:spacing w:line="15" w:lineRule="atLeast"/>
        <w:ind w:firstLineChars="200" w:firstLine="643"/>
        <w:rPr>
          <w:rStyle w:val="a9"/>
          <w:rFonts w:ascii="方正仿宋_GBK" w:eastAsia="方正仿宋_GBK" w:hAnsi="方正仿宋_GBK" w:cs="方正仿宋_GBK" w:hint="default"/>
          <w:sz w:val="32"/>
          <w:szCs w:val="32"/>
          <w:shd w:val="clear" w:color="auto" w:fill="FFFF00"/>
        </w:rPr>
        <w:sectPr w:rsidR="003F1EC8">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5000" w:type="pct"/>
        <w:tblCellMar>
          <w:left w:w="0" w:type="dxa"/>
          <w:right w:w="0" w:type="dxa"/>
        </w:tblCellMar>
        <w:tblLook w:val="04A0" w:firstRow="1" w:lastRow="0" w:firstColumn="1" w:lastColumn="0" w:noHBand="0" w:noVBand="1"/>
      </w:tblPr>
      <w:tblGrid>
        <w:gridCol w:w="4465"/>
        <w:gridCol w:w="3699"/>
        <w:gridCol w:w="4204"/>
        <w:gridCol w:w="2954"/>
      </w:tblGrid>
      <w:tr w:rsidR="003F1EC8" w:rsidTr="00997253">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3F1EC8" w:rsidTr="00997253">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3F1EC8" w:rsidTr="00997253">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rPr>
                <w:rFonts w:ascii="Arial" w:hAnsi="Arial" w:cs="Arial" w:hint="default"/>
                <w:color w:val="000000"/>
                <w:sz w:val="22"/>
                <w:szCs w:val="22"/>
              </w:rPr>
            </w:pPr>
            <w:r>
              <w:rPr>
                <w:rFonts w:cs="宋体"/>
                <w:sz w:val="20"/>
                <w:szCs w:val="20"/>
              </w:rPr>
              <w:t>单位：</w:t>
            </w:r>
            <w:r>
              <w:rPr>
                <w:sz w:val="20"/>
              </w:rPr>
              <w:t>垫江县新民镇产业融合发展服务中心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F1EC8" w:rsidTr="00997253">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0.98</w:t>
            </w: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27.61</w:t>
            </w: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31.11</w:t>
            </w: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F1EC8" w:rsidTr="00997253">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F1EC8" w:rsidRDefault="00F74886">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31.11</w:t>
            </w:r>
            <w:r>
              <w:rPr>
                <w:rFonts w:ascii="Times New Roman" w:hAnsi="Times New Roman"/>
                <w:color w:val="000000"/>
                <w:sz w:val="20"/>
              </w:rPr>
              <w:t xml:space="preserve"> </w:t>
            </w:r>
          </w:p>
        </w:tc>
      </w:tr>
    </w:tbl>
    <w:p w:rsidR="003F1EC8" w:rsidRDefault="003F1EC8">
      <w:pPr>
        <w:rPr>
          <w:rFonts w:cs="宋体" w:hint="default"/>
          <w:sz w:val="21"/>
          <w:szCs w:val="21"/>
        </w:rPr>
      </w:pPr>
    </w:p>
    <w:p w:rsidR="003F1EC8" w:rsidRDefault="00F74886">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3F1EC8">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F1EC8" w:rsidRDefault="00F74886">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3F1EC8">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3F1EC8" w:rsidRDefault="00F74886">
            <w:pPr>
              <w:spacing w:line="280" w:lineRule="exact"/>
              <w:rPr>
                <w:rFonts w:cs="宋体" w:hint="default"/>
                <w:color w:val="000000"/>
                <w:sz w:val="20"/>
                <w:szCs w:val="20"/>
              </w:rPr>
            </w:pPr>
            <w:r>
              <w:rPr>
                <w:rFonts w:cs="宋体"/>
                <w:sz w:val="20"/>
                <w:szCs w:val="20"/>
              </w:rPr>
              <w:t>单位：</w:t>
            </w:r>
            <w:r>
              <w:rPr>
                <w:sz w:val="20"/>
              </w:rPr>
              <w:t>垫江县新民镇产业融合发展服务中心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3F1EC8">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F1EC8">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3F1EC8" w:rsidRDefault="00F74886">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F74886">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其他收入</w:t>
            </w:r>
          </w:p>
        </w:tc>
      </w:tr>
      <w:tr w:rsidR="003F1EC8">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31.11</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31.11</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F1EC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F1EC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F1EC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21305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巩固脱贫攻坚成果衔接乡村振兴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2130550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27.61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27.61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F1EC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F1EC8" w:rsidRDefault="00F74886">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3F1EC8" w:rsidRDefault="00F74886">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3F1EC8">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F1EC8" w:rsidRDefault="00F74886">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3F1EC8">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3F1EC8" w:rsidRDefault="00F74886">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垫江县新民镇产业融合发展服务中心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3F1EC8">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F1EC8">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F74886">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对附属单位补助支出</w:t>
            </w:r>
          </w:p>
        </w:tc>
      </w:tr>
      <w:tr w:rsidR="003F1EC8">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F1EC8" w:rsidRDefault="003F1EC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31.11</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31.11</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F1EC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F1EC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F1EC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21305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巩固脱贫攻坚成果衔接乡村振兴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2130550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27.61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27.61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F1EC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F1EC8" w:rsidRDefault="00F74886">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F1EC8" w:rsidRDefault="00F74886">
      <w:pPr>
        <w:rPr>
          <w:rFonts w:cs="宋体" w:hint="default"/>
          <w:sz w:val="21"/>
          <w:szCs w:val="21"/>
        </w:rPr>
      </w:pPr>
      <w:r>
        <w:rPr>
          <w:rFonts w:cs="宋体"/>
          <w:sz w:val="21"/>
          <w:szCs w:val="21"/>
        </w:rPr>
        <w:br w:type="page"/>
      </w:r>
    </w:p>
    <w:p w:rsidR="003F1EC8" w:rsidRDefault="003F1EC8">
      <w:pPr>
        <w:rPr>
          <w:rFonts w:cs="宋体" w:hint="default"/>
          <w:sz w:val="21"/>
          <w:szCs w:val="21"/>
        </w:rPr>
      </w:pPr>
    </w:p>
    <w:tbl>
      <w:tblPr>
        <w:tblW w:w="5000" w:type="pct"/>
        <w:tblCellMar>
          <w:left w:w="0" w:type="dxa"/>
          <w:right w:w="0" w:type="dxa"/>
        </w:tblCellMar>
        <w:tblLook w:val="04A0" w:firstRow="1" w:lastRow="0" w:firstColumn="1" w:lastColumn="0" w:noHBand="0" w:noVBand="1"/>
      </w:tblPr>
      <w:tblGrid>
        <w:gridCol w:w="3099"/>
        <w:gridCol w:w="1587"/>
        <w:gridCol w:w="3319"/>
        <w:gridCol w:w="1768"/>
        <w:gridCol w:w="1768"/>
        <w:gridCol w:w="1768"/>
        <w:gridCol w:w="2013"/>
      </w:tblGrid>
      <w:tr w:rsidR="003F1EC8" w:rsidTr="00997253">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400" w:lineRule="exact"/>
              <w:jc w:val="center"/>
              <w:textAlignment w:val="bottom"/>
              <w:rPr>
                <w:rFonts w:cs="宋体" w:hint="default"/>
                <w:b/>
                <w:color w:val="000000"/>
                <w:sz w:val="32"/>
                <w:szCs w:val="32"/>
              </w:rPr>
            </w:pPr>
            <w:bookmarkStart w:id="0" w:name="_GoBack"/>
            <w:r>
              <w:rPr>
                <w:rFonts w:cs="宋体"/>
                <w:b/>
                <w:color w:val="000000"/>
                <w:sz w:val="32"/>
                <w:szCs w:val="32"/>
              </w:rPr>
              <w:t>财政拨款收入支出决算总表</w:t>
            </w:r>
          </w:p>
        </w:tc>
      </w:tr>
      <w:tr w:rsidR="003F1EC8" w:rsidTr="00997253">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3F1EC8" w:rsidRDefault="00F74886">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垫江县新民镇产业融合发展服务中心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3F1EC8" w:rsidTr="00997253">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F1EC8" w:rsidTr="00997253">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3F1EC8" w:rsidTr="00997253">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3F1EC8" w:rsidTr="00997253">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31.11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31.11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200" w:lineRule="exact"/>
              <w:rPr>
                <w:rFonts w:ascii="Times New Roman" w:hAnsi="Times New Roman" w:hint="default"/>
                <w:color w:val="000000"/>
                <w:sz w:val="18"/>
                <w:szCs w:val="18"/>
              </w:rPr>
            </w:pP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200" w:lineRule="exact"/>
              <w:jc w:val="right"/>
              <w:rPr>
                <w:rFonts w:ascii="Times New Roman" w:hAnsi="Times New Roman" w:hint="default"/>
                <w:color w:val="000000"/>
                <w:sz w:val="18"/>
                <w:szCs w:val="18"/>
              </w:rPr>
            </w:pPr>
          </w:p>
        </w:tc>
      </w:tr>
      <w:tr w:rsidR="003F1EC8" w:rsidTr="009972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31.11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bookmarkEnd w:id="0"/>
    <w:p w:rsidR="003F1EC8" w:rsidRDefault="00F74886">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3F1EC8">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F1EC8" w:rsidRDefault="00F74886">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3F1EC8">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3F1EC8" w:rsidRDefault="00F74886">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垫江县新民镇产业融合发展服务中心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3F1EC8">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F1EC8">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本年支出</w:t>
            </w:r>
          </w:p>
        </w:tc>
      </w:tr>
      <w:tr w:rsidR="003F1EC8">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项目支出</w:t>
            </w:r>
          </w:p>
        </w:tc>
      </w:tr>
      <w:tr w:rsidR="003F1EC8">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31.11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31.11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F1E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F1E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F1E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21305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巩固脱贫攻坚成果衔接乡村振兴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2130550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27.61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27.61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F1E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F1EC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F1EC8" w:rsidRDefault="00F74886">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F1EC8" w:rsidRDefault="00F74886">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3F1EC8">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3F1EC8">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3F1EC8" w:rsidRDefault="00F74886">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垫江县新民镇产业融合发展服务中心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3F1EC8">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F1EC8" w:rsidRDefault="003F1EC8">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F1EC8">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3F1EC8">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3F1EC8">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spacing w:line="192" w:lineRule="exact"/>
              <w:jc w:val="center"/>
              <w:rPr>
                <w:rFonts w:cs="宋体" w:hint="default"/>
                <w:b/>
                <w:color w:val="000000"/>
                <w:sz w:val="18"/>
                <w:szCs w:val="18"/>
              </w:rPr>
            </w:pP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jc w:val="right"/>
              <w:rPr>
                <w:rFonts w:ascii="Times New Roman" w:hAnsi="Times New Roman" w:hint="default"/>
                <w:color w:val="000000"/>
                <w:sz w:val="18"/>
                <w:szCs w:val="18"/>
              </w:rPr>
            </w:pPr>
          </w:p>
        </w:tc>
      </w:tr>
      <w:tr w:rsidR="003F1EC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jc w:val="right"/>
              <w:rPr>
                <w:rFonts w:ascii="Times New Roman" w:hAnsi="Times New Roman" w:hint="default"/>
                <w:color w:val="000000"/>
                <w:sz w:val="18"/>
                <w:szCs w:val="18"/>
              </w:rPr>
            </w:pPr>
          </w:p>
        </w:tc>
      </w:tr>
      <w:tr w:rsidR="003F1EC8">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3F1EC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spacing w:line="192" w:lineRule="exact"/>
              <w:jc w:val="right"/>
              <w:rPr>
                <w:rFonts w:ascii="Times New Roman" w:hAnsi="Times New Roman" w:hint="default"/>
                <w:color w:val="000000"/>
                <w:sz w:val="18"/>
                <w:szCs w:val="18"/>
              </w:rPr>
            </w:pPr>
          </w:p>
        </w:tc>
      </w:tr>
      <w:tr w:rsidR="003F1EC8">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F74886">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29.11</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r>
    </w:tbl>
    <w:p w:rsidR="003F1EC8" w:rsidRDefault="00F74886">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3F1EC8">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F1EC8" w:rsidRDefault="00F74886">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3F1EC8">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3F1EC8" w:rsidRDefault="00F74886">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垫江县新民镇产业融合发展服务中心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3F1EC8">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F1EC8">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年末结转和结余</w:t>
            </w:r>
          </w:p>
        </w:tc>
      </w:tr>
      <w:tr w:rsidR="003F1EC8">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F1EC8">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F1EC8" w:rsidRDefault="00F74886">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3F1EC8" w:rsidRDefault="00F74886">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3F1EC8">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F1EC8" w:rsidRDefault="00F74886">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3F1EC8">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3F1EC8" w:rsidRDefault="00F74886">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垫江县新民镇产业融合发展服务中心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3F1EC8">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F1EC8" w:rsidRDefault="003F1EC8">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F1EC8">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F74886">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F1EC8" w:rsidRDefault="00F74886">
            <w:pPr>
              <w:jc w:val="center"/>
              <w:textAlignment w:val="bottom"/>
              <w:rPr>
                <w:rFonts w:cs="宋体" w:hint="default"/>
                <w:b/>
                <w:color w:val="000000"/>
                <w:sz w:val="20"/>
                <w:szCs w:val="20"/>
              </w:rPr>
            </w:pPr>
            <w:r>
              <w:rPr>
                <w:rFonts w:cs="宋体"/>
                <w:b/>
                <w:color w:val="000000"/>
                <w:sz w:val="20"/>
                <w:szCs w:val="20"/>
              </w:rPr>
              <w:t>本年支出</w:t>
            </w:r>
          </w:p>
        </w:tc>
      </w:tr>
      <w:tr w:rsidR="003F1EC8">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项目支出</w:t>
            </w:r>
          </w:p>
        </w:tc>
      </w:tr>
      <w:tr w:rsidR="003F1EC8">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F1EC8" w:rsidRDefault="003F1EC8">
            <w:pPr>
              <w:jc w:val="center"/>
              <w:rPr>
                <w:rFonts w:cs="宋体" w:hint="default"/>
                <w:b/>
                <w:color w:val="000000"/>
                <w:sz w:val="20"/>
                <w:szCs w:val="20"/>
              </w:rPr>
            </w:pPr>
          </w:p>
        </w:tc>
      </w:tr>
      <w:tr w:rsidR="003F1EC8">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EC8" w:rsidRDefault="00F74886">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F1EC8">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3F1EC8">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F1EC8" w:rsidRDefault="00F7488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3F1EC8" w:rsidRDefault="00F74886">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3F1EC8" w:rsidRDefault="00F74886">
      <w:pPr>
        <w:rPr>
          <w:rFonts w:cs="宋体" w:hint="default"/>
          <w:sz w:val="21"/>
          <w:szCs w:val="21"/>
        </w:rPr>
      </w:pPr>
      <w:r>
        <w:rPr>
          <w:rFonts w:cs="宋体" w:hint="default"/>
          <w:sz w:val="21"/>
          <w:szCs w:val="21"/>
        </w:rPr>
        <w:br w:type="page"/>
      </w:r>
    </w:p>
    <w:tbl>
      <w:tblPr>
        <w:tblW w:w="5000" w:type="pct"/>
        <w:tblCellMar>
          <w:left w:w="170" w:type="dxa"/>
          <w:right w:w="170" w:type="dxa"/>
        </w:tblCellMar>
        <w:tblLook w:val="04A0" w:firstRow="1" w:lastRow="0" w:firstColumn="1" w:lastColumn="0" w:noHBand="0" w:noVBand="1"/>
      </w:tblPr>
      <w:tblGrid>
        <w:gridCol w:w="3444"/>
        <w:gridCol w:w="2620"/>
        <w:gridCol w:w="2574"/>
        <w:gridCol w:w="3981"/>
        <w:gridCol w:w="2703"/>
      </w:tblGrid>
      <w:tr w:rsidR="003F1EC8" w:rsidTr="007236F5">
        <w:trPr>
          <w:trHeight w:val="343"/>
        </w:trPr>
        <w:tc>
          <w:tcPr>
            <w:tcW w:w="5000" w:type="pct"/>
            <w:gridSpan w:val="5"/>
            <w:shd w:val="clear" w:color="auto" w:fill="auto"/>
            <w:noWrap/>
            <w:tcMar>
              <w:top w:w="15" w:type="dxa"/>
              <w:left w:w="15" w:type="dxa"/>
              <w:right w:w="15" w:type="dxa"/>
            </w:tcMar>
            <w:vAlign w:val="bottom"/>
          </w:tcPr>
          <w:p w:rsidR="003F1EC8" w:rsidRDefault="00F74886">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3F1EC8" w:rsidTr="007236F5">
        <w:trPr>
          <w:trHeight w:val="244"/>
        </w:trPr>
        <w:tc>
          <w:tcPr>
            <w:tcW w:w="1124" w:type="pct"/>
            <w:shd w:val="clear" w:color="auto" w:fill="auto"/>
            <w:noWrap/>
            <w:tcMar>
              <w:top w:w="15" w:type="dxa"/>
              <w:left w:w="15" w:type="dxa"/>
              <w:right w:w="15" w:type="dxa"/>
            </w:tcMar>
            <w:vAlign w:val="bottom"/>
          </w:tcPr>
          <w:p w:rsidR="003F1EC8" w:rsidRDefault="003F1EC8">
            <w:pPr>
              <w:spacing w:line="280" w:lineRule="exact"/>
              <w:rPr>
                <w:rFonts w:cs="宋体" w:hint="default"/>
                <w:color w:val="000000"/>
                <w:kern w:val="2"/>
                <w:sz w:val="20"/>
                <w:szCs w:val="20"/>
              </w:rPr>
            </w:pPr>
          </w:p>
        </w:tc>
        <w:tc>
          <w:tcPr>
            <w:tcW w:w="855" w:type="pct"/>
            <w:shd w:val="clear" w:color="auto" w:fill="auto"/>
            <w:noWrap/>
            <w:tcMar>
              <w:top w:w="15" w:type="dxa"/>
              <w:left w:w="15" w:type="dxa"/>
              <w:right w:w="15" w:type="dxa"/>
            </w:tcMar>
            <w:vAlign w:val="bottom"/>
          </w:tcPr>
          <w:p w:rsidR="003F1EC8" w:rsidRDefault="003F1EC8">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3F1EC8" w:rsidRDefault="003F1EC8">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3F1EC8" w:rsidRDefault="003F1EC8">
            <w:pPr>
              <w:spacing w:line="280" w:lineRule="exact"/>
              <w:rPr>
                <w:rFonts w:cs="宋体" w:hint="default"/>
                <w:color w:val="000000"/>
                <w:kern w:val="2"/>
                <w:sz w:val="20"/>
                <w:szCs w:val="20"/>
              </w:rPr>
            </w:pPr>
          </w:p>
        </w:tc>
        <w:tc>
          <w:tcPr>
            <w:tcW w:w="882" w:type="pct"/>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3F1EC8" w:rsidTr="007236F5">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3F1EC8" w:rsidRDefault="00F74886">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垫江县新民镇产业融合发展服务中心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3F1EC8" w:rsidRDefault="003F1EC8">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3F1EC8" w:rsidRDefault="003F1EC8">
            <w:pPr>
              <w:spacing w:line="280" w:lineRule="exact"/>
              <w:rPr>
                <w:rFonts w:cs="宋体" w:hint="default"/>
                <w:color w:val="000000"/>
                <w:kern w:val="2"/>
                <w:sz w:val="20"/>
                <w:szCs w:val="20"/>
              </w:rPr>
            </w:pPr>
          </w:p>
        </w:tc>
        <w:tc>
          <w:tcPr>
            <w:tcW w:w="882" w:type="pct"/>
            <w:tcBorders>
              <w:top w:val="nil"/>
              <w:left w:val="nil"/>
              <w:bottom w:val="single" w:sz="4" w:space="0" w:color="auto"/>
              <w:right w:val="nil"/>
            </w:tcBorders>
            <w:shd w:val="clear" w:color="auto" w:fill="auto"/>
            <w:noWrap/>
            <w:tcMar>
              <w:top w:w="15" w:type="dxa"/>
              <w:left w:w="15" w:type="dxa"/>
              <w:right w:w="15" w:type="dxa"/>
            </w:tcMar>
            <w:vAlign w:val="bottom"/>
          </w:tcPr>
          <w:p w:rsidR="003F1EC8" w:rsidRDefault="00F74886">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3F1EC8" w:rsidTr="007236F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3F1EC8" w:rsidTr="007236F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F1EC8" w:rsidTr="007236F5">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3F1EC8">
            <w:pPr>
              <w:spacing w:line="280" w:lineRule="exact"/>
              <w:rPr>
                <w:rFonts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3F1EC8">
            <w:pPr>
              <w:spacing w:line="280" w:lineRule="exact"/>
              <w:jc w:val="right"/>
              <w:rPr>
                <w:rFonts w:cs="宋体" w:hint="default"/>
                <w:color w:val="000000"/>
                <w:kern w:val="2"/>
                <w:sz w:val="16"/>
                <w:szCs w:val="16"/>
              </w:rPr>
            </w:pPr>
          </w:p>
        </w:tc>
      </w:tr>
      <w:tr w:rsidR="003F1EC8" w:rsidTr="007236F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3F1EC8">
            <w:pPr>
              <w:spacing w:line="280" w:lineRule="exact"/>
              <w:rPr>
                <w:rFonts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3F1EC8">
            <w:pPr>
              <w:spacing w:line="280" w:lineRule="exact"/>
              <w:jc w:val="right"/>
              <w:rPr>
                <w:rFonts w:cs="宋体" w:hint="default"/>
                <w:color w:val="000000"/>
                <w:kern w:val="2"/>
                <w:sz w:val="16"/>
                <w:szCs w:val="16"/>
              </w:rPr>
            </w:pPr>
          </w:p>
        </w:tc>
      </w:tr>
      <w:tr w:rsidR="003F1EC8" w:rsidTr="007236F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F74886">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F7488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F1EC8" w:rsidRDefault="003F1EC8">
            <w:pPr>
              <w:spacing w:line="280" w:lineRule="exact"/>
              <w:rPr>
                <w:rFonts w:cs="宋体" w:hint="default"/>
                <w:color w:val="000000"/>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F1EC8" w:rsidRDefault="003F1EC8">
            <w:pPr>
              <w:spacing w:line="280" w:lineRule="exact"/>
              <w:jc w:val="right"/>
              <w:rPr>
                <w:rFonts w:cs="宋体" w:hint="default"/>
                <w:color w:val="000000"/>
                <w:sz w:val="16"/>
                <w:szCs w:val="16"/>
              </w:rPr>
            </w:pPr>
          </w:p>
        </w:tc>
      </w:tr>
    </w:tbl>
    <w:p w:rsidR="003F1EC8" w:rsidRDefault="00F74886">
      <w:pPr>
        <w:spacing w:before="100" w:beforeAutospacing="1" w:after="100" w:afterAutospacing="1"/>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p>
    <w:sectPr w:rsidR="003F1EC8">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2AC" w:rsidRDefault="008E12AC">
      <w:pPr>
        <w:rPr>
          <w:rFonts w:hint="default"/>
        </w:rPr>
      </w:pPr>
      <w:r>
        <w:separator/>
      </w:r>
    </w:p>
  </w:endnote>
  <w:endnote w:type="continuationSeparator" w:id="0">
    <w:p w:rsidR="008E12AC" w:rsidRDefault="008E12A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C8" w:rsidRDefault="00F74886">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F1EC8" w:rsidRDefault="00F74886">
                          <w:pPr>
                            <w:pStyle w:val="a5"/>
                            <w:rPr>
                              <w:rFonts w:hint="default"/>
                            </w:rPr>
                          </w:pPr>
                          <w:r>
                            <w:fldChar w:fldCharType="begin"/>
                          </w:r>
                          <w:r>
                            <w:instrText xml:space="preserve"> PAGE  \* MERGEFORMAT </w:instrText>
                          </w:r>
                          <w:r>
                            <w:fldChar w:fldCharType="separate"/>
                          </w:r>
                          <w:r w:rsidR="00997253">
                            <w:rPr>
                              <w:rFonts w:hint="default"/>
                              <w:noProof/>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3F1EC8" w:rsidRDefault="00F74886">
                    <w:pPr>
                      <w:pStyle w:val="a5"/>
                      <w:rPr>
                        <w:rFonts w:hint="default"/>
                      </w:rPr>
                    </w:pPr>
                    <w:r>
                      <w:fldChar w:fldCharType="begin"/>
                    </w:r>
                    <w:r>
                      <w:instrText xml:space="preserve"> PAGE  \* MERGEFORMAT </w:instrText>
                    </w:r>
                    <w:r>
                      <w:fldChar w:fldCharType="separate"/>
                    </w:r>
                    <w:r w:rsidR="00997253">
                      <w:rPr>
                        <w:rFonts w:hint="default"/>
                        <w:noProof/>
                      </w:rPr>
                      <w:t>- 12 -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C8" w:rsidRDefault="00F74886">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F1EC8" w:rsidRDefault="00F74886">
                          <w:pPr>
                            <w:pStyle w:val="a5"/>
                            <w:rPr>
                              <w:rFonts w:hint="default"/>
                            </w:rPr>
                          </w:pPr>
                          <w:r>
                            <w:t xml:space="preserve"> </w:t>
                          </w:r>
                          <w:r>
                            <w:fldChar w:fldCharType="begin"/>
                          </w:r>
                          <w:r>
                            <w:instrText>PAGE   \* MERGEFORMAT</w:instrText>
                          </w:r>
                          <w:r>
                            <w:fldChar w:fldCharType="separate"/>
                          </w:r>
                          <w:r w:rsidR="00997253" w:rsidRPr="00997253">
                            <w:rPr>
                              <w:rFonts w:hint="default"/>
                              <w:noProof/>
                              <w:lang w:val="zh-CN"/>
                            </w:rPr>
                            <w:t>-</w:t>
                          </w:r>
                          <w:r w:rsidR="00997253">
                            <w:rPr>
                              <w:rFonts w:hint="default"/>
                              <w:noProof/>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3F1EC8" w:rsidRDefault="00F74886">
                    <w:pPr>
                      <w:pStyle w:val="a5"/>
                      <w:rPr>
                        <w:rFonts w:hint="default"/>
                      </w:rPr>
                    </w:pPr>
                    <w:r>
                      <w:t xml:space="preserve"> </w:t>
                    </w:r>
                    <w:r>
                      <w:fldChar w:fldCharType="begin"/>
                    </w:r>
                    <w:r>
                      <w:instrText>PAGE   \* MERGEFORMAT</w:instrText>
                    </w:r>
                    <w:r>
                      <w:fldChar w:fldCharType="separate"/>
                    </w:r>
                    <w:r w:rsidR="00997253" w:rsidRPr="00997253">
                      <w:rPr>
                        <w:rFonts w:hint="default"/>
                        <w:noProof/>
                        <w:lang w:val="zh-CN"/>
                      </w:rPr>
                      <w:t>-</w:t>
                    </w:r>
                    <w:r w:rsidR="00997253">
                      <w:rPr>
                        <w:rFonts w:hint="default"/>
                        <w:noProof/>
                      </w:rPr>
                      <w:t xml:space="preserve"> 16 -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3F1EC8" w:rsidRDefault="00F74886">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3F1EC8" w:rsidRDefault="00F74886">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2AC" w:rsidRDefault="008E12AC">
      <w:pPr>
        <w:rPr>
          <w:rFonts w:hint="default"/>
        </w:rPr>
      </w:pPr>
      <w:r>
        <w:separator/>
      </w:r>
    </w:p>
  </w:footnote>
  <w:footnote w:type="continuationSeparator" w:id="0">
    <w:p w:rsidR="008E12AC" w:rsidRDefault="008E12AC">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C8" w:rsidRDefault="003F1EC8">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A05A2"/>
    <w:rsid w:val="000C01CC"/>
    <w:rsid w:val="000D7702"/>
    <w:rsid w:val="00261065"/>
    <w:rsid w:val="002D0E5A"/>
    <w:rsid w:val="002E5443"/>
    <w:rsid w:val="0032196C"/>
    <w:rsid w:val="00337122"/>
    <w:rsid w:val="00337FB5"/>
    <w:rsid w:val="003953F1"/>
    <w:rsid w:val="003F08DB"/>
    <w:rsid w:val="003F1EC8"/>
    <w:rsid w:val="004C12FF"/>
    <w:rsid w:val="004F3F39"/>
    <w:rsid w:val="004F4C6A"/>
    <w:rsid w:val="00544D18"/>
    <w:rsid w:val="00550ABE"/>
    <w:rsid w:val="0059689F"/>
    <w:rsid w:val="005B023C"/>
    <w:rsid w:val="00600322"/>
    <w:rsid w:val="006137D7"/>
    <w:rsid w:val="00634FA8"/>
    <w:rsid w:val="0063613A"/>
    <w:rsid w:val="00685A40"/>
    <w:rsid w:val="006E2034"/>
    <w:rsid w:val="0071331B"/>
    <w:rsid w:val="007236F5"/>
    <w:rsid w:val="00732392"/>
    <w:rsid w:val="00792285"/>
    <w:rsid w:val="007A0D2E"/>
    <w:rsid w:val="007A3314"/>
    <w:rsid w:val="007B419D"/>
    <w:rsid w:val="00806B78"/>
    <w:rsid w:val="00810F13"/>
    <w:rsid w:val="008E12AC"/>
    <w:rsid w:val="00944711"/>
    <w:rsid w:val="009821E3"/>
    <w:rsid w:val="009842E7"/>
    <w:rsid w:val="00984852"/>
    <w:rsid w:val="00997253"/>
    <w:rsid w:val="009B67B8"/>
    <w:rsid w:val="00A03B1E"/>
    <w:rsid w:val="00A67739"/>
    <w:rsid w:val="00A820B7"/>
    <w:rsid w:val="00AC5566"/>
    <w:rsid w:val="00B03CCD"/>
    <w:rsid w:val="00B40138"/>
    <w:rsid w:val="00B55CE3"/>
    <w:rsid w:val="00BF5A85"/>
    <w:rsid w:val="00C307F6"/>
    <w:rsid w:val="00C96B11"/>
    <w:rsid w:val="00CC6B99"/>
    <w:rsid w:val="00CD5335"/>
    <w:rsid w:val="00D372A4"/>
    <w:rsid w:val="00D43239"/>
    <w:rsid w:val="00DF7706"/>
    <w:rsid w:val="00E05175"/>
    <w:rsid w:val="00E654E2"/>
    <w:rsid w:val="00E76362"/>
    <w:rsid w:val="00ED7F38"/>
    <w:rsid w:val="00F137D3"/>
    <w:rsid w:val="00F13C36"/>
    <w:rsid w:val="00F23C68"/>
    <w:rsid w:val="00F32C53"/>
    <w:rsid w:val="00F73F90"/>
    <w:rsid w:val="00F74886"/>
    <w:rsid w:val="00F7623D"/>
    <w:rsid w:val="00F8598B"/>
    <w:rsid w:val="00FA0819"/>
    <w:rsid w:val="00FF6B07"/>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0F6869"/>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7D05E6"/>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D001CF-B438-4123-BDCB-D9B86990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1864</Words>
  <Characters>10630</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48</cp:revision>
  <dcterms:created xsi:type="dcterms:W3CDTF">2024-07-11T02:00:00Z</dcterms:created>
  <dcterms:modified xsi:type="dcterms:W3CDTF">2025-09-17T10:25:00Z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