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垫江县永安镇人民政府</w:t>
      </w:r>
    </w:p>
    <w:p>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3"/>
          <w:rFonts w:ascii="黑体" w:hAnsi="黑体" w:eastAsia="黑体" w:cs="黑体"/>
          <w:sz w:val="32"/>
          <w:szCs w:val="32"/>
          <w:shd w:val="clear" w:color="auto" w:fill="FFFFFF"/>
        </w:rPr>
        <w:t>一、部门基本情况</w:t>
      </w:r>
      <w:bookmarkStart w:id="0" w:name="_GoBack"/>
      <w:bookmarkEnd w:id="0"/>
    </w:p>
    <w:p>
      <w:pPr>
        <w:pStyle w:val="9"/>
        <w:shd w:val="clear" w:color="auto" w:fill="FFFFFF"/>
        <w:ind w:firstLine="42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pacing w:before="0" w:beforeAutospacing="0" w:after="0" w:afterAutospacing="0"/>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垫江县永安镇人民政府下设党政办、党群办、人大办、经济发展办公室（以下简称经发办）、民政和社会事务办公室（（以下简称社事办）、财政办、平安建设办公室、规划建设管理环保办公室、应急管理办公室、综合行政执法办公室等十个内设机构。下属事业单位有：垫江县永安镇农业服务中心、垫江县永安镇文化服务中心、垫江县永安镇社会保障服务所、</w:t>
      </w:r>
      <w:r>
        <w:rPr>
          <w:rFonts w:hint="eastAsia" w:ascii="方正仿宋_GBK" w:hAnsi="方正仿宋_GBK" w:eastAsia="方正仿宋_GBK" w:cs="方正仿宋_GBK"/>
          <w:bCs/>
          <w:sz w:val="32"/>
          <w:szCs w:val="32"/>
        </w:rPr>
        <w:t>垫江县永安镇综合执法大队、垫江县永安镇退役军人服务站。</w:t>
      </w:r>
      <w:r>
        <w:rPr>
          <w:rFonts w:hint="eastAsia" w:ascii="方正仿宋_GBK" w:hAnsi="方正仿宋_GBK" w:eastAsia="方正仿宋_GBK" w:cs="方正仿宋_GBK"/>
          <w:color w:val="000000"/>
          <w:sz w:val="32"/>
          <w:szCs w:val="32"/>
        </w:rPr>
        <w:t>各内设机构职责如下：</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1.党政办公室</w:t>
      </w:r>
      <w:r>
        <w:rPr>
          <w:rFonts w:hint="eastAsia" w:ascii="方正仿宋_GBK" w:hAnsi="方正仿宋_GBK" w:eastAsia="方正仿宋_GBK" w:cs="方正仿宋_GBK"/>
          <w:color w:val="000000"/>
          <w:sz w:val="32"/>
          <w:szCs w:val="32"/>
        </w:rPr>
        <w:t>。负责纪检、武装、政务公开等工作。负责机关文秘、会务、档案、保密、后勤服务等工作。负责牵头协调办理人大代表和政协委员的议案、提案、建议、意见。完成党委、政府交办的其他工作。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2.党群工作办公室</w:t>
      </w:r>
      <w:r>
        <w:rPr>
          <w:rFonts w:hint="eastAsia" w:ascii="方正仿宋_GBK" w:hAnsi="方正仿宋_GBK" w:eastAsia="方正仿宋_GBK" w:cs="方正仿宋_GBK"/>
          <w:color w:val="000000"/>
          <w:sz w:val="32"/>
          <w:szCs w:val="32"/>
        </w:rPr>
        <w:t>。负责党的建设、组织、宣传、统战、民宗侨台、机构编制、人事、绩效管理、群团、党务公开等相关工作。负责镇公共服务中心和村（社区）便民服务中心的监督和管理等工作。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3.人大办公室</w:t>
      </w:r>
      <w:r>
        <w:rPr>
          <w:rFonts w:hint="eastAsia" w:ascii="方正仿宋_GBK" w:hAnsi="方正仿宋_GBK" w:eastAsia="方正仿宋_GBK" w:cs="方正仿宋_GBK"/>
          <w:color w:val="000000"/>
          <w:sz w:val="32"/>
          <w:szCs w:val="32"/>
        </w:rPr>
        <w:t xml:space="preserve">。负责镇人民代表大会、主席团履行法定职权的具体工作。组织人大代表视察、调研、评议等工作。完成党委、人大主席团交办的其他工作。 </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4.经济发展办公室</w:t>
      </w:r>
      <w:r>
        <w:rPr>
          <w:rFonts w:hint="eastAsia" w:ascii="方正仿宋_GBK" w:hAnsi="方正仿宋_GBK" w:eastAsia="方正仿宋_GBK" w:cs="方正仿宋_GBK"/>
          <w:color w:val="000000"/>
          <w:sz w:val="32"/>
          <w:szCs w:val="32"/>
        </w:rPr>
        <w:t>（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5.财政办公室。</w:t>
      </w:r>
      <w:r>
        <w:rPr>
          <w:rFonts w:hint="eastAsia" w:ascii="方正仿宋_GBK" w:hAnsi="方正仿宋_GBK" w:eastAsia="方正仿宋_GBK" w:cs="方正仿宋_GBK"/>
          <w:color w:val="000000"/>
          <w:sz w:val="32"/>
          <w:szCs w:val="32"/>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6.民政和社会事务办公室。</w:t>
      </w:r>
      <w:r>
        <w:rPr>
          <w:rFonts w:hint="eastAsia" w:ascii="方正仿宋_GBK" w:hAnsi="方正仿宋_GBK" w:eastAsia="方正仿宋_GBK" w:cs="方正仿宋_GBK"/>
          <w:color w:val="000000"/>
          <w:sz w:val="32"/>
          <w:szCs w:val="32"/>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7.平安建设办公室。</w:t>
      </w:r>
      <w:r>
        <w:rPr>
          <w:rFonts w:hint="eastAsia" w:ascii="方正仿宋_GBK" w:hAnsi="方正仿宋_GBK" w:eastAsia="方正仿宋_GBK" w:cs="方正仿宋_GBK"/>
          <w:color w:val="000000"/>
          <w:sz w:val="32"/>
          <w:szCs w:val="32"/>
        </w:rPr>
        <w:t>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8.规划建设管理环保办公室。</w:t>
      </w:r>
      <w:r>
        <w:rPr>
          <w:rFonts w:hint="eastAsia" w:ascii="方正仿宋_GBK" w:hAnsi="方正仿宋_GBK" w:eastAsia="方正仿宋_GBK" w:cs="方正仿宋_GBK"/>
          <w:color w:val="000000"/>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9.应急管理办公室。</w:t>
      </w:r>
      <w:r>
        <w:rPr>
          <w:rFonts w:hint="eastAsia" w:ascii="方正仿宋_GBK" w:hAnsi="方正仿宋_GBK" w:eastAsia="方正仿宋_GBK" w:cs="方正仿宋_GBK"/>
          <w:color w:val="000000"/>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楷体_GBK" w:hAnsi="方正仿宋_GBK" w:eastAsia="方正楷体_GBK" w:cs="方正仿宋_GBK"/>
          <w:color w:val="000000"/>
          <w:sz w:val="32"/>
          <w:szCs w:val="32"/>
        </w:rPr>
        <w:t>10.综合行政执法办公室。</w:t>
      </w:r>
      <w:r>
        <w:rPr>
          <w:rFonts w:hint="eastAsia" w:ascii="方正仿宋_GBK" w:hAnsi="方正仿宋_GBK" w:eastAsia="方正仿宋_GBK" w:cs="方正仿宋_GBK"/>
          <w:color w:val="000000"/>
          <w:sz w:val="32"/>
          <w:szCs w:val="32"/>
        </w:rPr>
        <w:t>负责综合行政执法方面法律、法规和规章的宣传教育工作。集中行使依法授权或委托的农林水利、规划建设、环境保护、</w:t>
      </w:r>
      <w:r>
        <w:rPr>
          <w:rStyle w:val="20"/>
          <w:rFonts w:hint="eastAsia" w:ascii="方正仿宋_GBK" w:hAnsi="方正仿宋_GBK" w:eastAsia="方正仿宋_GBK" w:cs="方正仿宋_GBK"/>
          <w:color w:val="000000"/>
          <w:sz w:val="32"/>
          <w:szCs w:val="32"/>
        </w:rPr>
        <w:t>卫生健康、</w:t>
      </w:r>
      <w:r>
        <w:rPr>
          <w:rFonts w:hint="eastAsia" w:ascii="方正仿宋_GBK" w:hAnsi="方正仿宋_GBK" w:eastAsia="方正仿宋_GBK" w:cs="方正仿宋_GBK"/>
          <w:color w:val="000000"/>
          <w:sz w:val="32"/>
          <w:szCs w:val="32"/>
        </w:rPr>
        <w:t>市容环卫、文化旅游、民政管理、消防等领域的行政执法权。负责综合行政执法文书的制作、发放、审核、回收及案卷管理工作。配合有关县级行政主管部门做好行政执法等工作。完成党委、政府交办的其他工作。</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所属事业单位设置</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垫江县</w:t>
      </w:r>
      <w:r>
        <w:rPr>
          <w:rStyle w:val="14"/>
          <w:rFonts w:hint="eastAsia" w:ascii="方正仿宋_GBK" w:hAnsi="方正仿宋_GBK" w:eastAsia="方正仿宋_GBK" w:cs="方正仿宋_GBK"/>
          <w:color w:val="000000"/>
          <w:sz w:val="32"/>
          <w:szCs w:val="32"/>
        </w:rPr>
        <w:t>永安</w:t>
      </w:r>
      <w:r>
        <w:rPr>
          <w:rFonts w:hint="eastAsia" w:ascii="方正仿宋_GBK" w:hAnsi="方正仿宋_GBK" w:eastAsia="方正仿宋_GBK" w:cs="方正仿宋_GBK"/>
          <w:color w:val="000000"/>
          <w:sz w:val="32"/>
          <w:szCs w:val="32"/>
        </w:rPr>
        <w:t>镇设置5个相当于行政正股级财政全额拨款公益一类事业单位。具体设置及主要职责分别是：</w:t>
      </w:r>
    </w:p>
    <w:p>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1.农业服务中心</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宗旨：推广先进农业技术，促进农业发展。</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2.</w:t>
      </w:r>
      <w:r>
        <w:rPr>
          <w:rFonts w:hint="eastAsia" w:ascii="方正楷体_GBK" w:hAnsi="方正仿宋_GBK" w:eastAsia="方正楷体_GBK" w:cs="方正仿宋_GBK"/>
          <w:color w:val="000000"/>
          <w:sz w:val="32"/>
          <w:szCs w:val="32"/>
          <w:lang w:eastAsia="zh-CN"/>
        </w:rPr>
        <w:t>文</w:t>
      </w:r>
      <w:r>
        <w:rPr>
          <w:rFonts w:hint="eastAsia" w:ascii="方正楷体_GBK" w:hAnsi="方正仿宋_GBK" w:eastAsia="方正楷体_GBK" w:cs="方正仿宋_GBK"/>
          <w:color w:val="000000"/>
          <w:sz w:val="32"/>
          <w:szCs w:val="32"/>
        </w:rPr>
        <w:t>化服务中心</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宗旨：组织群众文化活动，繁荣文化旅游事业。</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3.劳动就业和社会保障服务所</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宗旨：为辖区劳动就业和社会保障提供服务。</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4.退役军人服务站</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宗旨：为退役军人提供服务。</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spacing w:line="594" w:lineRule="exact"/>
        <w:ind w:firstLine="640" w:firstLineChars="200"/>
        <w:rPr>
          <w:rFonts w:ascii="方正楷体_GBK" w:hAnsi="方正仿宋_GBK" w:eastAsia="方正楷体_GBK" w:cs="方正仿宋_GBK"/>
          <w:color w:val="000000"/>
          <w:sz w:val="32"/>
          <w:szCs w:val="32"/>
        </w:rPr>
      </w:pPr>
      <w:r>
        <w:rPr>
          <w:rFonts w:hint="eastAsia" w:ascii="方正楷体_GBK" w:hAnsi="方正仿宋_GBK" w:eastAsia="方正楷体_GBK" w:cs="方正仿宋_GBK"/>
          <w:color w:val="000000"/>
          <w:sz w:val="32"/>
          <w:szCs w:val="32"/>
        </w:rPr>
        <w:t>5.综合行政执法大队</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宗旨：弘扬法治精神，建设法治政府、法治社会。</w:t>
      </w:r>
    </w:p>
    <w:p>
      <w:pPr>
        <w:spacing w:line="594"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主要职责：负责配合综合行政执法办公室做好有关</w:t>
      </w:r>
      <w:r>
        <w:rPr>
          <w:rStyle w:val="20"/>
          <w:rFonts w:hint="eastAsia" w:ascii="方正仿宋_GBK" w:hAnsi="方正仿宋_GBK" w:eastAsia="方正仿宋_GBK" w:cs="方正仿宋_GBK"/>
          <w:color w:val="000000"/>
          <w:sz w:val="32"/>
          <w:szCs w:val="32"/>
        </w:rPr>
        <w:t>农林水利、规划建设、卫生健康、市容环卫、环境保护、文化旅游、民政管理、</w:t>
      </w:r>
      <w:r>
        <w:rPr>
          <w:rFonts w:hint="eastAsia" w:ascii="方正仿宋_GBK" w:hAnsi="方正仿宋_GBK" w:eastAsia="方正仿宋_GBK" w:cs="方正仿宋_GBK"/>
          <w:color w:val="000000"/>
          <w:sz w:val="32"/>
          <w:szCs w:val="32"/>
        </w:rPr>
        <w:t>消防等方面的执法工作。</w:t>
      </w:r>
    </w:p>
    <w:p>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4"/>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共设置10个综合办事机构：行政部门共有10个，分别是：人大、党政办、党群办、经发办、财政、民政（社会事务办）、平安建设办、规划建设管理环保办、应急管理办、综合行政执法办,在职人员2</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人；</w:t>
      </w:r>
    </w:p>
    <w:p>
      <w:pPr>
        <w:pStyle w:val="4"/>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设置事业站所5个：社保所、农业服务中心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文化服务中心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综合行政执法大队、退役军人服务站，在职人员2</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人。</w:t>
      </w: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部门</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ind w:firstLine="643" w:firstLineChars="200"/>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度收入总计7468.05万元，支出总计</w:t>
      </w:r>
      <w:r>
        <w:rPr>
          <w:rFonts w:ascii="方正仿宋_GBK" w:hAnsi="方正仿宋_GBK" w:eastAsia="方正仿宋_GBK" w:cs="方正仿宋_GBK"/>
          <w:sz w:val="32"/>
          <w:szCs w:val="32"/>
        </w:rPr>
        <w:t>7468.05</w:t>
      </w:r>
      <w:r>
        <w:rPr>
          <w:rFonts w:ascii="方正仿宋_GBK" w:hAnsi="方正仿宋_GBK" w:eastAsia="方正仿宋_GBK" w:cs="方正仿宋_GBK"/>
          <w:sz w:val="32"/>
          <w:szCs w:val="32"/>
          <w:shd w:val="clear" w:color="auto" w:fill="FFFFFF"/>
        </w:rPr>
        <w:t>万元。收、支与2023年度相比，增加3202.84万元，增长75.09%，主要原因是</w:t>
      </w:r>
      <w:r>
        <w:rPr>
          <w:rFonts w:hint="eastAsia" w:ascii="方正仿宋_GBK" w:hAnsi="方正仿宋_GBK" w:eastAsia="方正仿宋_GBK" w:cs="方正仿宋_GBK"/>
          <w:sz w:val="32"/>
          <w:szCs w:val="32"/>
          <w:shd w:val="clear" w:color="auto" w:fill="FFFFFF"/>
          <w:lang w:eastAsia="zh-CN"/>
        </w:rPr>
        <w:t>增加本级税收收入、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土地价款、耕地补足补助资金、增加林业草原防灾减灾项目资金、森林防火项目资金、增加矿泉水厂征地拆迁费、增加对村级公益事业建设的补助资金、公路建设资金及村级公路养护资金、增加商贸小镇建设补助、增加地质灾害防治支出项目资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度收入合计6424.90万元，与2023年度相比，增加2263.40万元，增长54.39%，主要原因是</w:t>
      </w:r>
      <w:r>
        <w:rPr>
          <w:rFonts w:hint="eastAsia" w:ascii="方正仿宋_GBK" w:hAnsi="方正仿宋_GBK" w:eastAsia="方正仿宋_GBK" w:cs="方正仿宋_GBK"/>
          <w:sz w:val="32"/>
          <w:szCs w:val="32"/>
          <w:shd w:val="clear" w:color="auto" w:fill="FFFFFF"/>
          <w:lang w:eastAsia="zh-CN"/>
        </w:rPr>
        <w:t>增加本级税收收入、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土地价款、耕地补足补助资金、增加林业草原防灾减灾项目资金、森林防火项目资金、增加矿泉水厂征地拆迁费、增加对村级公益事业建设的补助资金、公路建设资金及村级公路养护资金、增加商贸小镇建设补助、增加地质灾害防治支出项目资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6424.90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1043.16</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7468.05</w:t>
      </w:r>
      <w:r>
        <w:rPr>
          <w:rFonts w:ascii="方正仿宋_GBK" w:hAnsi="方正仿宋_GBK" w:eastAsia="方正仿宋_GBK" w:cs="方正仿宋_GBK"/>
          <w:sz w:val="32"/>
          <w:szCs w:val="32"/>
          <w:shd w:val="clear" w:color="auto" w:fill="FFFFFF"/>
        </w:rPr>
        <w:t>万元，与2023年度相比，增加3202.84万元，增长75.09%，主要原因是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增加残疾人无障碍改造项目支出、增加新能源车充电站电力设施建设项目支出、增加商贸小镇建设支出、加油站建设前期支出、增加土地价款支出、耕地补足补助资金支出、增加林业草原防灾减灾项目资金、森林防火项目资金、增加矿泉水厂征地拆迁费、增加产业扶持资金支出、增加对村级公益事业建设的补助资金、公路建设资金及村级公路养护资金、增加商贸小镇建设补助、增加地质灾害防治支出项目资金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2053.73</w:t>
      </w:r>
      <w:r>
        <w:rPr>
          <w:rFonts w:ascii="方正仿宋_GBK" w:hAnsi="方正仿宋_GBK" w:eastAsia="方正仿宋_GBK" w:cs="方正仿宋_GBK"/>
          <w:sz w:val="32"/>
          <w:szCs w:val="32"/>
          <w:shd w:val="clear" w:color="auto" w:fill="FFFFFF"/>
        </w:rPr>
        <w:t>万元，占27.50%；项目支出</w:t>
      </w:r>
      <w:r>
        <w:rPr>
          <w:rFonts w:ascii="方正仿宋_GBK" w:hAnsi="方正仿宋_GBK" w:eastAsia="方正仿宋_GBK" w:cs="方正仿宋_GBK"/>
          <w:sz w:val="32"/>
          <w:szCs w:val="32"/>
        </w:rPr>
        <w:t>5414.32</w:t>
      </w:r>
      <w:r>
        <w:rPr>
          <w:rFonts w:ascii="方正仿宋_GBK" w:hAnsi="方正仿宋_GBK" w:eastAsia="方正仿宋_GBK" w:cs="方正仿宋_GBK"/>
          <w:sz w:val="32"/>
          <w:szCs w:val="32"/>
          <w:shd w:val="clear" w:color="auto" w:fill="FFFFFF"/>
        </w:rPr>
        <w:t>万元，占72.50%；经营支出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720" w:lineRule="exact"/>
        <w:ind w:firstLine="643" w:firstLineChars="200"/>
        <w:jc w:val="both"/>
        <w:textAlignment w:val="auto"/>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本单位本年度无结转结余，</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与上年持平。</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hd w:val="clear" w:color="auto" w:fill="FFFFFF"/>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度财政拨款收、支总计7468.05万元。与202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年相比，财政拨款收、支总计各增加3202.84万元，增长75.09%。主要原因是</w:t>
      </w:r>
      <w:r>
        <w:rPr>
          <w:rFonts w:hint="eastAsia" w:ascii="方正仿宋_GBK" w:hAnsi="方正仿宋_GBK" w:eastAsia="方正仿宋_GBK" w:cs="方正仿宋_GBK"/>
          <w:sz w:val="32"/>
          <w:szCs w:val="32"/>
          <w:shd w:val="clear" w:color="auto" w:fill="FFFFFF"/>
          <w:lang w:eastAsia="zh-CN"/>
        </w:rPr>
        <w:t>增加本级税收收入、增加保险费收入支出、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土地价款、耕地补足补助资金、增加林业草原防灾减灾项目资金、森林防火项目资金、增加矿泉水厂征地拆迁费、增加对村级公益事业建设的补助资金、公路建设资金及村级公路养护资金、增加商贸小镇建设补助、增加地质灾害防治支出项目资金。</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5790.56</w:t>
      </w:r>
      <w:r>
        <w:rPr>
          <w:rFonts w:ascii="方正仿宋_GBK" w:hAnsi="方正仿宋_GBK" w:eastAsia="方正仿宋_GBK" w:cs="方正仿宋_GBK"/>
          <w:sz w:val="32"/>
          <w:szCs w:val="32"/>
          <w:shd w:val="clear" w:color="auto" w:fill="FFFFFF"/>
        </w:rPr>
        <w:t>万元，与2023年度相比，增加2085.93万元，增长56.31%。主要原因是</w:t>
      </w:r>
      <w:r>
        <w:rPr>
          <w:rFonts w:hint="eastAsia" w:ascii="方正仿宋_GBK" w:hAnsi="方正仿宋_GBK" w:eastAsia="方正仿宋_GBK" w:cs="方正仿宋_GBK"/>
          <w:sz w:val="32"/>
          <w:szCs w:val="32"/>
          <w:shd w:val="clear" w:color="auto" w:fill="FFFFFF"/>
          <w:lang w:eastAsia="zh-CN"/>
        </w:rPr>
        <w:t>增加本级税收收入、</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款、增加新能源车充电站电力设施建设项目款、增加林业草原防灾减灾项目资金、森林防火项目资金、增加矿泉水厂征地拆迁费、增加对村级公益事业建设的补助资金、公路建设资金及村级公路养护资金、增加商贸小镇建设补助、增加地质灾害防治支出项目资金。</w:t>
      </w:r>
      <w:r>
        <w:rPr>
          <w:rFonts w:ascii="方正仿宋_GBK" w:hAnsi="方正仿宋_GBK" w:eastAsia="方正仿宋_GBK" w:cs="方正仿宋_GBK"/>
          <w:sz w:val="32"/>
          <w:szCs w:val="32"/>
          <w:shd w:val="clear" w:color="auto" w:fill="FFFFFF"/>
        </w:rPr>
        <w:t>较年初预算数增加2569.88万元，增长79.79%。主要原因是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本级税收收入、年中增加三支一扶人员支出、增加残疾人无障碍改造项目款、增加新能源车充电站电力设施建设项目款、增加林业草原防灾减灾项目资金、森林防火项目资金、增加矿泉水厂征地拆迁费、增加对村级公益事业建设的补助资金、公路建设资金及村级公路养护资金、增加商贸小镇建设补助、增加地质灾害防治支出项目资金、增加事业人员保险缴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1043.16</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Style w:val="13"/>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6833.72</w:t>
      </w:r>
      <w:r>
        <w:rPr>
          <w:rFonts w:ascii="方正仿宋_GBK" w:hAnsi="方正仿宋_GBK" w:eastAsia="方正仿宋_GBK" w:cs="方正仿宋_GBK"/>
          <w:sz w:val="32"/>
          <w:szCs w:val="32"/>
          <w:shd w:val="clear" w:color="auto" w:fill="FFFFFF"/>
        </w:rPr>
        <w:t>万元，与2023年度相比，增加3025.38万元，增长79.44%。主要原因是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支出、增加新能源车充电站电力设施建设项目支出、增加商贸小镇建设支出、加油站建设前期支出、增加增加林业草原防灾减灾项目资金、森林防火项目资金、增加矿泉水厂征地拆迁费、增加产业扶持资金支出、增加对村级公益事业建设的补助资金、公路建设资金及村级公路养护资金、增加商贸小镇建设补助、增加地质灾害防治项目资金支出、增加事业人员保险缴费支出。</w:t>
      </w:r>
      <w:r>
        <w:rPr>
          <w:rFonts w:ascii="方正仿宋_GBK" w:hAnsi="方正仿宋_GBK" w:eastAsia="方正仿宋_GBK" w:cs="方正仿宋_GBK"/>
          <w:sz w:val="32"/>
          <w:szCs w:val="32"/>
          <w:shd w:val="clear" w:color="auto" w:fill="FFFFFF"/>
        </w:rPr>
        <w:t>较年初预算数增加3613.04万元，增长112.18%。主要原因是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三支一扶人员支出、增加残疾人无障碍改造项目支出、增加新能源车充电站电力设施建设项目支出、增加商贸小镇建设支出、加油站建设前期支出、增加增加林业草原防灾减灾项目资金、森林防火项目资金、增加矿泉水厂征地拆迁费、增加产业扶持资金支出、增加对村级公益事业建设的补助资金、公路建设资金及村级公路养护资金、增加商贸小镇建设补助、增加地质灾害防治项目资金支出、增加事业人员保险缴费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w:t>
      </w:r>
      <w:r>
        <w:rPr>
          <w:rFonts w:ascii="方正仿宋_GBK" w:hAnsi="方正仿宋_GBK" w:eastAsia="方正仿宋_GBK" w:cs="方正仿宋_GBK"/>
          <w:sz w:val="32"/>
          <w:szCs w:val="32"/>
          <w:shd w:val="clear" w:color="auto" w:fill="FFFFFF"/>
        </w:rPr>
        <w:t>年末</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986.72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14.44</w:t>
      </w:r>
      <w:r>
        <w:rPr>
          <w:rFonts w:ascii="方正仿宋_GBK" w:hAnsi="方正仿宋_GBK" w:eastAsia="方正仿宋_GBK" w:cs="方正仿宋_GBK"/>
          <w:sz w:val="32"/>
          <w:szCs w:val="32"/>
          <w:shd w:val="clear" w:color="auto" w:fill="FFFFFF"/>
        </w:rPr>
        <w:t>%，较年初预算数减少264.46万元，下降21.14%，主要原因是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人员减少，工资福利支出减少、公用经费减少、减少老党员补助、减少食药品协管员补助。</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3.18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%，较年初预算数增加3.18万元，增长100.00%，主要原因是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年中追加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2023年劝导站劝导员工作补助</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%，较年初预算数增加0.03万元，增长100.00%，主要原因是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增加新进人员岗前培训费。</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75.62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1.11</w:t>
      </w:r>
      <w:r>
        <w:rPr>
          <w:rFonts w:ascii="方正仿宋_GBK" w:hAnsi="方正仿宋_GBK" w:eastAsia="方正仿宋_GBK" w:cs="方正仿宋_GBK"/>
          <w:sz w:val="32"/>
          <w:szCs w:val="32"/>
          <w:shd w:val="clear" w:color="auto" w:fill="FFFFFF"/>
        </w:rPr>
        <w:t>%，较年初预算数增加5.71万元，增长8.17%，主要原因是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年中追加免费开放文化经费、增加人员工资及福利</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489.12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7.16</w:t>
      </w:r>
      <w:r>
        <w:rPr>
          <w:rFonts w:ascii="方正仿宋_GBK" w:hAnsi="方正仿宋_GBK" w:eastAsia="方正仿宋_GBK" w:cs="方正仿宋_GBK"/>
          <w:sz w:val="32"/>
          <w:szCs w:val="32"/>
          <w:shd w:val="clear" w:color="auto" w:fill="FFFFFF"/>
        </w:rPr>
        <w:t>%，较年初预算数增加129.47万元，增长36.00%，主要原因是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退管经费、三支一扶人员经费、重点优抚对象住院医疗补助及困难补助、退役军人再就业安置补助、残疾人无障碍改造项目支出、低收入群众春节慰问费、村级退役军人服务站补助支出、事业人员养老保险、职业年金增大缴费基数增加保险缴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78.80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1.15</w:t>
      </w:r>
      <w:r>
        <w:rPr>
          <w:rFonts w:ascii="方正仿宋_GBK" w:hAnsi="方正仿宋_GBK" w:eastAsia="方正仿宋_GBK" w:cs="方正仿宋_GBK"/>
          <w:sz w:val="32"/>
          <w:szCs w:val="32"/>
          <w:shd w:val="clear" w:color="auto" w:fill="FFFFFF"/>
        </w:rPr>
        <w:t>%，较年初预算数增加16.03万元，增长25.54%，主要原因是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年中增加拨付卫生院</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2020年疫情防控经费、计生特扶家庭节日慰问费、重点优抚对象住院医疗补助等支出、增加事业人员医疗保险缴费基数增大增加医疗保险缴费支出。</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29.30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%，较年初预算数增加29.30万元，增长100.00%，主要原因是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石口子村熏腊肉综合治理项目款</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、森林管护支出等。</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271.01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3.97</w:t>
      </w:r>
      <w:r>
        <w:rPr>
          <w:rFonts w:ascii="方正仿宋_GBK" w:hAnsi="方正仿宋_GBK" w:eastAsia="方正仿宋_GBK" w:cs="方正仿宋_GBK"/>
          <w:sz w:val="32"/>
          <w:szCs w:val="32"/>
          <w:shd w:val="clear" w:color="auto" w:fill="FFFFFF"/>
        </w:rPr>
        <w:t>%，较年初预算数增加132.83万元，增长96.13%，主要原因是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年中增加庭院路灯安装工程款、补缴政府土地价款、耕地补足补助资金；年中增加</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1人，增加工资及福利支出。</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2275.41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33.30</w:t>
      </w:r>
      <w:r>
        <w:rPr>
          <w:rFonts w:ascii="方正仿宋_GBK" w:hAnsi="方正仿宋_GBK" w:eastAsia="方正仿宋_GBK" w:cs="方正仿宋_GBK"/>
          <w:sz w:val="32"/>
          <w:szCs w:val="32"/>
          <w:shd w:val="clear" w:color="auto" w:fill="FFFFFF"/>
        </w:rPr>
        <w:t>%，较年初预算数增加1349.96万元，增长145.87%，主要原因是</w:t>
      </w:r>
      <w:r>
        <w:rPr>
          <w:rFonts w:hint="eastAsia" w:ascii="方正仿宋_GBK" w:hAnsi="方正仿宋_GBK" w:eastAsia="方正仿宋_GBK" w:cs="方正仿宋_GBK"/>
          <w:sz w:val="32"/>
          <w:szCs w:val="32"/>
          <w:shd w:val="clear" w:color="auto" w:fill="FFFFFF"/>
          <w:lang w:eastAsia="zh-CN"/>
        </w:rPr>
        <w:t>年中增加动物防疫补助、中央防灾减灾资金、2022年松线虫病山场除治经费、2023年营造林项目退化林修复工程款、林家沟森林防火通道公路建设工程款、</w:t>
      </w:r>
      <w:r>
        <w:rPr>
          <w:rFonts w:hint="eastAsia" w:ascii="方正仿宋_GBK" w:hAnsi="方正仿宋_GBK" w:eastAsia="方正仿宋_GBK" w:cs="方正仿宋_GBK"/>
          <w:sz w:val="32"/>
          <w:szCs w:val="32"/>
          <w:shd w:val="clear" w:color="auto" w:fill="FFFFFF"/>
          <w:lang w:val="en-US" w:eastAsia="zh-CN"/>
        </w:rPr>
        <w:t>2024年森林防火资金、石口子村矿泉水厂征地拆迁费归垫、垃圾分类先锋镇、先锋村创建项目款支出；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工资上涨；增加</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1人工资及福利支出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1053.80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15.42</w:t>
      </w:r>
      <w:r>
        <w:rPr>
          <w:rFonts w:ascii="方正仿宋_GBK" w:hAnsi="方正仿宋_GBK" w:eastAsia="方正仿宋_GBK" w:cs="方正仿宋_GBK"/>
          <w:sz w:val="32"/>
          <w:szCs w:val="32"/>
          <w:shd w:val="clear" w:color="auto" w:fill="FFFFFF"/>
        </w:rPr>
        <w:t>%，较年初预算数增加1053.80万元，增长100.00%，主要原因是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年中增加村级公路建设项目款支出、村级公路养护资金支出。</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1301.83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19.05</w:t>
      </w:r>
      <w:r>
        <w:rPr>
          <w:rFonts w:ascii="方正仿宋_GBK" w:hAnsi="方正仿宋_GBK" w:eastAsia="方正仿宋_GBK" w:cs="方正仿宋_GBK"/>
          <w:sz w:val="32"/>
          <w:szCs w:val="32"/>
          <w:shd w:val="clear" w:color="auto" w:fill="FFFFFF"/>
        </w:rPr>
        <w:t>%，较年初预算数增加1071.83万元，增长466.01%，主要原因是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增加企业产业扶持资金支出。</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102.96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w:t>
      </w:r>
      <w:r>
        <w:rPr>
          <w:rFonts w:ascii="方正仿宋_GBK" w:hAnsi="方正仿宋_GBK" w:eastAsia="方正仿宋_GBK" w:cs="方正仿宋_GBK"/>
          <w:sz w:val="32"/>
          <w:szCs w:val="32"/>
          <w:shd w:val="clear" w:color="auto" w:fill="FFFFFF"/>
        </w:rPr>
        <w:t>%，较年初预算数增加2.96万元，增长2.96%，主要原因是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年中增加商贸小镇建设项目支出。</w:t>
      </w:r>
    </w:p>
    <w:p>
      <w:pPr>
        <w:ind w:firstLine="640" w:firstLineChars="200"/>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住房保障支出110.14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1.61</w:t>
      </w:r>
      <w:r>
        <w:rPr>
          <w:rFonts w:ascii="方正仿宋_GBK" w:hAnsi="方正仿宋_GBK" w:eastAsia="方正仿宋_GBK" w:cs="方正仿宋_GBK"/>
          <w:sz w:val="32"/>
          <w:szCs w:val="32"/>
          <w:shd w:val="clear" w:color="auto" w:fill="FFFFFF"/>
        </w:rPr>
        <w:t>%，较年初预算数增加29.60万元，增长36.75%，主要原因是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增加住房公积金单位承担部分；年中增加危房改造补助支出。</w:t>
      </w:r>
    </w:p>
    <w:p>
      <w:pPr>
        <w:ind w:firstLine="640" w:firstLineChars="200"/>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灾害防治及应急管理支出55.81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0.82</w:t>
      </w:r>
      <w:r>
        <w:rPr>
          <w:rFonts w:ascii="方正仿宋_GBK" w:hAnsi="方正仿宋_GBK" w:eastAsia="方正仿宋_GBK" w:cs="方正仿宋_GBK"/>
          <w:sz w:val="32"/>
          <w:szCs w:val="32"/>
          <w:shd w:val="clear" w:color="auto" w:fill="FFFFFF"/>
        </w:rPr>
        <w:t>%，较年初预算数增加52.81万元，增长1760.33%，主要原因是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年中增加冬春救助、自然灾害防治及自然灾害救灾及恢复重建支出等。</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2053.73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1799.93</w:t>
      </w:r>
      <w:r>
        <w:rPr>
          <w:rFonts w:ascii="方正仿宋_GBK" w:hAnsi="方正仿宋_GBK" w:eastAsia="方正仿宋_GBK" w:cs="方正仿宋_GBK"/>
          <w:sz w:val="32"/>
          <w:szCs w:val="32"/>
          <w:shd w:val="clear" w:color="auto" w:fill="FFFFFF"/>
        </w:rPr>
        <w:t>万元，与2023年度相比，增加17.31万元，增长0.97%，主要原因是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增加事业人员养老保险、职业年金、医疗保险、住房公积金等因缴费基数增大而增加缴费支出。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基本工资、津贴补贴、奖金、基本养老保险、职业年金、医疗保险费、工伤保险、住房公积金、其他工资福利支出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253.80</w:t>
      </w:r>
      <w:r>
        <w:rPr>
          <w:rFonts w:ascii="方正仿宋_GBK" w:hAnsi="方正仿宋_GBK" w:eastAsia="方正仿宋_GBK" w:cs="方正仿宋_GBK"/>
          <w:sz w:val="32"/>
          <w:szCs w:val="32"/>
          <w:shd w:val="clear" w:color="auto" w:fill="FFFFFF"/>
        </w:rPr>
        <w:t>万元，与2023年度相比，减少27.06万元，下降9.63%，主要原因是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压缩公用经费开支，提高资源利用效率。</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办公费、印刷费、咨询费、水费、电费、邮电费、差旅费、维修（护）费、租赁费、会议费、培训费、公务接待费、劳务费、委托业务费、工会经费、福利费、公务车运行维护费、其他交通费、其他商品服务支出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634.33</w:t>
      </w:r>
      <w:r>
        <w:rPr>
          <w:rFonts w:ascii="方正仿宋_GBK" w:hAnsi="方正仿宋_GBK" w:eastAsia="方正仿宋_GBK" w:cs="方正仿宋_GBK"/>
          <w:sz w:val="32"/>
          <w:szCs w:val="32"/>
          <w:shd w:val="clear" w:color="auto" w:fill="FFFFFF"/>
        </w:rPr>
        <w:t>万元，与2023年度相比，增加177.51万元，增长38.86%，主要原因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增加补缴土地价款。</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本年支出</w:t>
      </w:r>
      <w:r>
        <w:rPr>
          <w:rFonts w:ascii="方正仿宋_GBK" w:hAnsi="方正仿宋_GBK" w:eastAsia="方正仿宋_GBK" w:cs="方正仿宋_GBK"/>
          <w:color w:val="000000" w:themeColor="text1"/>
          <w:sz w:val="32"/>
          <w:szCs w:val="32"/>
          <w14:textFill>
            <w14:solidFill>
              <w14:schemeClr w14:val="tx1"/>
            </w14:solidFill>
          </w14:textFill>
        </w:rPr>
        <w:t>634.33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万元，与2023年度相比，增加177.51万元，增长38.86%，主要原因是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增加补缴土地价款。</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8.94</w:t>
      </w:r>
      <w:r>
        <w:rPr>
          <w:rFonts w:ascii="方正仿宋_GBK" w:hAnsi="方正仿宋_GBK" w:eastAsia="方正仿宋_GBK" w:cs="方正仿宋_GBK"/>
          <w:sz w:val="32"/>
          <w:szCs w:val="32"/>
          <w:shd w:val="clear" w:color="auto" w:fill="FFFFFF"/>
        </w:rPr>
        <w:t>万元，较年初预算数增加5.24万元，增长141.62%，主要原因是</w:t>
      </w:r>
      <w:r>
        <w:rPr>
          <w:rFonts w:hint="eastAsia" w:ascii="方正仿宋_GBK" w:hAnsi="方正仿宋_GBK" w:eastAsia="方正仿宋_GBK" w:cs="方正仿宋_GBK"/>
          <w:sz w:val="32"/>
          <w:szCs w:val="32"/>
          <w:shd w:val="clear" w:color="auto" w:fill="FFFFFF"/>
          <w:lang w:eastAsia="zh-CN"/>
        </w:rPr>
        <w:t>年中</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增加招商引资接待费、增加公务车运行维护费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。较上年支出数减少0.03万元，下降0.33%，主要原因是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严格执行中央八项规定精神，控制三公经费支出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lang w:val="en-US" w:eastAsia="zh-CN"/>
        </w:rPr>
        <w:t>部门</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72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4.47</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公务车燃油费、维修费、保险费、过路费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费用支出较年初预算数增加3.47万元，增长347.00%，主要原因是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防汛抗旱、森林防火、地质灾害、安全检查等工作用车增加，增加了费用</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较上年支出数减少1.68万元，下降27.32%，主要原因是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减少公务车辆保险费、维修费。</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公务接待费</w:t>
      </w:r>
      <w:r>
        <w:rPr>
          <w:rFonts w:ascii="方正仿宋_GBK" w:hAnsi="方正仿宋_GBK" w:eastAsia="方正仿宋_GBK" w:cs="方正仿宋_GBK"/>
          <w:color w:val="000000" w:themeColor="text1"/>
          <w:sz w:val="32"/>
          <w:szCs w:val="32"/>
          <w14:textFill>
            <w14:solidFill>
              <w14:schemeClr w14:val="tx1"/>
            </w14:solidFill>
          </w14:textFill>
        </w:rPr>
        <w:t>4.47</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接待来本单位出席会议、考察调研、执行任务、学习交流、检查指导等公务活动的公务人员。</w:t>
      </w:r>
      <w:r>
        <w:rPr>
          <w:rFonts w:ascii="方正仿宋_GBK" w:hAnsi="方正仿宋_GBK" w:eastAsia="方正仿宋_GBK" w:cs="方正仿宋_GBK"/>
          <w:sz w:val="32"/>
          <w:szCs w:val="32"/>
          <w:shd w:val="clear" w:color="auto" w:fill="FFFFFF"/>
        </w:rPr>
        <w:t>费用支出较年初预算数增加1.77万元，增长65.56%，主要原因是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增加接待次数</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较上年支出数增加1.66万元，增长59.07%，主要原因是</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color w:val="auto"/>
          <w:sz w:val="32"/>
          <w:szCs w:val="32"/>
          <w:shd w:val="clear" w:color="auto" w:fill="FFFFFF"/>
        </w:rPr>
        <w:t>巩固拓展脱贫攻坚成果第三方实地评估接待费</w:t>
      </w:r>
      <w:r>
        <w:rPr>
          <w:rFonts w:hint="eastAsia" w:ascii="方正仿宋_GBK" w:hAnsi="方正仿宋_GBK" w:eastAsia="方正仿宋_GBK" w:cs="方正仿宋_GBK"/>
          <w:color w:val="auto"/>
          <w:sz w:val="32"/>
          <w:szCs w:val="32"/>
          <w:shd w:val="clear" w:color="auto" w:fill="FFFFFF"/>
          <w:lang w:eastAsia="zh-CN"/>
        </w:rPr>
        <w:t>。</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502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89.12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2.23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13.98</w:t>
      </w:r>
      <w:r>
        <w:rPr>
          <w:rFonts w:ascii="方正仿宋_GBK" w:hAnsi="方正仿宋_GBK" w:eastAsia="方正仿宋_GBK" w:cs="方正仿宋_GBK"/>
          <w:sz w:val="32"/>
          <w:szCs w:val="32"/>
          <w:shd w:val="clear" w:color="auto" w:fill="FFFFFF"/>
        </w:rPr>
        <w:t>万元，与2023年度相比，减少0.13万元，下降0.92%，主要原因是</w:t>
      </w:r>
      <w:r>
        <w:rPr>
          <w:rFonts w:hint="eastAsia" w:ascii="方正仿宋_GBK" w:hAnsi="方正仿宋_GBK" w:eastAsia="方正仿宋_GBK" w:cs="方正仿宋_GBK"/>
          <w:sz w:val="32"/>
          <w:szCs w:val="32"/>
          <w:shd w:val="clear" w:color="auto" w:fill="FFFFFF"/>
          <w:lang w:eastAsia="zh-CN"/>
        </w:rPr>
        <w:t>压缩经费支出，减少不必要的会议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万元，与2023年度相比，减少1.57万元，下降44.48%，主要原因是</w:t>
      </w:r>
      <w:r>
        <w:rPr>
          <w:rFonts w:hint="eastAsia" w:ascii="方正仿宋_GBK" w:hAnsi="方正仿宋_GBK" w:eastAsia="方正仿宋_GBK" w:cs="方正仿宋_GBK"/>
          <w:sz w:val="32"/>
          <w:szCs w:val="32"/>
          <w:shd w:val="clear" w:color="auto" w:fill="FFFFFF"/>
          <w:lang w:eastAsia="zh-CN"/>
        </w:rPr>
        <w:t>减少扶贫工作培训、减少人大代表培训费</w:t>
      </w:r>
      <w:r>
        <w:rPr>
          <w:rFonts w:ascii="方正仿宋_GBK" w:hAnsi="方正仿宋_GBK" w:eastAsia="方正仿宋_GBK" w:cs="方正仿宋_GBK"/>
          <w:sz w:val="32"/>
          <w:szCs w:val="32"/>
          <w:shd w:val="clear" w:color="auto" w:fill="FFFFFF"/>
        </w:rPr>
        <w:t>。</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72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159.43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办公费、印刷费、水费、电费、邮电费、差旅费、维修费、租赁费、劳务费、委托业务费、工会经费、福利费、公务用车运行维护费、其他交通费、其他商品服务支出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机关运行经费较上年支出数减少24.79万元，下降13.46%，主要原因是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响应过紧日子文件精神，压缩机关运行经费支出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0.60万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多功能一体化打印机。</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6"/>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根据预算绩效管理要求，我部门对</w:t>
      </w:r>
      <w:r>
        <w:rPr>
          <w:rFonts w:hint="eastAsia" w:ascii="方正仿宋_GBK" w:hAnsi="方正仿宋_GBK" w:eastAsia="方正仿宋_GBK" w:cs="方正仿宋_GBK"/>
          <w:sz w:val="32"/>
          <w:szCs w:val="32"/>
          <w:shd w:val="clear" w:color="auto" w:fill="FFFFFF"/>
          <w:lang w:val="en-US" w:eastAsia="zh-CN"/>
        </w:rPr>
        <w:t>87</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7468.05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10"/>
        <w:tblW w:w="9633"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673"/>
        <w:gridCol w:w="569"/>
        <w:gridCol w:w="1138"/>
        <w:gridCol w:w="741"/>
        <w:gridCol w:w="948"/>
        <w:gridCol w:w="759"/>
        <w:gridCol w:w="352"/>
        <w:gridCol w:w="501"/>
        <w:gridCol w:w="43"/>
        <w:gridCol w:w="494"/>
        <w:gridCol w:w="317"/>
        <w:gridCol w:w="396"/>
        <w:gridCol w:w="535"/>
        <w:gridCol w:w="138"/>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垫江县永安镇人民政府整体自评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50023100024P000134</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95.50</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708-垫江县永安镇人民政府</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3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李丰树</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32,206,813.62 </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74,721,333.41 </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74,680,533.41 </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32,206,813.62 </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74,721,333.41 </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74,680,533.41 </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99.95</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32,206,813.62 </w:t>
            </w:r>
          </w:p>
        </w:tc>
        <w:tc>
          <w:tcPr>
            <w:tcW w:w="1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68,378,023.16 </w:t>
            </w:r>
          </w:p>
        </w:tc>
        <w:tc>
          <w:tcPr>
            <w:tcW w:w="1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68,337,223.16 </w:t>
            </w:r>
          </w:p>
        </w:tc>
        <w:tc>
          <w:tcPr>
            <w:tcW w:w="8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99.94</w:t>
            </w:r>
          </w:p>
        </w:tc>
        <w:tc>
          <w:tcPr>
            <w:tcW w:w="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3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85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43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2024年认真贯彻落实</w:t>
            </w:r>
            <w:r>
              <w:rPr>
                <w:rFonts w:hint="eastAsia" w:cs="宋体"/>
                <w:i w:val="0"/>
                <w:iCs w:val="0"/>
                <w:color w:val="000000"/>
                <w:kern w:val="0"/>
                <w:sz w:val="22"/>
                <w:szCs w:val="22"/>
                <w:u w:val="none"/>
                <w:lang w:val="en-US" w:eastAsia="zh-CN" w:bidi="ar"/>
              </w:rPr>
              <w:t>党的二十大和二十届二中全会精神</w:t>
            </w:r>
            <w:r>
              <w:rPr>
                <w:rFonts w:hint="eastAsia" w:ascii="宋体" w:hAnsi="宋体" w:eastAsia="宋体" w:cs="宋体"/>
                <w:i w:val="0"/>
                <w:iCs w:val="0"/>
                <w:color w:val="000000"/>
                <w:kern w:val="0"/>
                <w:sz w:val="22"/>
                <w:szCs w:val="22"/>
                <w:u w:val="none"/>
                <w:lang w:val="en-US" w:eastAsia="zh-CN" w:bidi="ar"/>
              </w:rPr>
              <w:t>，在县委、县政府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w:t>
            </w:r>
          </w:p>
        </w:tc>
        <w:tc>
          <w:tcPr>
            <w:tcW w:w="334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285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24年认真贯彻落实</w:t>
            </w:r>
            <w:r>
              <w:rPr>
                <w:rFonts w:hint="eastAsia" w:cs="宋体"/>
                <w:i w:val="0"/>
                <w:iCs w:val="0"/>
                <w:color w:val="000000"/>
                <w:kern w:val="0"/>
                <w:sz w:val="22"/>
                <w:szCs w:val="22"/>
                <w:u w:val="none"/>
                <w:lang w:val="en-US" w:eastAsia="zh-CN" w:bidi="ar"/>
              </w:rPr>
              <w:t>党的二十大和二十届二中全会精神</w:t>
            </w:r>
            <w:r>
              <w:rPr>
                <w:rFonts w:hint="eastAsia" w:ascii="宋体" w:hAnsi="宋体" w:eastAsia="宋体" w:cs="宋体"/>
                <w:i w:val="0"/>
                <w:iCs w:val="0"/>
                <w:color w:val="000000"/>
                <w:kern w:val="0"/>
                <w:sz w:val="22"/>
                <w:szCs w:val="22"/>
                <w:u w:val="none"/>
                <w:lang w:val="en-US" w:eastAsia="zh-CN" w:bidi="ar"/>
              </w:rPr>
              <w:t>，在县委、县政府领导下认真做好基层党组织建设、乡村振兴、社会治安管控、民政优抚等困难群众救助、垃圾清运、人居环境整治、城区保洁、森林防火、市政设施运行及维护等工作。有效防范和化解社会矛盾，确保经济社会稳定，辖区群众满意度达90%以上。多数指标已完成，少数指标未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33"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党建培训人次</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到市、进京信访、集访次数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动物疫病防控</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较大森林为险发生次数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居民医疗保险参保率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领导干部巡河</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年生活垃圾处理量</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农村卫生厕所改厕覆盖率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森林防火面积</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社区网格员覆盖率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辖区农民人均纯收入增长量</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优抚、民政、计生等困难群众补助人数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征兵完成率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重大安全事故发生次数</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辖区河道水质</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三季度预算执行进度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应公开的政务信息公开率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预决算按时公开率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全年预算支出执行率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一般公共预算收入完成率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辖区干部满意度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辖区群众满意度</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bl>
    <w:p>
      <w:pPr>
        <w:pStyle w:val="15"/>
        <w:autoSpaceDE w:val="0"/>
        <w:ind w:left="0" w:leftChars="0" w:firstLine="0" w:firstLineChars="0"/>
        <w:rPr>
          <w:rFonts w:ascii="楷体" w:hAnsi="楷体" w:eastAsia="楷体" w:cs="楷体"/>
          <w:b/>
          <w:bCs/>
          <w:sz w:val="32"/>
          <w:szCs w:val="32"/>
          <w:shd w:val="clear" w:color="auto" w:fill="FFFFFF"/>
        </w:rPr>
      </w:pPr>
    </w:p>
    <w:p>
      <w:pPr>
        <w:pStyle w:val="21"/>
        <w:autoSpaceDE w:val="0"/>
        <w:rPr>
          <w:rFonts w:hint="eastAsia" w:ascii="方正仿宋_GBK" w:hAnsi="方正仿宋_GBK" w:eastAsia="方正仿宋_GBK" w:cs="方正仿宋_GBK"/>
          <w:sz w:val="32"/>
          <w:szCs w:val="32"/>
          <w:highlight w:val="yellow"/>
          <w:shd w:val="clear" w:color="auto" w:fill="FFFFFF"/>
          <w:lang w:eastAsia="zh-CN" w:bidi="ar"/>
        </w:rPr>
      </w:pPr>
    </w:p>
    <w:tbl>
      <w:tblPr>
        <w:tblStyle w:val="10"/>
        <w:tblW w:w="5182" w:type="pct"/>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519"/>
        <w:gridCol w:w="638"/>
        <w:gridCol w:w="982"/>
        <w:gridCol w:w="949"/>
        <w:gridCol w:w="638"/>
        <w:gridCol w:w="982"/>
        <w:gridCol w:w="793"/>
        <w:gridCol w:w="690"/>
        <w:gridCol w:w="810"/>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车辆购置税补助地方收入</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50023123T000003177813</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708-垫江县永安镇人民政府</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李丰树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0"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7,846,869.00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9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17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柏树鹤桥整治工程款</w:t>
            </w:r>
          </w:p>
        </w:tc>
        <w:tc>
          <w:tcPr>
            <w:tcW w:w="190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柏树鹤桥整治工程款</w:t>
            </w:r>
          </w:p>
        </w:tc>
        <w:tc>
          <w:tcPr>
            <w:tcW w:w="136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柏树鹤桥整治工程款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柏树鹤桥整治长度</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符合质量要求率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年度内完成率</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提高群众出行安全</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3367500</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3367500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bl>
    <w:p>
      <w:pPr>
        <w:pStyle w:val="21"/>
        <w:autoSpaceDE w:val="0"/>
        <w:ind w:firstLine="960" w:firstLineChars="300"/>
        <w:rPr>
          <w:rFonts w:hint="eastAsia" w:ascii="方正仿宋_GBK" w:hAnsi="方正仿宋_GBK" w:eastAsia="方正仿宋_GBK" w:cs="方正仿宋_GBK"/>
          <w:b w:val="0"/>
          <w:bCs w:val="0"/>
          <w:sz w:val="32"/>
          <w:szCs w:val="32"/>
          <w:shd w:val="clear" w:color="auto" w:fill="FFFFFF"/>
          <w:lang w:eastAsia="zh-CN" w:bidi="ar"/>
        </w:rPr>
      </w:pPr>
    </w:p>
    <w:p>
      <w:pPr>
        <w:pStyle w:val="21"/>
        <w:autoSpaceDE w:val="0"/>
        <w:ind w:firstLine="960" w:firstLineChars="300"/>
        <w:rPr>
          <w:rFonts w:hint="eastAsia" w:ascii="方正仿宋_GBK" w:hAnsi="方正仿宋_GBK" w:eastAsia="方正仿宋_GBK" w:cs="方正仿宋_GBK"/>
          <w:b w:val="0"/>
          <w:bCs w:val="0"/>
          <w:sz w:val="32"/>
          <w:szCs w:val="32"/>
          <w:shd w:val="clear" w:color="auto" w:fill="FFFFFF"/>
          <w:lang w:eastAsia="zh-CN" w:bidi="ar"/>
        </w:rPr>
      </w:pPr>
    </w:p>
    <w:tbl>
      <w:tblPr>
        <w:tblStyle w:val="10"/>
        <w:tblW w:w="5243" w:type="pct"/>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643"/>
        <w:gridCol w:w="482"/>
        <w:gridCol w:w="1276"/>
        <w:gridCol w:w="1121"/>
        <w:gridCol w:w="638"/>
        <w:gridCol w:w="773"/>
        <w:gridCol w:w="794"/>
        <w:gridCol w:w="601"/>
        <w:gridCol w:w="796"/>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土地征收补偿费</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50023125T000004871291</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708-垫江县永安镇人民政府</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014-会计管理核算中心</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李丰树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74546695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26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26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5,621,810.25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26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8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89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按照《重庆市国土资源和房屋管理局 重庆市财政局关于切实做好划拨土地价款征收管理工作的通知》（渝国土房管【2016】12号），拟用地单位垫支实施土地征收、拆迁补偿的划拨用地项目，价款入库后由财政部门全额安排用于土地征收、拆迁补偿。</w:t>
            </w:r>
          </w:p>
        </w:tc>
        <w:tc>
          <w:tcPr>
            <w:tcW w:w="18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按照《重庆市国土资源和房屋管理局 重庆市财政局关于切实做好划拨土地价款征收管理工作的通知》（渝国土房管【2016】12号），拟用地单位垫支实施土地征收、拆迁补偿的划拨用地项目，价款入库后由财政部门全额安排用于土地征收、拆迁补偿。</w:t>
            </w:r>
          </w:p>
        </w:tc>
        <w:tc>
          <w:tcPr>
            <w:tcW w:w="124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照《重庆市国土资源和房屋管理局 重庆市财政局关于切实做好划拨土地价款征收管理工作的通知》（渝国土房管【2016】12号），拟用地单位垫支实施土地征收、拆迁补偿的划拨用地项目，价款入库后由财政部门全额安排用于土地征收、拆迁补偿。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征地面积</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10708.21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10708.21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符合条件率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完成率</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促进经济发展</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5621810.25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5621810.25</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w:t>
            </w:r>
          </w:p>
        </w:tc>
      </w:tr>
    </w:tbl>
    <w:p>
      <w:pPr>
        <w:pStyle w:val="15"/>
        <w:autoSpaceDE w:val="0"/>
        <w:ind w:firstLine="643"/>
        <w:rPr>
          <w:rFonts w:hint="eastAsia" w:ascii="楷体" w:hAnsi="楷体" w:eastAsia="楷体" w:cs="楷体"/>
          <w:b/>
          <w:bCs/>
          <w:sz w:val="32"/>
          <w:szCs w:val="32"/>
          <w:shd w:val="clear" w:color="auto" w:fill="FFFFFF"/>
        </w:rPr>
      </w:pPr>
    </w:p>
    <w:p>
      <w:pPr>
        <w:pStyle w:val="15"/>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5"/>
        <w:autoSpaceDE w:val="0"/>
        <w:ind w:firstLine="640"/>
        <w:rPr>
          <w:rFonts w:hint="default" w:ascii="方正仿宋_GBK" w:hAnsi="方正仿宋_GBK" w:eastAsia="方正仿宋_GBK" w:cs="方正仿宋_GBK"/>
          <w:b w:val="0"/>
          <w:bCs w:val="0"/>
          <w:sz w:val="32"/>
          <w:szCs w:val="32"/>
          <w:highlight w:val="none"/>
          <w:shd w:val="clear" w:color="auto"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val="en-US" w:eastAsia="zh-CN" w:bidi="ar"/>
        </w:rPr>
        <w:t>本部门未组织开展绩效评价。</w:t>
      </w:r>
    </w:p>
    <w:p>
      <w:pPr>
        <w:pStyle w:val="15"/>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5"/>
        <w:autoSpaceDE w:val="0"/>
        <w:ind w:firstLine="640"/>
        <w:rPr>
          <w:rFonts w:hint="eastAsia" w:ascii="方正仿宋_GBK" w:hAnsi="方正仿宋_GBK" w:eastAsia="方正仿宋_GBK" w:cs="方正仿宋_GBK"/>
          <w:b w:val="0"/>
          <w:bCs w:val="0"/>
          <w:sz w:val="32"/>
          <w:szCs w:val="32"/>
          <w:highlight w:val="none"/>
          <w:shd w:val="clear" w:color="auto" w:fill="FFFFFF"/>
          <w:lang w:bidi="ar"/>
        </w:rPr>
      </w:pPr>
      <w:r>
        <w:rPr>
          <w:rFonts w:hint="eastAsia" w:ascii="方正仿宋_GBK" w:hAnsi="方正仿宋_GBK" w:eastAsia="方正仿宋_GBK" w:cs="方正仿宋_GBK"/>
          <w:b w:val="0"/>
          <w:bCs w:val="0"/>
          <w:sz w:val="32"/>
          <w:szCs w:val="32"/>
          <w:highlight w:val="none"/>
          <w:shd w:val="clear" w:color="auto" w:fill="FFFFFF"/>
          <w:lang w:eastAsia="zh-CN" w:bidi="ar"/>
        </w:rPr>
        <w:t>县财政局未委托第三方对我部门开展绩效评价。</w:t>
      </w:r>
    </w:p>
    <w:p>
      <w:pPr>
        <w:pStyle w:val="9"/>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六、专业名词解释</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hd w:val="clear" w:color="auto" w:fill="FFFFFF"/>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ascii="黑体" w:hAnsi="黑体" w:eastAsia="黑体" w:cs="黑体"/>
          <w:sz w:val="32"/>
          <w:szCs w:val="32"/>
          <w:shd w:val="clear" w:color="auto" w:fill="FFFFFF"/>
        </w:rPr>
        <w:t>七、决算公开联系方式及信息反馈渠道</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023-74546850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pStyle w:val="15"/>
        <w:autoSpaceDE w:val="0"/>
        <w:ind w:firstLine="0" w:firstLineChars="0"/>
        <w:rPr>
          <w:rStyle w:val="13"/>
          <w:rFonts w:ascii="方正仿宋_GBK" w:hAnsi="方正仿宋_GBK" w:eastAsia="方正仿宋_GBK" w:cs="方正仿宋_GBK"/>
          <w:sz w:val="32"/>
          <w:szCs w:val="32"/>
          <w:shd w:val="clear" w:color="auto" w:fill="FFFF00"/>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垫江县永安镇人民政府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5,790.56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634.33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905.34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2,275.41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1,053.80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6,424.90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7,468.05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7,468.05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7,468.05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垫江县永安镇人民政府</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6,424.90</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6,424.90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896.99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896.99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1,275.41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1,275.41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1,018.99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垫江县永安镇人民政府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7,468.05</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2,053.73</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5,414.32</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414.34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74.78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109.78</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268.17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905.34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824.17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2,275.41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633.94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1,641.47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242.04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391.90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478.37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391.90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129.47</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垫江县永安镇人民政府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5,790.56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1,053.80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1,301.83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6,424.90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6,833.72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634.33</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垫江县永安镇人民政府</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6,833.72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2,053.73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4,779.99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986.72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942.09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680.41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680.41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75.62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71.05</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489.12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414.34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74.78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141.87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109.78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268.68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268.17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134.05</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42.06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67.59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271.01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81.16</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81.16</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2,275.41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633.94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1,641.47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258.22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242.04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242.04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1,008.40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870.27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391.90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478.37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521.37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391.90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1,053.80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983.05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1,301.83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1,301.83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105.19</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105.19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应急救援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垫江县永安镇人民政府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1,339.18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250.39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255.99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192.36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68.66</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286.34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134.05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460.75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452.27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49.01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1,799.93</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253.80</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垫江县永安镇人民政府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634.33</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634.33</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562.18</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72.15</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垫江县永安镇人民政府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垫江县永安镇人民政府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159.43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159.43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13.98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55.59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15D5"/>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2F53218"/>
    <w:rsid w:val="03085511"/>
    <w:rsid w:val="03B87EA0"/>
    <w:rsid w:val="03E3214F"/>
    <w:rsid w:val="044C50BA"/>
    <w:rsid w:val="05BC6D49"/>
    <w:rsid w:val="06194FF1"/>
    <w:rsid w:val="06A2550B"/>
    <w:rsid w:val="06F80EE2"/>
    <w:rsid w:val="07001CCA"/>
    <w:rsid w:val="075678DB"/>
    <w:rsid w:val="079D7CC7"/>
    <w:rsid w:val="08051BCA"/>
    <w:rsid w:val="086C12F4"/>
    <w:rsid w:val="08BA052C"/>
    <w:rsid w:val="08DB07BA"/>
    <w:rsid w:val="09440A55"/>
    <w:rsid w:val="0969353F"/>
    <w:rsid w:val="098305D0"/>
    <w:rsid w:val="098A0877"/>
    <w:rsid w:val="0A5C4B69"/>
    <w:rsid w:val="0A86124A"/>
    <w:rsid w:val="0AB54CC0"/>
    <w:rsid w:val="0B9335CE"/>
    <w:rsid w:val="0C7927C4"/>
    <w:rsid w:val="0C9B098C"/>
    <w:rsid w:val="0CF42683"/>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B32A60"/>
    <w:rsid w:val="13CE1647"/>
    <w:rsid w:val="13FD55AB"/>
    <w:rsid w:val="14200702"/>
    <w:rsid w:val="163A6CEE"/>
    <w:rsid w:val="164002A0"/>
    <w:rsid w:val="16E11692"/>
    <w:rsid w:val="173708E3"/>
    <w:rsid w:val="17C374FC"/>
    <w:rsid w:val="18840431"/>
    <w:rsid w:val="189079DC"/>
    <w:rsid w:val="189B0D0B"/>
    <w:rsid w:val="18B43F7C"/>
    <w:rsid w:val="18FC6C57"/>
    <w:rsid w:val="194A1770"/>
    <w:rsid w:val="19B906A4"/>
    <w:rsid w:val="1B6F15B6"/>
    <w:rsid w:val="1B76180B"/>
    <w:rsid w:val="1BAA2EDC"/>
    <w:rsid w:val="1C5C0973"/>
    <w:rsid w:val="1C8C52F8"/>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0D16C9"/>
    <w:rsid w:val="21556F04"/>
    <w:rsid w:val="22403BD3"/>
    <w:rsid w:val="23DA37D9"/>
    <w:rsid w:val="240A17C0"/>
    <w:rsid w:val="24B92327"/>
    <w:rsid w:val="24C14514"/>
    <w:rsid w:val="24E61397"/>
    <w:rsid w:val="2533755C"/>
    <w:rsid w:val="25537BFE"/>
    <w:rsid w:val="25791755"/>
    <w:rsid w:val="26396DF4"/>
    <w:rsid w:val="26B446CD"/>
    <w:rsid w:val="27167136"/>
    <w:rsid w:val="276C0884"/>
    <w:rsid w:val="27B23302"/>
    <w:rsid w:val="28695A0E"/>
    <w:rsid w:val="29310A5F"/>
    <w:rsid w:val="295A45F4"/>
    <w:rsid w:val="29C37A35"/>
    <w:rsid w:val="2A076083"/>
    <w:rsid w:val="2A73162E"/>
    <w:rsid w:val="2AB7793B"/>
    <w:rsid w:val="2B167953"/>
    <w:rsid w:val="2B200583"/>
    <w:rsid w:val="2B8209DE"/>
    <w:rsid w:val="2C6762A3"/>
    <w:rsid w:val="2C956D4E"/>
    <w:rsid w:val="2CAB751D"/>
    <w:rsid w:val="2EBF7B3E"/>
    <w:rsid w:val="2EC50E19"/>
    <w:rsid w:val="2EDE1934"/>
    <w:rsid w:val="2FCA4B37"/>
    <w:rsid w:val="2FE029D7"/>
    <w:rsid w:val="2FF06E00"/>
    <w:rsid w:val="30562E26"/>
    <w:rsid w:val="30586FEC"/>
    <w:rsid w:val="30EC7046"/>
    <w:rsid w:val="30FE0870"/>
    <w:rsid w:val="3127076C"/>
    <w:rsid w:val="313C1E8F"/>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0C5B09"/>
    <w:rsid w:val="36C9128A"/>
    <w:rsid w:val="372E3953"/>
    <w:rsid w:val="37841E99"/>
    <w:rsid w:val="37BF1123"/>
    <w:rsid w:val="37C72177"/>
    <w:rsid w:val="383C3F15"/>
    <w:rsid w:val="389F78EA"/>
    <w:rsid w:val="38BE4696"/>
    <w:rsid w:val="3939115E"/>
    <w:rsid w:val="39B82A39"/>
    <w:rsid w:val="39C42CA8"/>
    <w:rsid w:val="39DC4FD6"/>
    <w:rsid w:val="39F03D7A"/>
    <w:rsid w:val="39F33306"/>
    <w:rsid w:val="3A2C1C67"/>
    <w:rsid w:val="3A494C37"/>
    <w:rsid w:val="3B1705E5"/>
    <w:rsid w:val="3B18334B"/>
    <w:rsid w:val="3B36794F"/>
    <w:rsid w:val="3C566AD6"/>
    <w:rsid w:val="3C6A5B02"/>
    <w:rsid w:val="3D2757A1"/>
    <w:rsid w:val="3D3D4FC4"/>
    <w:rsid w:val="3DDF3AB1"/>
    <w:rsid w:val="3E1877DF"/>
    <w:rsid w:val="3E1D0952"/>
    <w:rsid w:val="3E42660A"/>
    <w:rsid w:val="3E7555B1"/>
    <w:rsid w:val="3E787ED9"/>
    <w:rsid w:val="3ECB78C6"/>
    <w:rsid w:val="3EEC37F3"/>
    <w:rsid w:val="3F032E93"/>
    <w:rsid w:val="3F0527E5"/>
    <w:rsid w:val="3F694D83"/>
    <w:rsid w:val="3F885DCC"/>
    <w:rsid w:val="3F993113"/>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B2D5C"/>
    <w:rsid w:val="469D6AD4"/>
    <w:rsid w:val="46CF55AF"/>
    <w:rsid w:val="471E6C84"/>
    <w:rsid w:val="4743767B"/>
    <w:rsid w:val="4748792B"/>
    <w:rsid w:val="475D719D"/>
    <w:rsid w:val="47674801"/>
    <w:rsid w:val="47A0155D"/>
    <w:rsid w:val="47B71E17"/>
    <w:rsid w:val="47C05A64"/>
    <w:rsid w:val="48225EF7"/>
    <w:rsid w:val="488F422B"/>
    <w:rsid w:val="48B14D38"/>
    <w:rsid w:val="48E36915"/>
    <w:rsid w:val="495C4A24"/>
    <w:rsid w:val="497135DF"/>
    <w:rsid w:val="4A263DF2"/>
    <w:rsid w:val="4A6F6675"/>
    <w:rsid w:val="4A743F6F"/>
    <w:rsid w:val="4B0502DF"/>
    <w:rsid w:val="4B135857"/>
    <w:rsid w:val="4B7951CB"/>
    <w:rsid w:val="4B7C315C"/>
    <w:rsid w:val="4D2C4969"/>
    <w:rsid w:val="4DAC4ACA"/>
    <w:rsid w:val="4DBE01D2"/>
    <w:rsid w:val="4EC310A1"/>
    <w:rsid w:val="4EFC6D10"/>
    <w:rsid w:val="4F0C6BA3"/>
    <w:rsid w:val="4F10477D"/>
    <w:rsid w:val="4F186D58"/>
    <w:rsid w:val="4F530677"/>
    <w:rsid w:val="4FEA65B7"/>
    <w:rsid w:val="4FF4660A"/>
    <w:rsid w:val="50F06B6E"/>
    <w:rsid w:val="511C4FE5"/>
    <w:rsid w:val="51C2671C"/>
    <w:rsid w:val="51E43ECB"/>
    <w:rsid w:val="52234D33"/>
    <w:rsid w:val="522F6E0C"/>
    <w:rsid w:val="52463BA1"/>
    <w:rsid w:val="52F163D4"/>
    <w:rsid w:val="531A2DB4"/>
    <w:rsid w:val="53C0244D"/>
    <w:rsid w:val="53DD4D4E"/>
    <w:rsid w:val="53E578CE"/>
    <w:rsid w:val="541330F0"/>
    <w:rsid w:val="54272666"/>
    <w:rsid w:val="543B029D"/>
    <w:rsid w:val="545C7FCE"/>
    <w:rsid w:val="54861779"/>
    <w:rsid w:val="54AD4386"/>
    <w:rsid w:val="54B43966"/>
    <w:rsid w:val="552256E1"/>
    <w:rsid w:val="554E5773"/>
    <w:rsid w:val="555A3CBC"/>
    <w:rsid w:val="55816518"/>
    <w:rsid w:val="5582012B"/>
    <w:rsid w:val="558E4E05"/>
    <w:rsid w:val="55BE2E85"/>
    <w:rsid w:val="56530F5D"/>
    <w:rsid w:val="567700D3"/>
    <w:rsid w:val="56FF7E9E"/>
    <w:rsid w:val="578867FC"/>
    <w:rsid w:val="5842572D"/>
    <w:rsid w:val="59507D05"/>
    <w:rsid w:val="59786F11"/>
    <w:rsid w:val="5A3B59D6"/>
    <w:rsid w:val="5AD134D8"/>
    <w:rsid w:val="5B6503B1"/>
    <w:rsid w:val="5BA320C9"/>
    <w:rsid w:val="5C263CE4"/>
    <w:rsid w:val="5C5D2777"/>
    <w:rsid w:val="5CF000D6"/>
    <w:rsid w:val="5CF66BF3"/>
    <w:rsid w:val="5D290C69"/>
    <w:rsid w:val="5F2D4A41"/>
    <w:rsid w:val="60C74F6C"/>
    <w:rsid w:val="60D274A6"/>
    <w:rsid w:val="61025A59"/>
    <w:rsid w:val="613D5BBC"/>
    <w:rsid w:val="61536C39"/>
    <w:rsid w:val="6162474A"/>
    <w:rsid w:val="62944DD7"/>
    <w:rsid w:val="6295025A"/>
    <w:rsid w:val="6319381F"/>
    <w:rsid w:val="63236436"/>
    <w:rsid w:val="6366447C"/>
    <w:rsid w:val="63B1024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426CC9"/>
    <w:rsid w:val="6AAD2300"/>
    <w:rsid w:val="6B474EF5"/>
    <w:rsid w:val="6BBF53FD"/>
    <w:rsid w:val="6C560CAE"/>
    <w:rsid w:val="6C576495"/>
    <w:rsid w:val="6D903FF5"/>
    <w:rsid w:val="6DA955B8"/>
    <w:rsid w:val="6DE346AB"/>
    <w:rsid w:val="6DE5391A"/>
    <w:rsid w:val="6EFD1324"/>
    <w:rsid w:val="6F5A53AC"/>
    <w:rsid w:val="6FA56875"/>
    <w:rsid w:val="6FAC003D"/>
    <w:rsid w:val="6FE55E12"/>
    <w:rsid w:val="6FFB2E76"/>
    <w:rsid w:val="708F6F7F"/>
    <w:rsid w:val="70D94BD3"/>
    <w:rsid w:val="71627E47"/>
    <w:rsid w:val="716419ED"/>
    <w:rsid w:val="71C34D91"/>
    <w:rsid w:val="72DB435C"/>
    <w:rsid w:val="72E2613A"/>
    <w:rsid w:val="72F771F4"/>
    <w:rsid w:val="736650B0"/>
    <w:rsid w:val="73934AD2"/>
    <w:rsid w:val="743E2DF5"/>
    <w:rsid w:val="750837F0"/>
    <w:rsid w:val="754758CF"/>
    <w:rsid w:val="764F62AB"/>
    <w:rsid w:val="765C45EC"/>
    <w:rsid w:val="768A7619"/>
    <w:rsid w:val="770339C1"/>
    <w:rsid w:val="772E1EBA"/>
    <w:rsid w:val="77EB79F7"/>
    <w:rsid w:val="789E5569"/>
    <w:rsid w:val="796D60A4"/>
    <w:rsid w:val="79A031D5"/>
    <w:rsid w:val="7A1525F7"/>
    <w:rsid w:val="7B420052"/>
    <w:rsid w:val="7B861484"/>
    <w:rsid w:val="7BD06A28"/>
    <w:rsid w:val="7C3A7C0B"/>
    <w:rsid w:val="7C5248E4"/>
    <w:rsid w:val="7C566698"/>
    <w:rsid w:val="7C5866A3"/>
    <w:rsid w:val="7CE01684"/>
    <w:rsid w:val="7CF3625E"/>
    <w:rsid w:val="7D7406BB"/>
    <w:rsid w:val="7DE94331"/>
    <w:rsid w:val="7EC505F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567"/>
    </w:pPr>
  </w:style>
  <w:style w:type="paragraph" w:styleId="3">
    <w:name w:val="Body Text"/>
    <w:basedOn w:val="1"/>
    <w:link w:val="20"/>
    <w:qFormat/>
    <w:uiPriority w:val="99"/>
    <w:rPr>
      <w:sz w:val="36"/>
    </w:rPr>
  </w:style>
  <w:style w:type="paragraph" w:styleId="4">
    <w:name w:val="Plain Text"/>
    <w:basedOn w:val="1"/>
    <w:unhideWhenUsed/>
    <w:qFormat/>
    <w:uiPriority w:val="99"/>
    <w:rPr>
      <w:rFonts w:ascii="宋体" w:hAnsi="Courier New" w:eastAsia="宋体" w:cs="Courier New"/>
      <w:szCs w:val="21"/>
    </w:rPr>
  </w:style>
  <w:style w:type="paragraph" w:styleId="5">
    <w:name w:val="Balloon Text"/>
    <w:basedOn w:val="1"/>
    <w:link w:val="19"/>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character" w:styleId="14">
    <w:name w:val="Hyperlink"/>
    <w:basedOn w:val="12"/>
    <w:autoRedefine/>
    <w:qFormat/>
    <w:uiPriority w:val="99"/>
    <w:rPr>
      <w:color w:val="0000FF"/>
      <w:u w:val="none"/>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2"/>
    <w:link w:val="5"/>
    <w:autoRedefine/>
    <w:qFormat/>
    <w:uiPriority w:val="0"/>
    <w:rPr>
      <w:rFonts w:ascii="宋体" w:hAnsi="宋体"/>
      <w:sz w:val="18"/>
      <w:szCs w:val="18"/>
    </w:rPr>
  </w:style>
  <w:style w:type="character" w:customStyle="1" w:styleId="20">
    <w:name w:val="正文文本 Char"/>
    <w:basedOn w:val="12"/>
    <w:link w:val="3"/>
    <w:qFormat/>
    <w:uiPriority w:val="99"/>
    <w:rPr>
      <w:sz w:val="36"/>
    </w:rPr>
  </w:style>
  <w:style w:type="paragraph" w:customStyle="1" w:styleId="21">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12521</Words>
  <Characters>14183</Characters>
  <Lines>194</Lines>
  <Paragraphs>54</Paragraphs>
  <TotalTime>2</TotalTime>
  <ScaleCrop>false</ScaleCrop>
  <LinksUpToDate>false</LinksUpToDate>
  <CharactersWithSpaces>14308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2025-10-13T06:14:23Z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