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94" w:lineRule="exact"/>
        <w:ind w:firstLine="0"/>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垫江县永平镇劳动就业和社会保障服务所</w:t>
      </w:r>
    </w:p>
    <w:p>
      <w:pPr>
        <w:pStyle w:val="3"/>
        <w:spacing w:line="594" w:lineRule="exact"/>
        <w:ind w:firstLine="1760" w:firstLineChars="400"/>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2023年度决算公开说明</w:t>
      </w:r>
    </w:p>
    <w:p>
      <w:pPr>
        <w:rPr>
          <w:rFonts w:hint="default"/>
        </w:rPr>
      </w:pPr>
    </w:p>
    <w:p>
      <w:pPr>
        <w:pStyle w:val="3"/>
        <w:spacing w:line="560" w:lineRule="exact"/>
        <w:ind w:firstLine="640" w:firstLineChars="200"/>
        <w:rPr>
          <w:rFonts w:hint="default" w:ascii="Times New Roman" w:hAnsi="Times New Roman" w:eastAsia="方正黑体_GBK"/>
          <w:sz w:val="32"/>
          <w:szCs w:val="32"/>
        </w:rPr>
      </w:pPr>
      <w:r>
        <w:rPr>
          <w:rFonts w:ascii="Times New Roman" w:hAnsi="Times New Roman" w:eastAsia="方正黑体_GBK"/>
          <w:sz w:val="32"/>
          <w:szCs w:val="32"/>
        </w:rPr>
        <w:t>一、单位基本情况</w:t>
      </w:r>
    </w:p>
    <w:p>
      <w:pPr>
        <w:pStyle w:val="3"/>
        <w:spacing w:line="560" w:lineRule="exact"/>
        <w:ind w:firstLine="640" w:firstLineChars="200"/>
        <w:rPr>
          <w:rFonts w:hint="default" w:ascii="楷体" w:hAnsi="楷体" w:eastAsia="楷体" w:cs="楷体"/>
          <w:sz w:val="32"/>
          <w:szCs w:val="32"/>
        </w:rPr>
      </w:pPr>
      <w:r>
        <w:rPr>
          <w:rFonts w:ascii="楷体" w:hAnsi="楷体" w:eastAsia="楷体" w:cs="楷体"/>
          <w:sz w:val="32"/>
          <w:szCs w:val="32"/>
        </w:rPr>
        <w:t>（一）职能职责</w:t>
      </w:r>
    </w:p>
    <w:p>
      <w:pPr>
        <w:spacing w:line="560"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宗旨：为辖区劳动就业和社会保障提供服务。主要职责：负责劳动就业和社会保障、农村劳务开发管理等具体工作。负责就业培训、职业指导、就业失业登记等相关工作。负责养老、医疗、工伤、生育、失业保险具体办理工作。负责劳动关系协调、离退休人员社会管理服务等工作。</w:t>
      </w:r>
    </w:p>
    <w:p>
      <w:pPr>
        <w:pStyle w:val="3"/>
        <w:spacing w:line="560" w:lineRule="exact"/>
        <w:ind w:firstLine="640" w:firstLineChars="200"/>
        <w:rPr>
          <w:rFonts w:hint="default" w:ascii="楷体" w:hAnsi="楷体" w:eastAsia="楷体" w:cs="楷体"/>
          <w:sz w:val="32"/>
          <w:szCs w:val="32"/>
        </w:rPr>
      </w:pPr>
      <w:r>
        <w:rPr>
          <w:rFonts w:ascii="楷体" w:hAnsi="楷体" w:eastAsia="楷体" w:cs="楷体"/>
          <w:sz w:val="32"/>
          <w:szCs w:val="32"/>
        </w:rPr>
        <w:t>（二）机构设置</w:t>
      </w:r>
    </w:p>
    <w:p>
      <w:pPr>
        <w:snapToGrid w:val="0"/>
        <w:spacing w:line="560" w:lineRule="exact"/>
        <w:ind w:firstLine="642" w:firstLineChars="200"/>
        <w:rPr>
          <w:rFonts w:hint="default" w:ascii="方正仿宋_GBK" w:hAnsi="Times New Roman" w:eastAsia="方正仿宋_GBK"/>
          <w:b/>
          <w:sz w:val="32"/>
          <w:szCs w:val="32"/>
          <w:shd w:val="clear" w:color="auto" w:fill="FFFFFF"/>
        </w:rPr>
      </w:pPr>
      <w:r>
        <w:rPr>
          <w:rFonts w:ascii="方正仿宋_GBK" w:hAnsi="Times New Roman" w:eastAsia="方正仿宋_GBK"/>
          <w:b/>
          <w:sz w:val="32"/>
          <w:szCs w:val="32"/>
          <w:shd w:val="clear" w:color="auto" w:fill="FFFFFF"/>
        </w:rPr>
        <w:t>1.机构情况</w:t>
      </w:r>
    </w:p>
    <w:p>
      <w:pPr>
        <w:snapToGrid w:val="0"/>
        <w:spacing w:line="560" w:lineRule="exact"/>
        <w:ind w:firstLine="640" w:firstLineChars="200"/>
        <w:rPr>
          <w:rFonts w:hint="default" w:ascii="方正仿宋_GBK" w:hAnsi="Times New Roman" w:eastAsia="方正仿宋_GBK"/>
          <w:sz w:val="32"/>
          <w:szCs w:val="32"/>
          <w:shd w:val="clear" w:color="auto" w:fill="FFFFFF"/>
        </w:rPr>
      </w:pPr>
      <w:r>
        <w:rPr>
          <w:rFonts w:ascii="方正仿宋_GBK" w:hAnsi="Times New Roman" w:eastAsia="方正仿宋_GBK"/>
          <w:sz w:val="32"/>
          <w:szCs w:val="32"/>
          <w:shd w:val="clear" w:color="auto" w:fill="FFFFFF"/>
        </w:rPr>
        <w:t>本单位内设独立编制机构数1个。</w:t>
      </w:r>
    </w:p>
    <w:p>
      <w:pPr>
        <w:snapToGrid w:val="0"/>
        <w:spacing w:line="560" w:lineRule="exact"/>
        <w:ind w:firstLine="642" w:firstLineChars="200"/>
        <w:rPr>
          <w:rFonts w:hint="default" w:ascii="方正仿宋_GBK" w:hAnsi="Times New Roman" w:eastAsia="方正仿宋_GBK"/>
          <w:b/>
          <w:sz w:val="32"/>
          <w:szCs w:val="32"/>
          <w:shd w:val="clear" w:color="auto" w:fill="FFFFFF"/>
        </w:rPr>
      </w:pPr>
      <w:r>
        <w:rPr>
          <w:rFonts w:ascii="方正仿宋_GBK" w:hAnsi="Times New Roman" w:eastAsia="方正仿宋_GBK"/>
          <w:b/>
          <w:sz w:val="32"/>
          <w:szCs w:val="32"/>
          <w:shd w:val="clear" w:color="auto" w:fill="FFFFFF"/>
        </w:rPr>
        <w:t>2.人员情况</w:t>
      </w:r>
    </w:p>
    <w:p>
      <w:pPr>
        <w:snapToGrid w:val="0"/>
        <w:spacing w:line="560" w:lineRule="exact"/>
        <w:ind w:firstLine="640" w:firstLineChars="200"/>
        <w:rPr>
          <w:rFonts w:hint="default" w:ascii="方正仿宋_GBK" w:hAnsi="Times New Roman" w:eastAsia="方正仿宋_GBK"/>
          <w:sz w:val="32"/>
          <w:szCs w:val="32"/>
          <w:shd w:val="clear" w:color="auto" w:fill="FFFFFF"/>
        </w:rPr>
      </w:pPr>
      <w:r>
        <w:rPr>
          <w:rFonts w:ascii="方正仿宋_GBK" w:hAnsi="Times New Roman" w:eastAsia="方正仿宋_GBK"/>
          <w:sz w:val="32"/>
          <w:szCs w:val="32"/>
          <w:shd w:val="clear" w:color="auto" w:fill="FFFFFF"/>
        </w:rPr>
        <w:t>本单位现有在职职工5人。</w:t>
      </w:r>
    </w:p>
    <w:p>
      <w:pPr>
        <w:spacing w:line="560" w:lineRule="exact"/>
        <w:ind w:firstLine="640" w:firstLineChars="200"/>
        <w:rPr>
          <w:rFonts w:hint="default" w:ascii="方正黑体_GBK" w:hAnsi="方正黑体_GBK" w:eastAsia="方正黑体_GBK" w:cs="方正黑体_GBK"/>
          <w:color w:val="000000"/>
          <w:sz w:val="32"/>
          <w:szCs w:val="32"/>
        </w:rPr>
      </w:pPr>
      <w:r>
        <w:rPr>
          <w:rFonts w:ascii="方正黑体_GBK" w:hAnsi="方正黑体_GBK" w:eastAsia="方正黑体_GBK" w:cs="方正黑体_GBK"/>
          <w:color w:val="000000"/>
          <w:sz w:val="32"/>
          <w:szCs w:val="32"/>
        </w:rPr>
        <w:t>二、部门决算情况说明</w:t>
      </w:r>
    </w:p>
    <w:p>
      <w:pPr>
        <w:pStyle w:val="3"/>
        <w:spacing w:line="560" w:lineRule="exact"/>
        <w:ind w:firstLine="640" w:firstLineChars="200"/>
        <w:rPr>
          <w:rFonts w:hint="default" w:ascii="楷体" w:hAnsi="楷体" w:eastAsia="楷体" w:cs="楷体"/>
          <w:sz w:val="32"/>
          <w:szCs w:val="32"/>
        </w:rPr>
      </w:pPr>
      <w:r>
        <w:rPr>
          <w:rFonts w:ascii="楷体" w:hAnsi="楷体" w:eastAsia="楷体" w:cs="楷体"/>
          <w:sz w:val="32"/>
          <w:szCs w:val="32"/>
        </w:rPr>
        <w:t>（一）收入支出决算总体情况说明</w:t>
      </w:r>
    </w:p>
    <w:p>
      <w:pPr>
        <w:pStyle w:val="3"/>
        <w:spacing w:line="560" w:lineRule="exact"/>
        <w:ind w:firstLine="642" w:firstLineChars="200"/>
        <w:rPr>
          <w:rFonts w:hint="default" w:ascii="方正仿宋_GBK" w:hAnsi="Times New Roman" w:eastAsia="方正仿宋_GBK"/>
          <w:sz w:val="32"/>
          <w:szCs w:val="32"/>
        </w:rPr>
      </w:pPr>
      <w:r>
        <w:rPr>
          <w:rFonts w:ascii="方正仿宋_GBK" w:hAnsi="Times New Roman" w:eastAsia="方正仿宋_GBK"/>
          <w:b/>
          <w:bCs/>
          <w:sz w:val="32"/>
          <w:szCs w:val="32"/>
        </w:rPr>
        <w:t>1.总体情况。</w:t>
      </w:r>
      <w:r>
        <w:rPr>
          <w:rFonts w:ascii="方正仿宋_GBK" w:hAnsi="Times New Roman" w:eastAsia="方正仿宋_GBK"/>
          <w:sz w:val="32"/>
          <w:szCs w:val="32"/>
        </w:rPr>
        <w:t>2023年度收</w:t>
      </w:r>
      <w:r>
        <w:rPr>
          <w:rFonts w:ascii="方正仿宋_GBK" w:hAnsi="Times New Roman" w:eastAsia="方正仿宋_GBK"/>
          <w:sz w:val="32"/>
          <w:szCs w:val="32"/>
          <w:shd w:val="clear" w:color="auto" w:fill="FFFFFF"/>
        </w:rPr>
        <w:t>入总计108.44万元，支出总计</w:t>
      </w:r>
      <w:r>
        <w:rPr>
          <w:rFonts w:ascii="方正仿宋_GBK" w:hAnsi="Times New Roman" w:eastAsia="方正仿宋_GBK"/>
          <w:sz w:val="32"/>
          <w:szCs w:val="32"/>
        </w:rPr>
        <w:t>108.44</w:t>
      </w:r>
      <w:r>
        <w:rPr>
          <w:rFonts w:ascii="方正仿宋_GBK" w:hAnsi="Times New Roman" w:eastAsia="方正仿宋_GBK"/>
          <w:sz w:val="32"/>
          <w:szCs w:val="32"/>
          <w:shd w:val="clear" w:color="auto" w:fill="FFFFFF"/>
        </w:rPr>
        <w:t>万元。收支较上年决算数增加108.44万元，增长100.00%，主要原因是</w:t>
      </w:r>
      <w:r>
        <w:rPr>
          <w:rFonts w:ascii="方正仿宋_GBK" w:hAnsi="Times New Roman" w:eastAsia="方正仿宋_GBK"/>
          <w:sz w:val="32"/>
          <w:szCs w:val="32"/>
        </w:rPr>
        <w:t>本单位为新增单位,上年度无数据。</w:t>
      </w:r>
    </w:p>
    <w:p>
      <w:pPr>
        <w:pStyle w:val="9"/>
        <w:snapToGrid w:val="0"/>
        <w:spacing w:before="0" w:beforeAutospacing="0" w:after="0" w:afterAutospacing="0" w:line="560" w:lineRule="exact"/>
        <w:ind w:firstLine="642" w:firstLineChars="200"/>
        <w:jc w:val="both"/>
        <w:rPr>
          <w:rFonts w:hint="default" w:ascii="方正仿宋_GBK" w:hAnsi="Times New Roman" w:eastAsia="方正仿宋_GBK"/>
          <w:sz w:val="32"/>
          <w:szCs w:val="32"/>
          <w:shd w:val="clear" w:color="auto" w:fill="FFFFFF"/>
        </w:rPr>
      </w:pPr>
      <w:r>
        <w:rPr>
          <w:rStyle w:val="13"/>
          <w:rFonts w:ascii="方正仿宋_GBK" w:hAnsi="Times New Roman" w:eastAsia="方正仿宋_GBK"/>
          <w:sz w:val="32"/>
          <w:szCs w:val="32"/>
          <w:shd w:val="clear" w:color="auto" w:fill="FFFFFF"/>
        </w:rPr>
        <w:t>2.收入情况。</w:t>
      </w:r>
      <w:r>
        <w:rPr>
          <w:rFonts w:ascii="方正仿宋_GBK" w:hAnsi="Times New Roman" w:eastAsia="方正仿宋_GBK"/>
          <w:sz w:val="32"/>
          <w:szCs w:val="32"/>
          <w:shd w:val="clear" w:color="auto" w:fill="FFFFFF"/>
        </w:rPr>
        <w:t>2023年度收入合计108.44万元，较上年决算数增加108.44万元，增长100.00%，主要原因是</w:t>
      </w:r>
      <w:r>
        <w:rPr>
          <w:rFonts w:ascii="方正仿宋_GBK" w:hAnsi="Times New Roman" w:eastAsia="方正仿宋_GBK"/>
          <w:sz w:val="32"/>
          <w:szCs w:val="32"/>
        </w:rPr>
        <w:t>本单位为新增单位,上年度无数据。</w:t>
      </w:r>
      <w:r>
        <w:rPr>
          <w:rFonts w:ascii="方正仿宋_GBK" w:hAnsi="Times New Roman" w:eastAsia="方正仿宋_GBK"/>
          <w:sz w:val="32"/>
          <w:szCs w:val="32"/>
          <w:shd w:val="clear" w:color="auto" w:fill="FFFFFF"/>
        </w:rPr>
        <w:t>其中：财政拨款收入</w:t>
      </w:r>
      <w:r>
        <w:rPr>
          <w:rFonts w:ascii="方正仿宋_GBK" w:hAnsi="Times New Roman" w:eastAsia="方正仿宋_GBK"/>
          <w:sz w:val="32"/>
          <w:szCs w:val="32"/>
        </w:rPr>
        <w:t>108.44</w:t>
      </w:r>
      <w:r>
        <w:rPr>
          <w:rFonts w:ascii="方正仿宋_GBK" w:hAnsi="Times New Roman" w:eastAsia="方正仿宋_GBK"/>
          <w:sz w:val="32"/>
          <w:szCs w:val="32"/>
          <w:shd w:val="clear" w:color="auto" w:fill="FFFFFF"/>
        </w:rPr>
        <w:t>万元，占</w:t>
      </w:r>
      <w:r>
        <w:rPr>
          <w:rFonts w:ascii="方正仿宋_GBK" w:hAnsi="Times New Roman" w:eastAsia="方正仿宋_GBK"/>
          <w:sz w:val="32"/>
          <w:szCs w:val="32"/>
        </w:rPr>
        <w:t>100.00</w:t>
      </w:r>
      <w:r>
        <w:rPr>
          <w:rFonts w:ascii="方正仿宋_GBK" w:hAnsi="Times New Roman" w:eastAsia="方正仿宋_GBK"/>
          <w:sz w:val="32"/>
          <w:szCs w:val="32"/>
          <w:shd w:val="clear" w:color="auto" w:fill="FFFFFF"/>
        </w:rPr>
        <w:t>%；事业收入</w:t>
      </w:r>
      <w:r>
        <w:rPr>
          <w:rFonts w:ascii="方正仿宋_GBK" w:hAnsi="Times New Roman" w:eastAsia="方正仿宋_GBK"/>
          <w:sz w:val="32"/>
          <w:szCs w:val="32"/>
        </w:rPr>
        <w:t>0.00</w:t>
      </w:r>
      <w:r>
        <w:rPr>
          <w:rFonts w:ascii="方正仿宋_GBK" w:hAnsi="Times New Roman" w:eastAsia="方正仿宋_GBK"/>
          <w:sz w:val="32"/>
          <w:szCs w:val="32"/>
          <w:shd w:val="clear" w:color="auto" w:fill="FFFFFF"/>
        </w:rPr>
        <w:t>万元，占0.00%；经营收入</w:t>
      </w:r>
      <w:r>
        <w:rPr>
          <w:rFonts w:ascii="方正仿宋_GBK" w:hAnsi="Times New Roman" w:eastAsia="方正仿宋_GBK"/>
          <w:sz w:val="32"/>
          <w:szCs w:val="32"/>
        </w:rPr>
        <w:t>0.00</w:t>
      </w:r>
      <w:r>
        <w:rPr>
          <w:rFonts w:ascii="方正仿宋_GBK" w:hAnsi="Times New Roman" w:eastAsia="方正仿宋_GBK"/>
          <w:sz w:val="32"/>
          <w:szCs w:val="32"/>
          <w:shd w:val="clear" w:color="auto" w:fill="FFFFFF"/>
        </w:rPr>
        <w:t>万元，占0.00%；其他收入</w:t>
      </w:r>
      <w:r>
        <w:rPr>
          <w:rFonts w:ascii="方正仿宋_GBK" w:hAnsi="Times New Roman" w:eastAsia="方正仿宋_GBK"/>
          <w:sz w:val="32"/>
          <w:szCs w:val="32"/>
        </w:rPr>
        <w:t>0.00</w:t>
      </w:r>
      <w:r>
        <w:rPr>
          <w:rFonts w:ascii="方正仿宋_GBK" w:hAnsi="Times New Roman" w:eastAsia="方正仿宋_GBK"/>
          <w:sz w:val="32"/>
          <w:szCs w:val="32"/>
          <w:shd w:val="clear" w:color="auto" w:fill="FFFFFF"/>
        </w:rPr>
        <w:t>万元，占0.00%。此外，使用非财政拨款结余和专用结余</w:t>
      </w:r>
      <w:r>
        <w:rPr>
          <w:rFonts w:ascii="方正仿宋_GBK" w:hAnsi="Times New Roman" w:eastAsia="方正仿宋_GBK"/>
          <w:sz w:val="32"/>
          <w:szCs w:val="32"/>
        </w:rPr>
        <w:t>0.00</w:t>
      </w:r>
      <w:r>
        <w:rPr>
          <w:rFonts w:ascii="方正仿宋_GBK" w:hAnsi="Times New Roman" w:eastAsia="方正仿宋_GBK"/>
          <w:sz w:val="32"/>
          <w:szCs w:val="32"/>
          <w:shd w:val="clear" w:color="auto" w:fill="FFFFFF"/>
        </w:rPr>
        <w:t>万元，年初结转和结余</w:t>
      </w:r>
      <w:r>
        <w:rPr>
          <w:rFonts w:ascii="方正仿宋_GBK" w:hAnsi="Times New Roman" w:eastAsia="方正仿宋_GBK"/>
          <w:sz w:val="32"/>
          <w:szCs w:val="32"/>
        </w:rPr>
        <w:t>0.00</w:t>
      </w:r>
      <w:r>
        <w:rPr>
          <w:rFonts w:ascii="方正仿宋_GBK" w:hAnsi="Times New Roman" w:eastAsia="方正仿宋_GBK"/>
          <w:sz w:val="32"/>
          <w:szCs w:val="32"/>
          <w:shd w:val="clear" w:color="auto" w:fill="FFFFFF"/>
        </w:rPr>
        <w:t>万元。</w:t>
      </w:r>
    </w:p>
    <w:p>
      <w:pPr>
        <w:pStyle w:val="9"/>
        <w:snapToGrid w:val="0"/>
        <w:spacing w:before="0" w:beforeAutospacing="0" w:after="0" w:afterAutospacing="0" w:line="560" w:lineRule="exact"/>
        <w:ind w:firstLine="642" w:firstLineChars="200"/>
        <w:jc w:val="both"/>
        <w:rPr>
          <w:rFonts w:hint="default" w:ascii="方正仿宋_GBK" w:hAnsi="Times New Roman" w:eastAsia="方正仿宋_GBK"/>
          <w:sz w:val="32"/>
          <w:szCs w:val="32"/>
          <w:shd w:val="clear" w:color="auto" w:fill="FFFFFF"/>
        </w:rPr>
      </w:pPr>
      <w:r>
        <w:rPr>
          <w:rStyle w:val="13"/>
          <w:rFonts w:ascii="方正仿宋_GBK" w:hAnsi="Times New Roman" w:eastAsia="方正仿宋_GBK"/>
          <w:sz w:val="32"/>
          <w:szCs w:val="32"/>
          <w:shd w:val="clear" w:color="auto" w:fill="FFFFFF"/>
        </w:rPr>
        <w:t>3.支出情况。</w:t>
      </w:r>
      <w:r>
        <w:rPr>
          <w:rFonts w:ascii="方正仿宋_GBK" w:hAnsi="Times New Roman" w:eastAsia="方正仿宋_GBK"/>
          <w:sz w:val="32"/>
          <w:szCs w:val="32"/>
          <w:shd w:val="clear" w:color="auto" w:fill="FFFFFF"/>
        </w:rPr>
        <w:t>2023年度支出合计</w:t>
      </w:r>
      <w:r>
        <w:rPr>
          <w:rFonts w:ascii="方正仿宋_GBK" w:hAnsi="Times New Roman" w:eastAsia="方正仿宋_GBK"/>
          <w:sz w:val="32"/>
          <w:szCs w:val="32"/>
        </w:rPr>
        <w:t>108.44</w:t>
      </w:r>
      <w:r>
        <w:rPr>
          <w:rFonts w:ascii="方正仿宋_GBK" w:hAnsi="Times New Roman" w:eastAsia="方正仿宋_GBK"/>
          <w:sz w:val="32"/>
          <w:szCs w:val="32"/>
          <w:shd w:val="clear" w:color="auto" w:fill="FFFFFF"/>
        </w:rPr>
        <w:t>万元，较上年决算数增加108.44万元，增长100.00%，主要原因是</w:t>
      </w:r>
      <w:r>
        <w:rPr>
          <w:rFonts w:ascii="方正仿宋_GBK" w:hAnsi="Times New Roman" w:eastAsia="方正仿宋_GBK"/>
          <w:sz w:val="32"/>
          <w:szCs w:val="32"/>
        </w:rPr>
        <w:t>本单位为新增单位,上年度无数据。</w:t>
      </w:r>
      <w:r>
        <w:rPr>
          <w:rFonts w:ascii="方正仿宋_GBK" w:hAnsi="Times New Roman" w:eastAsia="方正仿宋_GBK"/>
          <w:sz w:val="32"/>
          <w:szCs w:val="32"/>
          <w:shd w:val="clear" w:color="auto" w:fill="FFFFFF"/>
        </w:rPr>
        <w:t>其中：基本支出</w:t>
      </w:r>
      <w:r>
        <w:rPr>
          <w:rFonts w:ascii="方正仿宋_GBK" w:hAnsi="Times New Roman" w:eastAsia="方正仿宋_GBK"/>
          <w:sz w:val="32"/>
          <w:szCs w:val="32"/>
        </w:rPr>
        <w:t>108.44</w:t>
      </w:r>
      <w:r>
        <w:rPr>
          <w:rFonts w:ascii="方正仿宋_GBK" w:hAnsi="Times New Roman" w:eastAsia="方正仿宋_GBK"/>
          <w:sz w:val="32"/>
          <w:szCs w:val="32"/>
          <w:shd w:val="clear" w:color="auto" w:fill="FFFFFF"/>
        </w:rPr>
        <w:t>万元，占100.00%；项目支出</w:t>
      </w:r>
      <w:r>
        <w:rPr>
          <w:rFonts w:ascii="方正仿宋_GBK" w:hAnsi="Times New Roman" w:eastAsia="方正仿宋_GBK"/>
          <w:sz w:val="32"/>
          <w:szCs w:val="32"/>
        </w:rPr>
        <w:t>0.00</w:t>
      </w:r>
      <w:r>
        <w:rPr>
          <w:rFonts w:ascii="方正仿宋_GBK" w:hAnsi="Times New Roman" w:eastAsia="方正仿宋_GBK"/>
          <w:sz w:val="32"/>
          <w:szCs w:val="32"/>
          <w:shd w:val="clear" w:color="auto" w:fill="FFFFFF"/>
        </w:rPr>
        <w:t>万元，占0.00%；经营支出</w:t>
      </w:r>
      <w:r>
        <w:rPr>
          <w:rFonts w:ascii="方正仿宋_GBK" w:hAnsi="Times New Roman" w:eastAsia="方正仿宋_GBK"/>
          <w:sz w:val="32"/>
          <w:szCs w:val="32"/>
        </w:rPr>
        <w:t>0.00</w:t>
      </w:r>
      <w:r>
        <w:rPr>
          <w:rFonts w:ascii="方正仿宋_GBK" w:hAnsi="Times New Roman" w:eastAsia="方正仿宋_GBK"/>
          <w:sz w:val="32"/>
          <w:szCs w:val="32"/>
          <w:shd w:val="clear" w:color="auto" w:fill="FFFFFF"/>
        </w:rPr>
        <w:t>万元，占0.00%。此外，结余分配</w:t>
      </w:r>
      <w:r>
        <w:rPr>
          <w:rFonts w:ascii="方正仿宋_GBK" w:hAnsi="Times New Roman" w:eastAsia="方正仿宋_GBK"/>
          <w:sz w:val="32"/>
          <w:szCs w:val="32"/>
        </w:rPr>
        <w:t>0.00</w:t>
      </w:r>
      <w:r>
        <w:rPr>
          <w:rFonts w:ascii="方正仿宋_GBK" w:hAnsi="Times New Roman" w:eastAsia="方正仿宋_GBK"/>
          <w:sz w:val="32"/>
          <w:szCs w:val="32"/>
          <w:shd w:val="clear" w:color="auto" w:fill="FFFFFF"/>
        </w:rPr>
        <w:t>万元。</w:t>
      </w:r>
    </w:p>
    <w:p>
      <w:pPr>
        <w:pStyle w:val="9"/>
        <w:snapToGrid w:val="0"/>
        <w:spacing w:before="0" w:beforeAutospacing="0" w:after="0" w:afterAutospacing="0" w:line="560" w:lineRule="exact"/>
        <w:ind w:firstLine="642" w:firstLineChars="200"/>
        <w:jc w:val="both"/>
        <w:rPr>
          <w:rFonts w:hint="default" w:ascii="方正仿宋_GBK" w:hAnsi="Times New Roman" w:eastAsia="方正仿宋_GBK"/>
          <w:sz w:val="32"/>
          <w:szCs w:val="32"/>
        </w:rPr>
      </w:pPr>
      <w:r>
        <w:rPr>
          <w:rStyle w:val="13"/>
          <w:rFonts w:ascii="方正仿宋_GBK" w:hAnsi="Times New Roman" w:eastAsia="方正仿宋_GBK"/>
          <w:sz w:val="32"/>
          <w:szCs w:val="32"/>
          <w:shd w:val="clear" w:color="auto" w:fill="FFFFFF"/>
        </w:rPr>
        <w:t>4.结转结余情况。</w:t>
      </w:r>
      <w:r>
        <w:rPr>
          <w:rFonts w:ascii="方正仿宋_GBK" w:hAnsi="Times New Roman" w:eastAsia="方正仿宋_GBK"/>
          <w:sz w:val="32"/>
          <w:szCs w:val="32"/>
          <w:shd w:val="clear" w:color="auto" w:fill="FFFFFF"/>
        </w:rPr>
        <w:t>2023年度年末结转和结余</w:t>
      </w:r>
      <w:r>
        <w:rPr>
          <w:rFonts w:ascii="方正仿宋_GBK" w:hAnsi="Times New Roman" w:eastAsia="方正仿宋_GBK"/>
          <w:sz w:val="32"/>
          <w:szCs w:val="32"/>
        </w:rPr>
        <w:t>0.00</w:t>
      </w:r>
      <w:r>
        <w:rPr>
          <w:rFonts w:ascii="方正仿宋_GBK" w:hAnsi="Times New Roman" w:eastAsia="方正仿宋_GBK"/>
          <w:sz w:val="32"/>
          <w:szCs w:val="32"/>
          <w:shd w:val="clear" w:color="auto" w:fill="FFFFFF"/>
        </w:rPr>
        <w:t>万元，较上年决算数无增减，主要原因是</w:t>
      </w:r>
      <w:r>
        <w:rPr>
          <w:rFonts w:ascii="方正仿宋_GBK" w:hAnsi="Times New Roman" w:eastAsia="方正仿宋_GBK"/>
          <w:sz w:val="32"/>
          <w:szCs w:val="32"/>
        </w:rPr>
        <w:t>本单位为新增单位,上年度无数据。</w:t>
      </w:r>
    </w:p>
    <w:p>
      <w:pPr>
        <w:pStyle w:val="15"/>
        <w:autoSpaceDE w:val="0"/>
        <w:spacing w:line="560" w:lineRule="exact"/>
        <w:ind w:firstLine="640"/>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（二）财政拨款收入支出决算总体情况说明</w:t>
      </w:r>
    </w:p>
    <w:p>
      <w:pPr>
        <w:pStyle w:val="9"/>
        <w:snapToGrid w:val="0"/>
        <w:spacing w:before="0" w:beforeAutospacing="0" w:after="0" w:afterAutospacing="0" w:line="560" w:lineRule="exact"/>
        <w:ind w:firstLine="640" w:firstLineChars="200"/>
        <w:jc w:val="both"/>
        <w:rPr>
          <w:rFonts w:hint="default" w:ascii="方正仿宋_GBK"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2023年度财政拨款收、支总计108.44万元。与2022年相比，财政拨款收、支总计各增加108.44万元，增长100.00%。主要原因</w:t>
      </w:r>
      <w:r>
        <w:rPr>
          <w:rFonts w:ascii="方正仿宋_GBK" w:hAnsi="Times New Roman" w:eastAsia="方正仿宋_GBK"/>
          <w:sz w:val="32"/>
          <w:szCs w:val="32"/>
          <w:shd w:val="clear" w:color="auto" w:fill="FFFFFF"/>
        </w:rPr>
        <w:t>是本单位为新增单位,上年度无数据。</w:t>
      </w:r>
    </w:p>
    <w:p>
      <w:pPr>
        <w:pStyle w:val="15"/>
        <w:autoSpaceDE w:val="0"/>
        <w:spacing w:line="560" w:lineRule="exact"/>
        <w:ind w:firstLine="640"/>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（三）一般公共预算财政拨款收入支出决算情况说明</w:t>
      </w:r>
    </w:p>
    <w:p>
      <w:pPr>
        <w:spacing w:line="560" w:lineRule="exact"/>
        <w:ind w:firstLine="642" w:firstLineChars="200"/>
        <w:rPr>
          <w:rFonts w:hint="default" w:ascii="方正仿宋_GBK" w:hAnsi="Times New Roman" w:eastAsia="方正仿宋_GBK"/>
          <w:sz w:val="32"/>
          <w:szCs w:val="32"/>
        </w:rPr>
      </w:pPr>
      <w:r>
        <w:rPr>
          <w:rStyle w:val="13"/>
          <w:rFonts w:ascii="方正仿宋_GBK" w:hAnsi="Times New Roman" w:eastAsia="方正仿宋_GBK"/>
          <w:sz w:val="32"/>
          <w:szCs w:val="32"/>
          <w:shd w:val="clear" w:color="auto" w:fill="FFFFFF"/>
        </w:rPr>
        <w:t>1.收入情况。</w:t>
      </w:r>
      <w:r>
        <w:rPr>
          <w:rFonts w:ascii="方正仿宋_GBK" w:hAnsi="Times New Roman" w:eastAsia="方正仿宋_GBK"/>
          <w:sz w:val="32"/>
          <w:szCs w:val="32"/>
          <w:shd w:val="clear" w:color="auto" w:fill="FFFFFF"/>
        </w:rPr>
        <w:t>2023年度一般公共预算财政拨款收入</w:t>
      </w:r>
      <w:r>
        <w:rPr>
          <w:rFonts w:ascii="方正仿宋_GBK" w:hAnsi="Times New Roman" w:eastAsia="方正仿宋_GBK"/>
          <w:sz w:val="32"/>
          <w:szCs w:val="32"/>
        </w:rPr>
        <w:t>108.44</w:t>
      </w:r>
      <w:r>
        <w:rPr>
          <w:rFonts w:ascii="方正仿宋_GBK" w:hAnsi="Times New Roman" w:eastAsia="方正仿宋_GBK"/>
          <w:sz w:val="32"/>
          <w:szCs w:val="32"/>
          <w:shd w:val="clear" w:color="auto" w:fill="FFFFFF"/>
        </w:rPr>
        <w:t>万元，较上年决算数增加108.44万元，增长100.00%。主要原因是</w:t>
      </w:r>
      <w:r>
        <w:rPr>
          <w:rFonts w:ascii="方正仿宋_GBK" w:hAnsi="Times New Roman" w:eastAsia="方正仿宋_GBK"/>
          <w:sz w:val="32"/>
          <w:szCs w:val="32"/>
        </w:rPr>
        <w:t>本单位为新增单位,上年度无数据。</w:t>
      </w:r>
      <w:r>
        <w:rPr>
          <w:rFonts w:ascii="方正仿宋_GBK" w:hAnsi="Times New Roman" w:eastAsia="方正仿宋_GBK"/>
          <w:sz w:val="32"/>
          <w:szCs w:val="32"/>
          <w:shd w:val="clear" w:color="auto" w:fill="FFFFFF"/>
        </w:rPr>
        <w:t>较年初预算数增加24.49万元，增长29.17%。主要原因是</w:t>
      </w:r>
      <w:r>
        <w:rPr>
          <w:rFonts w:ascii="方正仿宋_GBK" w:hAnsi="Times New Roman" w:eastAsia="方正仿宋_GBK"/>
          <w:color w:val="000000"/>
          <w:sz w:val="32"/>
          <w:szCs w:val="32"/>
        </w:rPr>
        <w:t>本单位为新增单位,上年度无数据。</w:t>
      </w:r>
      <w:r>
        <w:rPr>
          <w:rFonts w:ascii="方正仿宋_GBK" w:hAnsi="Times New Roman" w:eastAsia="方正仿宋_GBK"/>
          <w:sz w:val="32"/>
          <w:szCs w:val="32"/>
          <w:shd w:val="clear" w:color="auto" w:fill="FFFFFF"/>
        </w:rPr>
        <w:t>此外，年初财政拨款结转和结余</w:t>
      </w:r>
      <w:r>
        <w:rPr>
          <w:rFonts w:ascii="方正仿宋_GBK" w:hAnsi="Times New Roman" w:eastAsia="方正仿宋_GBK"/>
          <w:sz w:val="32"/>
          <w:szCs w:val="32"/>
        </w:rPr>
        <w:t>0.00</w:t>
      </w:r>
      <w:r>
        <w:rPr>
          <w:rFonts w:ascii="方正仿宋_GBK" w:hAnsi="Times New Roman" w:eastAsia="方正仿宋_GBK"/>
          <w:sz w:val="32"/>
          <w:szCs w:val="32"/>
          <w:shd w:val="clear" w:color="auto" w:fill="FFFFFF"/>
        </w:rPr>
        <w:t>万元。</w:t>
      </w:r>
    </w:p>
    <w:p>
      <w:pPr>
        <w:spacing w:line="560" w:lineRule="exact"/>
        <w:ind w:firstLine="642" w:firstLineChars="200"/>
        <w:rPr>
          <w:rFonts w:hint="default" w:ascii="方正仿宋_GBK" w:hAnsi="Times New Roman" w:eastAsia="方正仿宋_GBK"/>
          <w:sz w:val="32"/>
          <w:szCs w:val="32"/>
        </w:rPr>
      </w:pPr>
      <w:r>
        <w:rPr>
          <w:rStyle w:val="13"/>
          <w:rFonts w:ascii="方正仿宋_GBK" w:hAnsi="Times New Roman" w:eastAsia="方正仿宋_GBK"/>
          <w:sz w:val="32"/>
          <w:szCs w:val="32"/>
          <w:shd w:val="clear" w:color="auto" w:fill="FFFFFF"/>
        </w:rPr>
        <w:t>2.支出情况。</w:t>
      </w:r>
      <w:r>
        <w:rPr>
          <w:rFonts w:ascii="方正仿宋_GBK" w:hAnsi="Times New Roman" w:eastAsia="方正仿宋_GBK"/>
          <w:sz w:val="32"/>
          <w:szCs w:val="32"/>
          <w:shd w:val="clear" w:color="auto" w:fill="FFFFFF"/>
        </w:rPr>
        <w:t>2023年度一般公共预算财政拨款支出</w:t>
      </w:r>
      <w:r>
        <w:rPr>
          <w:rFonts w:ascii="方正仿宋_GBK" w:hAnsi="Times New Roman" w:eastAsia="方正仿宋_GBK"/>
          <w:sz w:val="32"/>
          <w:szCs w:val="32"/>
        </w:rPr>
        <w:t>108.44</w:t>
      </w:r>
      <w:r>
        <w:rPr>
          <w:rFonts w:ascii="方正仿宋_GBK" w:hAnsi="Times New Roman" w:eastAsia="方正仿宋_GBK"/>
          <w:sz w:val="32"/>
          <w:szCs w:val="32"/>
          <w:shd w:val="clear" w:color="auto" w:fill="FFFFFF"/>
        </w:rPr>
        <w:t>万元，较上年决算数增加108.44万元，增长100.00%。主要原因是</w:t>
      </w:r>
      <w:r>
        <w:rPr>
          <w:rFonts w:ascii="方正仿宋_GBK" w:hAnsi="Times New Roman" w:eastAsia="方正仿宋_GBK"/>
          <w:color w:val="000000"/>
          <w:sz w:val="32"/>
          <w:szCs w:val="32"/>
        </w:rPr>
        <w:t>本单位为新增单位,上年度无数据。</w:t>
      </w:r>
      <w:r>
        <w:rPr>
          <w:rFonts w:ascii="方正仿宋_GBK" w:hAnsi="Times New Roman" w:eastAsia="方正仿宋_GBK"/>
          <w:sz w:val="32"/>
          <w:szCs w:val="32"/>
          <w:shd w:val="clear" w:color="auto" w:fill="FFFFFF"/>
        </w:rPr>
        <w:t>较年初预算数增加24.49万元，增长29.17%。主要原因是</w:t>
      </w:r>
      <w:r>
        <w:rPr>
          <w:rFonts w:ascii="方正仿宋_GBK" w:hAnsi="Times New Roman" w:eastAsia="方正仿宋_GBK"/>
          <w:color w:val="000000"/>
          <w:sz w:val="32"/>
          <w:szCs w:val="32"/>
        </w:rPr>
        <w:t>本单位为新增单位,上年度无数据。</w:t>
      </w:r>
    </w:p>
    <w:p>
      <w:pPr>
        <w:spacing w:line="560" w:lineRule="exact"/>
        <w:ind w:firstLine="642" w:firstLineChars="200"/>
        <w:rPr>
          <w:rFonts w:hint="default" w:ascii="方正仿宋_GBK" w:hAnsi="Times New Roman" w:eastAsia="方正仿宋_GBK"/>
          <w:sz w:val="32"/>
          <w:szCs w:val="32"/>
        </w:rPr>
      </w:pPr>
      <w:r>
        <w:rPr>
          <w:rStyle w:val="13"/>
          <w:rFonts w:ascii="方正仿宋_GBK" w:hAnsi="Times New Roman" w:eastAsia="方正仿宋_GBK"/>
          <w:sz w:val="32"/>
          <w:szCs w:val="32"/>
          <w:shd w:val="clear" w:color="auto" w:fill="FFFFFF"/>
        </w:rPr>
        <w:t>3.结转结余情况。</w:t>
      </w:r>
      <w:r>
        <w:rPr>
          <w:rFonts w:ascii="方正仿宋_GBK" w:hAnsi="Times New Roman" w:eastAsia="方正仿宋_GBK"/>
          <w:sz w:val="32"/>
          <w:szCs w:val="32"/>
          <w:shd w:val="clear" w:color="auto" w:fill="FFFFFF"/>
        </w:rPr>
        <w:t>2023年度年末一般公共预算财政拨款结转和结余</w:t>
      </w:r>
      <w:r>
        <w:rPr>
          <w:rFonts w:ascii="方正仿宋_GBK" w:hAnsi="Times New Roman" w:eastAsia="方正仿宋_GBK"/>
          <w:sz w:val="32"/>
          <w:szCs w:val="32"/>
        </w:rPr>
        <w:t>0.00</w:t>
      </w:r>
      <w:r>
        <w:rPr>
          <w:rFonts w:ascii="方正仿宋_GBK" w:hAnsi="Times New Roman" w:eastAsia="方正仿宋_GBK"/>
          <w:sz w:val="32"/>
          <w:szCs w:val="32"/>
          <w:shd w:val="clear" w:color="auto" w:fill="FFFFFF"/>
        </w:rPr>
        <w:t>万元，较上年决算数无增减，主要原因是</w:t>
      </w:r>
      <w:r>
        <w:rPr>
          <w:rFonts w:ascii="方正仿宋_GBK" w:hAnsi="Times New Roman" w:eastAsia="方正仿宋_GBK"/>
          <w:color w:val="000000"/>
          <w:sz w:val="32"/>
          <w:szCs w:val="32"/>
        </w:rPr>
        <w:t>本单位为新增单位,上年度无数据。</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2" w:firstLineChars="200"/>
        <w:jc w:val="both"/>
        <w:textAlignment w:val="auto"/>
        <w:rPr>
          <w:rFonts w:hint="default" w:ascii="方正仿宋_GBK" w:hAnsi="Times New Roman" w:eastAsia="方正仿宋_GBK"/>
          <w:color w:val="FF0000"/>
          <w:sz w:val="32"/>
          <w:szCs w:val="32"/>
          <w:highlight w:val="cyan"/>
          <w:shd w:val="clear" w:color="auto" w:fill="FFFFFF"/>
        </w:rPr>
      </w:pPr>
      <w:r>
        <w:rPr>
          <w:rStyle w:val="13"/>
          <w:rFonts w:ascii="方正仿宋_GBK" w:hAnsi="Times New Roman" w:eastAsia="方正仿宋_GBK"/>
          <w:sz w:val="32"/>
          <w:szCs w:val="32"/>
          <w:shd w:val="clear" w:color="auto" w:fill="FFFFFF"/>
        </w:rPr>
        <w:t xml:space="preserve"> 4.比较情况。</w:t>
      </w:r>
      <w:r>
        <w:rPr>
          <w:rFonts w:ascii="方正仿宋_GBK" w:hAnsi="Times New Roman" w:eastAsia="方正仿宋_GBK"/>
          <w:sz w:val="32"/>
          <w:szCs w:val="32"/>
          <w:shd w:val="clear" w:color="auto" w:fill="FFFFFF"/>
        </w:rPr>
        <w:t>本单位2023年度一般公共预算财政拨款支出主要用于以下几个方面：</w:t>
      </w:r>
    </w:p>
    <w:p>
      <w:pPr>
        <w:pStyle w:val="9"/>
        <w:snapToGrid w:val="0"/>
        <w:spacing w:before="0" w:beforeAutospacing="0" w:after="0" w:afterAutospacing="0" w:line="560" w:lineRule="exact"/>
        <w:ind w:firstLine="640" w:firstLineChars="200"/>
        <w:jc w:val="both"/>
        <w:rPr>
          <w:rFonts w:hint="default" w:ascii="方正仿宋_GBK" w:hAnsi="Times New Roman" w:eastAsia="方正仿宋_GBK"/>
          <w:sz w:val="32"/>
          <w:szCs w:val="32"/>
          <w:shd w:val="clear" w:color="auto" w:fill="FFFFFF"/>
        </w:rPr>
      </w:pPr>
      <w:r>
        <w:rPr>
          <w:rFonts w:ascii="方正仿宋_GBK" w:hAnsi="Times New Roman" w:eastAsia="方正仿宋_GBK"/>
          <w:sz w:val="32"/>
          <w:szCs w:val="32"/>
          <w:shd w:val="clear" w:color="auto" w:fill="FFFFFF"/>
        </w:rPr>
        <w:t>（1）社会保障与就业支出</w:t>
      </w:r>
      <w:r>
        <w:rPr>
          <w:rFonts w:ascii="方正仿宋_GBK" w:hAnsi="Times New Roman" w:eastAsia="方正仿宋_GBK"/>
          <w:sz w:val="32"/>
          <w:szCs w:val="32"/>
        </w:rPr>
        <w:t>100.42</w:t>
      </w:r>
      <w:r>
        <w:rPr>
          <w:rFonts w:ascii="方正仿宋_GBK" w:hAnsi="Times New Roman" w:eastAsia="方正仿宋_GBK"/>
          <w:sz w:val="32"/>
          <w:szCs w:val="32"/>
          <w:shd w:val="clear" w:color="auto" w:fill="FFFFFF"/>
        </w:rPr>
        <w:t>万元，占</w:t>
      </w:r>
      <w:r>
        <w:rPr>
          <w:rFonts w:ascii="方正仿宋_GBK" w:hAnsi="Times New Roman" w:eastAsia="方正仿宋_GBK"/>
          <w:sz w:val="32"/>
          <w:szCs w:val="32"/>
        </w:rPr>
        <w:t>92.61</w:t>
      </w:r>
      <w:r>
        <w:rPr>
          <w:rFonts w:ascii="方正仿宋_GBK" w:hAnsi="Times New Roman" w:eastAsia="方正仿宋_GBK"/>
          <w:sz w:val="32"/>
          <w:szCs w:val="32"/>
          <w:shd w:val="clear" w:color="auto" w:fill="FFFFFF"/>
        </w:rPr>
        <w:t>%，较年初预算数增加23.76万元，增长30.99%，主要原因是</w:t>
      </w:r>
      <w:r>
        <w:rPr>
          <w:rFonts w:hint="eastAsia" w:ascii="方正仿宋_GBK" w:hAnsi="Times New Roman" w:eastAsia="方正仿宋_GBK"/>
          <w:color w:val="000000"/>
          <w:sz w:val="32"/>
          <w:szCs w:val="32"/>
          <w:lang w:val="en-US" w:eastAsia="zh-CN"/>
        </w:rPr>
        <w:t>职工五险类</w:t>
      </w:r>
      <w:r>
        <w:rPr>
          <w:rFonts w:hint="eastAsia" w:ascii="方正仿宋_GBK" w:hAnsi="Times New Roman" w:eastAsia="方正仿宋_GBK"/>
          <w:color w:val="000000"/>
          <w:sz w:val="32"/>
          <w:szCs w:val="32"/>
          <w:lang w:eastAsia="zh-CN"/>
        </w:rPr>
        <w:t>、</w:t>
      </w:r>
      <w:r>
        <w:rPr>
          <w:rFonts w:ascii="方正仿宋_GBK" w:hAnsi="Times New Roman" w:eastAsia="方正仿宋_GBK"/>
          <w:sz w:val="32"/>
          <w:szCs w:val="32"/>
          <w:shd w:val="clear" w:color="auto" w:fill="FFFFFF"/>
        </w:rPr>
        <w:t>办公费、电费、差旅费等支出。</w:t>
      </w:r>
    </w:p>
    <w:p>
      <w:pPr>
        <w:pStyle w:val="9"/>
        <w:snapToGrid w:val="0"/>
        <w:spacing w:before="0" w:beforeAutospacing="0" w:after="0" w:afterAutospacing="0" w:line="560" w:lineRule="exact"/>
        <w:ind w:firstLine="640" w:firstLineChars="200"/>
        <w:jc w:val="both"/>
        <w:rPr>
          <w:rFonts w:hint="default" w:ascii="方正仿宋_GBK" w:hAnsi="Times New Roman" w:eastAsia="方正仿宋_GBK"/>
          <w:sz w:val="32"/>
          <w:szCs w:val="32"/>
          <w:shd w:val="clear" w:color="auto" w:fill="FFFFFF"/>
        </w:rPr>
      </w:pPr>
      <w:r>
        <w:rPr>
          <w:rFonts w:ascii="方正仿宋_GBK" w:hAnsi="Times New Roman" w:eastAsia="方正仿宋_GBK"/>
          <w:sz w:val="32"/>
          <w:szCs w:val="32"/>
          <w:shd w:val="clear" w:color="auto" w:fill="FFFFFF"/>
        </w:rPr>
        <w:t>（2）卫生健康支出</w:t>
      </w:r>
      <w:r>
        <w:rPr>
          <w:rFonts w:ascii="方正仿宋_GBK" w:hAnsi="Times New Roman" w:eastAsia="方正仿宋_GBK"/>
          <w:sz w:val="32"/>
          <w:szCs w:val="32"/>
        </w:rPr>
        <w:t>3.30</w:t>
      </w:r>
      <w:r>
        <w:rPr>
          <w:rFonts w:ascii="方正仿宋_GBK" w:hAnsi="Times New Roman" w:eastAsia="方正仿宋_GBK"/>
          <w:sz w:val="32"/>
          <w:szCs w:val="32"/>
          <w:shd w:val="clear" w:color="auto" w:fill="FFFFFF"/>
        </w:rPr>
        <w:t>万元，占</w:t>
      </w:r>
      <w:r>
        <w:rPr>
          <w:rFonts w:ascii="方正仿宋_GBK" w:hAnsi="Times New Roman" w:eastAsia="方正仿宋_GBK"/>
          <w:sz w:val="32"/>
          <w:szCs w:val="32"/>
        </w:rPr>
        <w:t>3.04</w:t>
      </w:r>
      <w:r>
        <w:rPr>
          <w:rFonts w:ascii="方正仿宋_GBK" w:hAnsi="Times New Roman" w:eastAsia="方正仿宋_GBK"/>
          <w:sz w:val="32"/>
          <w:szCs w:val="32"/>
          <w:shd w:val="clear" w:color="auto" w:fill="FFFFFF"/>
        </w:rPr>
        <w:t>%，较年初预算数减少0.01万元，下降0.30%，主要原因是</w:t>
      </w:r>
      <w:r>
        <w:rPr>
          <w:rFonts w:hint="eastAsia" w:ascii="方正仿宋_GBK" w:hAnsi="Times New Roman" w:eastAsia="方正仿宋_GBK"/>
          <w:sz w:val="32"/>
          <w:szCs w:val="32"/>
          <w:shd w:val="clear" w:color="auto" w:fill="FFFFFF"/>
          <w:lang w:val="en-US" w:eastAsia="zh-CN"/>
        </w:rPr>
        <w:t>职工</w:t>
      </w:r>
      <w:r>
        <w:rPr>
          <w:rFonts w:hint="eastAsia" w:ascii="方正仿宋_GBK" w:hAnsi="Times New Roman" w:eastAsia="方正仿宋_GBK"/>
          <w:color w:val="000000"/>
          <w:sz w:val="32"/>
          <w:szCs w:val="32"/>
          <w:lang w:val="en-US" w:eastAsia="zh-CN"/>
        </w:rPr>
        <w:t>五险类</w:t>
      </w:r>
      <w:r>
        <w:rPr>
          <w:rFonts w:ascii="方正仿宋_GBK" w:hAnsi="Times New Roman" w:eastAsia="方正仿宋_GBK"/>
          <w:color w:val="000000"/>
          <w:sz w:val="32"/>
          <w:szCs w:val="32"/>
        </w:rPr>
        <w:t>支出</w:t>
      </w:r>
      <w:r>
        <w:rPr>
          <w:rFonts w:ascii="方正仿宋_GBK" w:hAnsi="Times New Roman" w:eastAsia="方正仿宋_GBK"/>
          <w:sz w:val="32"/>
          <w:szCs w:val="32"/>
          <w:shd w:val="clear" w:color="auto" w:fill="FFFFFF"/>
        </w:rPr>
        <w:t>减少。</w:t>
      </w:r>
    </w:p>
    <w:p>
      <w:pPr>
        <w:pStyle w:val="9"/>
        <w:snapToGrid w:val="0"/>
        <w:spacing w:before="0" w:beforeAutospacing="0" w:after="0" w:afterAutospacing="0" w:line="560" w:lineRule="exact"/>
        <w:ind w:firstLine="640" w:firstLineChars="200"/>
        <w:jc w:val="both"/>
        <w:rPr>
          <w:rFonts w:hint="default" w:ascii="方正仿宋_GBK" w:hAnsi="Times New Roman" w:eastAsia="方正仿宋_GBK"/>
          <w:color w:val="FF0000"/>
          <w:sz w:val="32"/>
          <w:szCs w:val="32"/>
          <w:shd w:val="clear" w:color="auto" w:fill="FFFFFF"/>
        </w:rPr>
      </w:pPr>
      <w:r>
        <w:rPr>
          <w:rFonts w:ascii="方正仿宋_GBK" w:hAnsi="Times New Roman" w:eastAsia="方正仿宋_GBK"/>
          <w:sz w:val="32"/>
          <w:szCs w:val="32"/>
          <w:shd w:val="clear" w:color="auto" w:fill="FFFFFF"/>
        </w:rPr>
        <w:t>（3）农林水支出</w:t>
      </w:r>
      <w:r>
        <w:rPr>
          <w:rFonts w:ascii="方正仿宋_GBK" w:hAnsi="Times New Roman" w:eastAsia="方正仿宋_GBK"/>
          <w:sz w:val="32"/>
          <w:szCs w:val="32"/>
        </w:rPr>
        <w:t>0.74</w:t>
      </w:r>
      <w:r>
        <w:rPr>
          <w:rFonts w:ascii="方正仿宋_GBK" w:hAnsi="Times New Roman" w:eastAsia="方正仿宋_GBK"/>
          <w:sz w:val="32"/>
          <w:szCs w:val="32"/>
          <w:shd w:val="clear" w:color="auto" w:fill="FFFFFF"/>
        </w:rPr>
        <w:t>万元，占</w:t>
      </w:r>
      <w:r>
        <w:rPr>
          <w:rFonts w:ascii="方正仿宋_GBK" w:hAnsi="Times New Roman" w:eastAsia="方正仿宋_GBK"/>
          <w:sz w:val="32"/>
          <w:szCs w:val="32"/>
        </w:rPr>
        <w:t>0.68</w:t>
      </w:r>
      <w:r>
        <w:rPr>
          <w:rFonts w:ascii="方正仿宋_GBK" w:hAnsi="Times New Roman" w:eastAsia="方正仿宋_GBK"/>
          <w:sz w:val="32"/>
          <w:szCs w:val="32"/>
          <w:shd w:val="clear" w:color="auto" w:fill="FFFFFF"/>
        </w:rPr>
        <w:t>%，较年初预算数增加0.74万元，增长100.00%，主要原因是人员绩效支出。</w:t>
      </w:r>
    </w:p>
    <w:p>
      <w:pPr>
        <w:spacing w:line="560" w:lineRule="exact"/>
        <w:ind w:firstLine="640" w:firstLineChars="200"/>
        <w:rPr>
          <w:rFonts w:hint="default" w:ascii="方正仿宋_GBK" w:hAnsi="Times New Roman" w:eastAsia="方正仿宋_GBK"/>
          <w:sz w:val="32"/>
          <w:szCs w:val="32"/>
        </w:rPr>
      </w:pPr>
      <w:r>
        <w:rPr>
          <w:rFonts w:ascii="方正仿宋_GBK" w:hAnsi="Times New Roman" w:eastAsia="方正仿宋_GBK"/>
          <w:sz w:val="32"/>
          <w:szCs w:val="32"/>
          <w:shd w:val="clear" w:color="auto" w:fill="FFFFFF"/>
        </w:rPr>
        <w:t>（4）</w:t>
      </w:r>
      <w:r>
        <w:rPr>
          <w:rFonts w:ascii="方正仿宋_GBK" w:hAnsi="Times New Roman" w:eastAsia="方正仿宋_GBK"/>
          <w:sz w:val="32"/>
          <w:szCs w:val="32"/>
        </w:rPr>
        <w:t>住房保障支出3.98</w:t>
      </w:r>
      <w:r>
        <w:rPr>
          <w:rFonts w:ascii="方正仿宋_GBK" w:hAnsi="Times New Roman" w:eastAsia="方正仿宋_GBK"/>
          <w:sz w:val="32"/>
          <w:szCs w:val="32"/>
          <w:shd w:val="clear" w:color="auto" w:fill="FFFFFF"/>
        </w:rPr>
        <w:t>万元，占</w:t>
      </w:r>
      <w:r>
        <w:rPr>
          <w:rFonts w:ascii="方正仿宋_GBK" w:hAnsi="Times New Roman" w:eastAsia="方正仿宋_GBK"/>
          <w:sz w:val="32"/>
          <w:szCs w:val="32"/>
        </w:rPr>
        <w:t>3.67</w:t>
      </w:r>
      <w:r>
        <w:rPr>
          <w:rFonts w:ascii="方正仿宋_GBK" w:hAnsi="Times New Roman" w:eastAsia="方正仿宋_GBK"/>
          <w:sz w:val="32"/>
          <w:szCs w:val="32"/>
          <w:shd w:val="clear" w:color="auto" w:fill="FFFFFF"/>
        </w:rPr>
        <w:t>%，较年初预算数无增减，主要原因是</w:t>
      </w:r>
      <w:r>
        <w:rPr>
          <w:rFonts w:ascii="方正仿宋_GBK" w:hAnsi="Times New Roman" w:eastAsia="方正仿宋_GBK"/>
          <w:sz w:val="32"/>
          <w:szCs w:val="32"/>
        </w:rPr>
        <w:t>住房</w:t>
      </w:r>
      <w:r>
        <w:rPr>
          <w:rFonts w:hint="eastAsia" w:ascii="方正仿宋_GBK" w:hAnsi="Times New Roman" w:eastAsia="方正仿宋_GBK"/>
          <w:sz w:val="32"/>
          <w:szCs w:val="32"/>
          <w:lang w:val="en-US" w:eastAsia="zh-CN"/>
        </w:rPr>
        <w:t>公积金</w:t>
      </w:r>
      <w:r>
        <w:rPr>
          <w:rFonts w:ascii="方正仿宋_GBK" w:hAnsi="Times New Roman" w:eastAsia="方正仿宋_GBK"/>
          <w:sz w:val="32"/>
          <w:szCs w:val="32"/>
        </w:rPr>
        <w:t>支出无数据变化。</w:t>
      </w:r>
    </w:p>
    <w:p>
      <w:pPr>
        <w:spacing w:line="560" w:lineRule="exact"/>
        <w:ind w:firstLine="640" w:firstLineChars="200"/>
        <w:rPr>
          <w:rFonts w:hint="default" w:ascii="方正仿宋_GBK" w:hAnsi="Times New Roman" w:eastAsia="方正仿宋_GBK"/>
          <w:color w:val="FF0000"/>
          <w:sz w:val="32"/>
          <w:szCs w:val="32"/>
          <w:shd w:val="clear" w:color="auto" w:fill="FFFFFF"/>
        </w:rPr>
      </w:pPr>
      <w:r>
        <w:rPr>
          <w:rFonts w:ascii="楷体" w:hAnsi="楷体" w:eastAsia="楷体" w:cs="楷体"/>
          <w:sz w:val="32"/>
          <w:szCs w:val="32"/>
          <w:shd w:val="clear" w:color="auto" w:fill="FFFFFF"/>
        </w:rPr>
        <w:t>（四）一般公共预算财政拨款基本支出决算情况说明</w:t>
      </w:r>
    </w:p>
    <w:p>
      <w:pPr>
        <w:spacing w:line="560" w:lineRule="exact"/>
        <w:ind w:firstLine="640" w:firstLineChars="200"/>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 </w:t>
      </w:r>
      <w:r>
        <w:rPr>
          <w:rFonts w:ascii="方正仿宋_GBK" w:hAnsi="Times New Roman" w:eastAsia="方正仿宋_GBK"/>
          <w:sz w:val="32"/>
          <w:szCs w:val="32"/>
          <w:shd w:val="clear" w:color="auto" w:fill="FFFFFF"/>
        </w:rPr>
        <w:t>2023年度一般公共财政拨款基本支出</w:t>
      </w:r>
      <w:r>
        <w:rPr>
          <w:rFonts w:ascii="方正仿宋_GBK" w:hAnsi="Times New Roman" w:eastAsia="方正仿宋_GBK"/>
          <w:sz w:val="32"/>
          <w:szCs w:val="32"/>
        </w:rPr>
        <w:t>108.44</w:t>
      </w:r>
      <w:r>
        <w:rPr>
          <w:rFonts w:ascii="方正仿宋_GBK" w:hAnsi="Times New Roman" w:eastAsia="方正仿宋_GBK"/>
          <w:sz w:val="32"/>
          <w:szCs w:val="32"/>
          <w:shd w:val="clear" w:color="auto" w:fill="FFFFFF"/>
        </w:rPr>
        <w:t>万元。其中：人员经费</w:t>
      </w:r>
      <w:r>
        <w:rPr>
          <w:rFonts w:ascii="方正仿宋_GBK" w:hAnsi="Times New Roman" w:eastAsia="方正仿宋_GBK"/>
          <w:sz w:val="32"/>
          <w:szCs w:val="32"/>
        </w:rPr>
        <w:t>97.42</w:t>
      </w:r>
      <w:r>
        <w:rPr>
          <w:rFonts w:ascii="方正仿宋_GBK" w:hAnsi="Times New Roman" w:eastAsia="方正仿宋_GBK"/>
          <w:sz w:val="32"/>
          <w:szCs w:val="32"/>
          <w:shd w:val="clear" w:color="auto" w:fill="FFFFFF"/>
        </w:rPr>
        <w:t>万元，较上年决算数增加97.42万元，增长100.00%，主要原因是</w:t>
      </w:r>
      <w:r>
        <w:rPr>
          <w:rFonts w:ascii="方正仿宋_GBK" w:hAnsi="Times New Roman" w:eastAsia="方正仿宋_GBK"/>
          <w:color w:val="000000"/>
          <w:sz w:val="32"/>
          <w:szCs w:val="32"/>
        </w:rPr>
        <w:t>本单位为新增单位,上年度无数据</w:t>
      </w:r>
      <w:r>
        <w:rPr>
          <w:rFonts w:ascii="方正仿宋_GBK" w:hAnsi="Times New Roman" w:eastAsia="方正仿宋_GBK"/>
          <w:sz w:val="32"/>
          <w:szCs w:val="32"/>
          <w:shd w:val="clear" w:color="auto" w:fill="FFFFFF"/>
        </w:rPr>
        <w:t>。人员经费用途主要包括基本工资、津贴补贴、绩效工资和五险类支出等。公用经费11.01万元，较上年决算数增加11.01万元，增长100.00%，主要原因是本单位为新增单位,</w:t>
      </w:r>
      <w:r>
        <w:rPr>
          <w:rFonts w:hint="default" w:ascii="Times New Roman" w:hAnsi="Times New Roman" w:eastAsia="方正仿宋_GBK"/>
          <w:sz w:val="32"/>
          <w:szCs w:val="32"/>
          <w:shd w:val="clear" w:color="auto" w:fill="FFFFFF"/>
        </w:rPr>
        <w:t>上年度无数据。公用经费用途主要包括办公费、电费和差旅费支出等。</w:t>
      </w:r>
    </w:p>
    <w:p>
      <w:pPr>
        <w:spacing w:line="560" w:lineRule="exact"/>
        <w:ind w:firstLine="640" w:firstLineChars="200"/>
        <w:rPr>
          <w:rFonts w:hint="default" w:ascii="Times New Roman" w:hAnsi="Times New Roman" w:eastAsia="方正仿宋_GBK"/>
          <w:sz w:val="32"/>
          <w:szCs w:val="32"/>
        </w:rPr>
      </w:pPr>
      <w:r>
        <w:rPr>
          <w:rFonts w:ascii="楷体" w:hAnsi="楷体" w:eastAsia="楷体" w:cs="楷体"/>
          <w:sz w:val="32"/>
          <w:szCs w:val="32"/>
          <w:shd w:val="clear" w:color="auto" w:fill="FFFFFF"/>
        </w:rPr>
        <w:t>（五）政府性基金预算收支决算情况说明</w:t>
      </w:r>
    </w:p>
    <w:p>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Times New Roman" w:hAnsi="Times New Roman" w:eastAsia="方正仿宋_GBK"/>
          <w:color w:val="000000" w:themeColor="text1"/>
          <w:sz w:val="32"/>
          <w:szCs w:val="32"/>
          <w:shd w:val="clear" w:color="auto" w:fill="FFFFFF"/>
        </w:rPr>
        <w:t>2023年度政府性基金预算财政拨款年初结转结余0.00万元，年末结转结余0.00万元。本年收入0.00万元，较上年决算数无增减，主要原因是本年度无政府性基金预算财政拨款收入。本年支出0.00万元，较上年决算数无增减，主要原因是本年度无政府性基金预算财政拨款支出。本单位2023年度无政府性基金预算财政拨款收支。</w:t>
      </w:r>
    </w:p>
    <w:p>
      <w:pPr>
        <w:pStyle w:val="15"/>
        <w:autoSpaceDE w:val="0"/>
        <w:spacing w:line="560" w:lineRule="exact"/>
        <w:ind w:firstLine="640"/>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（六）国有资本经营预算财政拨款支出决算情况说明</w:t>
      </w:r>
    </w:p>
    <w:p>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本单位2023年度无国有资本经营预算财政拨款支出。</w:t>
      </w:r>
    </w:p>
    <w:p>
      <w:pPr>
        <w:pStyle w:val="15"/>
        <w:autoSpaceDE w:val="0"/>
        <w:spacing w:line="560" w:lineRule="exact"/>
        <w:ind w:firstLine="640"/>
        <w:rPr>
          <w:rFonts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三、“三公”经费情况说明</w:t>
      </w:r>
    </w:p>
    <w:p>
      <w:pPr>
        <w:pStyle w:val="9"/>
        <w:snapToGrid w:val="0"/>
        <w:spacing w:before="0" w:beforeAutospacing="0" w:after="0" w:afterAutospacing="0" w:line="560" w:lineRule="exact"/>
        <w:ind w:firstLine="640" w:firstLineChars="200"/>
        <w:jc w:val="both"/>
        <w:rPr>
          <w:rFonts w:hint="default" w:ascii="楷体" w:hAnsi="楷体" w:eastAsia="楷体" w:cs="方正仿宋_GBK"/>
          <w:sz w:val="32"/>
          <w:szCs w:val="32"/>
          <w:shd w:val="clear" w:color="auto" w:fill="FFFFFF"/>
        </w:rPr>
      </w:pPr>
      <w:r>
        <w:rPr>
          <w:rFonts w:ascii="楷体" w:hAnsi="楷体" w:eastAsia="楷体" w:cs="方正仿宋_GBK"/>
          <w:sz w:val="32"/>
          <w:szCs w:val="32"/>
          <w:shd w:val="clear" w:color="auto" w:fill="FFFFFF"/>
        </w:rPr>
        <w:t>（一）“三公”经费支出总体情况说明</w:t>
      </w:r>
    </w:p>
    <w:p>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2023年度“三公”经费支出共计0.00万元，较年初预算数无增减，主要原因是我单位2023年未发生“三公”经费支出。较上年支出数无增减，主要原因是我单位本年及上年均未发生“三公”经费支出。</w:t>
      </w:r>
    </w:p>
    <w:p>
      <w:pPr>
        <w:pStyle w:val="9"/>
        <w:snapToGrid w:val="0"/>
        <w:spacing w:before="0" w:beforeAutospacing="0" w:after="0" w:afterAutospacing="0" w:line="560" w:lineRule="exact"/>
        <w:ind w:firstLine="640" w:firstLineChars="200"/>
        <w:jc w:val="both"/>
        <w:rPr>
          <w:rFonts w:hint="default" w:ascii="楷体" w:hAnsi="楷体" w:eastAsia="楷体" w:cs="方正仿宋_GBK"/>
          <w:sz w:val="32"/>
          <w:szCs w:val="32"/>
          <w:shd w:val="clear" w:color="auto" w:fill="FFFFFF"/>
        </w:rPr>
      </w:pPr>
      <w:r>
        <w:rPr>
          <w:rFonts w:ascii="楷体" w:hAnsi="楷体" w:eastAsia="楷体" w:cs="方正仿宋_GBK"/>
          <w:sz w:val="32"/>
          <w:szCs w:val="32"/>
          <w:shd w:val="clear" w:color="auto" w:fill="FFFFFF"/>
        </w:rPr>
        <w:t>（二）“三公”经费分项支出情况</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公务车运行维护费0.00万元。费用支出较年初预算数无增减，主要原因是年初预算数未安排且本年未发生公务车运行维护费用。较上年支出数无增减，主要原因是上年和本年均未发生公务车运行维护费用。</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5"/>
        <w:autoSpaceDE w:val="0"/>
        <w:ind w:firstLine="640"/>
        <w:rPr>
          <w:rFonts w:ascii="楷体" w:hAnsi="楷体" w:eastAsia="楷体" w:cs="楷体"/>
          <w:bCs/>
          <w:sz w:val="32"/>
          <w:szCs w:val="32"/>
          <w:shd w:val="clear" w:color="auto" w:fill="FFFFFF"/>
        </w:rPr>
      </w:pPr>
      <w:r>
        <w:rPr>
          <w:rFonts w:hint="eastAsia" w:ascii="楷体" w:hAnsi="楷体" w:eastAsia="楷体" w:cs="楷体"/>
          <w:bCs/>
          <w:sz w:val="32"/>
          <w:szCs w:val="32"/>
          <w:shd w:val="clear" w:color="auto" w:fill="FFFFFF"/>
        </w:rPr>
        <w:t>（三）“三公”经费实物量情况</w:t>
      </w:r>
    </w:p>
    <w:p>
      <w:pPr>
        <w:pStyle w:val="15"/>
        <w:autoSpaceDE w:val="0"/>
        <w:ind w:firstLine="640"/>
        <w:rPr>
          <w:rFonts w:ascii="楷体" w:hAnsi="楷体" w:eastAsia="楷体" w:cs="楷体"/>
          <w:bCs/>
          <w:sz w:val="32"/>
          <w:szCs w:val="32"/>
          <w:shd w:val="clear" w:color="auto" w:fill="FFFFFF"/>
        </w:rPr>
      </w:pPr>
      <w:r>
        <w:rPr>
          <w:rFonts w:ascii="方正仿宋_GBK" w:hAnsi="方正仿宋_GBK" w:eastAsia="方正仿宋_GBK" w:cs="方正仿宋_GBK"/>
          <w:sz w:val="32"/>
          <w:szCs w:val="32"/>
          <w:shd w:val="clear" w:color="auto" w:fill="FFFFFF"/>
        </w:rPr>
        <w:t>2023年度本单位因公出国（境）共计0个团组，0人；公务用车购置0辆，公务车保有量为0辆；国内公务接待0批次0人，其中：国内外事接待0批次，0人；国（境）外公务接待0批次，0人。2023年本单位人均接待费0元，车均购置费0万元，车均维护费0万元。</w:t>
      </w:r>
    </w:p>
    <w:p>
      <w:pPr>
        <w:pStyle w:val="15"/>
        <w:autoSpaceDE w:val="0"/>
        <w:spacing w:line="560" w:lineRule="exact"/>
        <w:ind w:firstLine="640"/>
        <w:rPr>
          <w:rFonts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四、其他需要说明的事项</w:t>
      </w:r>
    </w:p>
    <w:p>
      <w:pPr>
        <w:pStyle w:val="15"/>
        <w:autoSpaceDE w:val="0"/>
        <w:spacing w:line="560"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（一）财政拨款会议费和培训费情况说明</w:t>
      </w:r>
    </w:p>
    <w:p>
      <w:pPr>
        <w:pStyle w:val="15"/>
        <w:autoSpaceDE w:val="0"/>
        <w:spacing w:line="560" w:lineRule="exact"/>
        <w:ind w:firstLine="640"/>
        <w:rPr>
          <w:rFonts w:ascii="方正仿宋_GBK" w:hAnsi="方正仿宋_GBK" w:eastAsia="方正仿宋_GBK" w:cs="方正仿宋_GBK"/>
          <w:color w:val="000000" w:themeColor="text1"/>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主要原因是上年和本年均未发生培训费支出</w:t>
      </w:r>
      <w:r>
        <w:rPr>
          <w:rFonts w:ascii="方正仿宋_GBK" w:hAnsi="方正仿宋_GBK" w:eastAsia="方正仿宋_GBK" w:cs="方正仿宋_GBK"/>
          <w:sz w:val="32"/>
          <w:szCs w:val="32"/>
          <w:shd w:val="clear" w:color="auto" w:fill="FFFFFF"/>
        </w:rPr>
        <w:t>。</w:t>
      </w:r>
    </w:p>
    <w:p>
      <w:pPr>
        <w:pStyle w:val="15"/>
        <w:autoSpaceDE w:val="0"/>
        <w:spacing w:line="560"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（二）机关运行经费情况说明</w:t>
      </w:r>
    </w:p>
    <w:p>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pPr>
        <w:pStyle w:val="15"/>
        <w:autoSpaceDE w:val="0"/>
        <w:spacing w:line="560"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（三）国有资产占用情况说明</w:t>
      </w:r>
    </w:p>
    <w:p>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5"/>
        <w:autoSpaceDE w:val="0"/>
        <w:spacing w:line="560"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（四）政府采购支出情况说明</w:t>
      </w:r>
    </w:p>
    <w:p>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sz w:val="32"/>
          <w:szCs w:val="32"/>
          <w:shd w:val="clear" w:color="auto" w:fill="FFFFFF"/>
        </w:rPr>
        <w:t>2023年度本单位政府采购支出总额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ascii="方正仿宋_GBK" w:hAnsi="方正仿宋_GBK" w:eastAsia="方正仿宋_GBK" w:cs="方正仿宋_GBK"/>
          <w:color w:val="000000" w:themeColor="text1"/>
          <w:sz w:val="32"/>
          <w:szCs w:val="32"/>
          <w:shd w:val="clear" w:color="auto" w:fill="FFFFFF"/>
        </w:rPr>
        <w:t>2023年度我单位未发生政府采购事项，无相关经费支出。</w:t>
      </w:r>
    </w:p>
    <w:p>
      <w:pPr>
        <w:pStyle w:val="15"/>
        <w:autoSpaceDE w:val="0"/>
        <w:spacing w:line="560" w:lineRule="exact"/>
        <w:ind w:firstLine="640"/>
        <w:rPr>
          <w:rFonts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五、预算绩效管理情况说明</w:t>
      </w:r>
    </w:p>
    <w:p>
      <w:pPr>
        <w:pStyle w:val="15"/>
        <w:numPr>
          <w:ilvl w:val="0"/>
          <w:numId w:val="1"/>
        </w:numPr>
        <w:autoSpaceDE w:val="0"/>
        <w:spacing w:line="560" w:lineRule="exact"/>
        <w:ind w:firstLine="640"/>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单位自评情况</w:t>
      </w:r>
    </w:p>
    <w:p>
      <w:pPr>
        <w:pStyle w:val="15"/>
        <w:autoSpaceDE w:val="0"/>
        <w:spacing w:line="560" w:lineRule="exact"/>
        <w:ind w:firstLine="640"/>
        <w:rPr>
          <w:rFonts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我单位未组织开展单位自评。</w:t>
      </w:r>
    </w:p>
    <w:p>
      <w:pPr>
        <w:pStyle w:val="15"/>
        <w:autoSpaceDE w:val="0"/>
        <w:spacing w:line="560" w:lineRule="exact"/>
        <w:ind w:firstLine="640"/>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（二）单位绩效评价情况</w:t>
      </w:r>
    </w:p>
    <w:p>
      <w:pPr>
        <w:pStyle w:val="15"/>
        <w:autoSpaceDE w:val="0"/>
        <w:spacing w:line="56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pPr>
        <w:pStyle w:val="15"/>
        <w:autoSpaceDE w:val="0"/>
        <w:spacing w:line="560" w:lineRule="exact"/>
        <w:ind w:firstLine="640"/>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（三）财政绩效评价情况</w:t>
      </w:r>
    </w:p>
    <w:p>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黑体_GBK" w:hAnsi="方正黑体_GBK" w:eastAsia="方正黑体_GBK" w:cs="方正黑体_GBK"/>
          <w:sz w:val="32"/>
          <w:szCs w:val="32"/>
          <w:shd w:val="clear" w:color="auto" w:fill="FFFFFF"/>
        </w:rPr>
        <w:t>  六、专业名词解释</w:t>
      </w:r>
    </w:p>
    <w:p>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楷体" w:hAnsi="楷体" w:eastAsia="楷体" w:cs="楷体"/>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13"/>
          <w:rFonts w:ascii="楷体" w:hAnsi="楷体" w:eastAsia="楷体" w:cs="楷体"/>
          <w:b w:val="0"/>
          <w:bCs/>
          <w:sz w:val="32"/>
          <w:szCs w:val="32"/>
          <w:shd w:val="clear" w:color="auto" w:fill="FFFFFF"/>
        </w:rPr>
        <w:t>（二）事业收入</w:t>
      </w:r>
      <w:r>
        <w:rPr>
          <w:rFonts w:ascii="楷体" w:hAnsi="楷体" w:eastAsia="楷体" w:cs="楷体"/>
          <w:bCs/>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13"/>
          <w:rFonts w:ascii="楷体" w:hAnsi="楷体" w:eastAsia="楷体" w:cs="楷体"/>
          <w:b w:val="0"/>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13"/>
          <w:rFonts w:ascii="楷体" w:hAnsi="楷体" w:eastAsia="楷体" w:cs="楷体"/>
          <w:b w:val="0"/>
          <w:bCs/>
          <w:sz w:val="32"/>
          <w:szCs w:val="32"/>
          <w:shd w:val="clear" w:color="auto" w:fill="FFFFFF"/>
        </w:rPr>
        <w:t>（四）其他收入</w:t>
      </w:r>
      <w:r>
        <w:rPr>
          <w:rFonts w:ascii="楷体" w:hAnsi="楷体" w:eastAsia="楷体" w:cs="楷体"/>
          <w:bCs/>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13"/>
          <w:rFonts w:ascii="楷体" w:hAnsi="楷体" w:eastAsia="楷体" w:cs="楷体"/>
          <w:b w:val="0"/>
          <w:bCs/>
          <w:sz w:val="32"/>
          <w:szCs w:val="32"/>
          <w:shd w:val="clear" w:color="auto" w:fill="FFFFFF"/>
        </w:rPr>
        <w:t>（五）使用非财政拨款结余</w:t>
      </w:r>
      <w:r>
        <w:rPr>
          <w:rFonts w:ascii="楷体" w:hAnsi="楷体" w:eastAsia="楷体" w:cs="楷体"/>
          <w:bCs/>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13"/>
          <w:rFonts w:hint="default" w:ascii="楷体" w:hAnsi="楷体" w:eastAsia="楷体" w:cs="楷体"/>
          <w:b w:val="0"/>
          <w:bCs/>
          <w:sz w:val="32"/>
          <w:szCs w:val="32"/>
          <w:shd w:val="clear" w:color="auto" w:fill="FFFFFF"/>
        </w:rPr>
        <w:t>（六）年初结转和结余：</w:t>
      </w:r>
      <w:r>
        <w:rPr>
          <w:rFonts w:hint="default" w:ascii="Times New Roman" w:hAnsi="Times New Roman" w:eastAsia="方正仿宋_GBK"/>
          <w:bCs/>
          <w:sz w:val="32"/>
          <w:szCs w:val="32"/>
          <w:shd w:val="clear" w:color="auto" w:fill="FFFFFF"/>
        </w:rPr>
        <w:t>指单位上年结转本年使用的基本支出结转、项目支出结转和结余、经营结余。</w:t>
      </w:r>
    </w:p>
    <w:p>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13"/>
          <w:rFonts w:hint="default" w:ascii="楷体" w:hAnsi="楷体" w:eastAsia="楷体" w:cs="楷体"/>
          <w:b w:val="0"/>
          <w:bCs/>
          <w:sz w:val="32"/>
          <w:szCs w:val="32"/>
          <w:shd w:val="clear" w:color="auto" w:fill="FFFFFF"/>
        </w:rPr>
        <w:t>（七）结余分配：</w:t>
      </w:r>
      <w:r>
        <w:rPr>
          <w:rFonts w:hint="default" w:ascii="Times New Roman" w:hAnsi="Times New Roman" w:eastAsia="方正仿宋_GBK"/>
          <w:bCs/>
          <w:sz w:val="32"/>
          <w:szCs w:val="32"/>
          <w:shd w:val="clear" w:color="auto" w:fill="FFFFFF"/>
        </w:rPr>
        <w:t>指单位按照国家有关规定，缴纳所得税、提取专用基金、转入非财政拨款结余等当年结余的分配情况。</w:t>
      </w:r>
    </w:p>
    <w:p>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13"/>
          <w:rFonts w:hint="default" w:ascii="楷体" w:hAnsi="楷体" w:eastAsia="楷体" w:cs="楷体"/>
          <w:b w:val="0"/>
          <w:bCs/>
          <w:sz w:val="32"/>
          <w:szCs w:val="32"/>
          <w:shd w:val="clear" w:color="auto" w:fill="FFFFFF"/>
        </w:rPr>
        <w:t>（八）年末结转和结余：</w:t>
      </w:r>
      <w:r>
        <w:rPr>
          <w:rFonts w:hint="default" w:ascii="Times New Roman" w:hAnsi="Times New Roman" w:eastAsia="方正仿宋_GBK"/>
          <w:bCs/>
          <w:sz w:val="32"/>
          <w:szCs w:val="32"/>
          <w:shd w:val="clear" w:color="auto" w:fill="FFFFFF"/>
        </w:rPr>
        <w:t>指单位结转下年的基本支出结转、项目支出结转和结余、经营结余。</w:t>
      </w:r>
    </w:p>
    <w:p>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13"/>
          <w:rFonts w:hint="default" w:ascii="楷体" w:hAnsi="楷体" w:eastAsia="楷体" w:cs="楷体"/>
          <w:b w:val="0"/>
          <w:bCs/>
          <w:sz w:val="32"/>
          <w:szCs w:val="32"/>
          <w:shd w:val="clear" w:color="auto" w:fill="FFFFFF"/>
        </w:rPr>
        <w:t>（九）基本支出：</w:t>
      </w:r>
      <w:r>
        <w:rPr>
          <w:rFonts w:ascii="方正仿宋_GBK" w:hAnsi="Times New Roman" w:eastAsia="方正仿宋_GBK"/>
          <w:bCs/>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13"/>
          <w:rFonts w:hint="default" w:ascii="楷体" w:hAnsi="楷体" w:eastAsia="楷体" w:cs="楷体"/>
          <w:b w:val="0"/>
          <w:bCs/>
          <w:sz w:val="32"/>
          <w:szCs w:val="32"/>
          <w:shd w:val="clear" w:color="auto" w:fill="FFFFFF"/>
        </w:rPr>
        <w:t>（十）项目支出：</w:t>
      </w:r>
      <w:r>
        <w:rPr>
          <w:rFonts w:hint="default" w:ascii="Times New Roman" w:hAnsi="Times New Roman" w:eastAsia="方正仿宋_GBK"/>
          <w:bCs/>
          <w:sz w:val="32"/>
          <w:szCs w:val="32"/>
          <w:shd w:val="clear" w:color="auto" w:fill="FFFFFF"/>
        </w:rPr>
        <w:t>指在基本支出之外为完成特定行政任务和事业发展目标所发生的支出。</w:t>
      </w:r>
    </w:p>
    <w:p>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13"/>
          <w:rFonts w:hint="default" w:ascii="楷体" w:hAnsi="楷体" w:eastAsia="楷体" w:cs="楷体"/>
          <w:b w:val="0"/>
          <w:bCs/>
          <w:sz w:val="32"/>
          <w:szCs w:val="32"/>
          <w:shd w:val="clear" w:color="auto" w:fill="FFFFFF"/>
        </w:rPr>
        <w:t>（十一）经营支出：</w:t>
      </w:r>
      <w:r>
        <w:rPr>
          <w:rFonts w:hint="default" w:ascii="Times New Roman" w:hAnsi="Times New Roman" w:eastAsia="方正仿宋_GBK"/>
          <w:bCs/>
          <w:sz w:val="32"/>
          <w:szCs w:val="32"/>
          <w:shd w:val="clear" w:color="auto" w:fill="FFFFFF"/>
        </w:rPr>
        <w:t>指事业单位在专业业务活动及其辅助活动之外开展非独立核算经营活动发生的支出。</w:t>
      </w:r>
    </w:p>
    <w:p>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13"/>
          <w:rFonts w:hint="default" w:ascii="楷体" w:hAnsi="楷体" w:eastAsia="楷体" w:cs="楷体"/>
          <w:b w:val="0"/>
          <w:bCs/>
          <w:sz w:val="32"/>
          <w:szCs w:val="32"/>
          <w:shd w:val="clear" w:color="auto" w:fill="FFFFFF"/>
        </w:rPr>
        <w:t>（十二）“三公”经费：</w:t>
      </w:r>
      <w:r>
        <w:rPr>
          <w:rFonts w:hint="default" w:ascii="Times New Roman" w:hAnsi="Times New Roman" w:eastAsia="方正仿宋_GBK"/>
          <w:bCs/>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13"/>
          <w:rFonts w:hint="default" w:ascii="楷体" w:hAnsi="楷体" w:eastAsia="楷体" w:cs="楷体"/>
          <w:b w:val="0"/>
          <w:bCs/>
          <w:sz w:val="32"/>
          <w:szCs w:val="32"/>
          <w:shd w:val="clear" w:color="auto" w:fill="FFFFFF"/>
        </w:rPr>
        <w:t>（十三）机关运行经费：</w:t>
      </w:r>
      <w:r>
        <w:rPr>
          <w:rFonts w:hint="default" w:ascii="Times New Roman" w:hAnsi="Times New Roman" w:eastAsia="方正仿宋_GBK"/>
          <w:bCs/>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13"/>
          <w:rFonts w:hint="default" w:ascii="楷体" w:hAnsi="楷体" w:eastAsia="楷体" w:cs="楷体"/>
          <w:b w:val="0"/>
          <w:bCs/>
          <w:sz w:val="32"/>
          <w:szCs w:val="32"/>
          <w:shd w:val="clear" w:color="auto" w:fill="FFFFFF"/>
        </w:rPr>
        <w:t>（十四）工资福利支出（支出经济分类科目类级）：</w:t>
      </w:r>
      <w:r>
        <w:rPr>
          <w:rFonts w:hint="default" w:ascii="Times New Roman" w:hAnsi="Times New Roman" w:eastAsia="方正仿宋_GBK"/>
          <w:bCs/>
          <w:sz w:val="32"/>
          <w:szCs w:val="32"/>
          <w:shd w:val="clear" w:color="auto" w:fill="FFFFFF"/>
        </w:rPr>
        <w:t>反映单位开支的在职职工和编制外长期聘用人员的各类劳动报酬，以及为上述人员缴纳的各项社会保险费等。</w:t>
      </w:r>
    </w:p>
    <w:p>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13"/>
          <w:rFonts w:hint="default" w:ascii="楷体" w:hAnsi="楷体" w:eastAsia="楷体" w:cs="楷体"/>
          <w:b w:val="0"/>
          <w:bCs/>
          <w:sz w:val="32"/>
          <w:szCs w:val="32"/>
          <w:shd w:val="clear" w:color="auto" w:fill="FFFFFF"/>
        </w:rPr>
        <w:t>（十五）商品和服务支出（支出经济分类科目类级）：</w:t>
      </w:r>
      <w:r>
        <w:rPr>
          <w:rFonts w:hint="default" w:ascii="Times New Roman" w:hAnsi="Times New Roman" w:eastAsia="方正仿宋_GBK"/>
          <w:bCs/>
          <w:sz w:val="32"/>
          <w:szCs w:val="32"/>
          <w:shd w:val="clear" w:color="auto" w:fill="FFFFFF"/>
        </w:rPr>
        <w:t>反映单位购买商品和服务的支出（不包括用于购置固定资产的支出、战略性和应急储备支出）。</w:t>
      </w:r>
    </w:p>
    <w:p>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13"/>
          <w:rFonts w:hint="default" w:ascii="楷体" w:hAnsi="楷体" w:eastAsia="楷体" w:cs="楷体"/>
          <w:b w:val="0"/>
          <w:bCs/>
          <w:sz w:val="32"/>
          <w:szCs w:val="32"/>
          <w:shd w:val="clear" w:color="auto" w:fill="FFFFFF"/>
        </w:rPr>
        <w:t>（十六）对个人和家庭的补助（支出经济分类科目类级）：</w:t>
      </w:r>
      <w:r>
        <w:rPr>
          <w:rFonts w:hint="default" w:ascii="Times New Roman" w:hAnsi="Times New Roman" w:eastAsia="方正仿宋_GBK"/>
          <w:bCs/>
          <w:sz w:val="32"/>
          <w:szCs w:val="32"/>
          <w:shd w:val="clear" w:color="auto" w:fill="FFFFFF"/>
        </w:rPr>
        <w:t>反映用于对个人和家庭的补助支出。</w:t>
      </w:r>
    </w:p>
    <w:p>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Style w:val="13"/>
          <w:rFonts w:hint="default" w:ascii="楷体" w:hAnsi="楷体" w:eastAsia="楷体" w:cs="楷体"/>
          <w:b w:val="0"/>
          <w:bCs/>
          <w:sz w:val="32"/>
          <w:szCs w:val="32"/>
          <w:shd w:val="clear" w:color="auto" w:fill="FFFFFF"/>
        </w:rPr>
        <w:t>（十七）其他资本性支出（支出经济分类科目类级）：</w:t>
      </w:r>
      <w:r>
        <w:rPr>
          <w:rFonts w:hint="default" w:ascii="Times New Roman" w:hAnsi="Times New Roman" w:eastAsia="方正仿宋_GBK"/>
          <w:bCs/>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9"/>
        <w:snapToGrid w:val="0"/>
        <w:spacing w:before="0" w:beforeAutospacing="0" w:after="0" w:afterAutospacing="0" w:line="560" w:lineRule="exact"/>
        <w:ind w:firstLine="640" w:firstLineChars="200"/>
        <w:jc w:val="both"/>
        <w:rPr>
          <w:rFonts w:hint="default" w:ascii="Times New Roman" w:hAnsi="Times New Roman" w:eastAsia="方正仿宋_GBK"/>
          <w:bCs/>
          <w:sz w:val="32"/>
          <w:szCs w:val="32"/>
        </w:rPr>
      </w:pPr>
      <w:r>
        <w:rPr>
          <w:rFonts w:ascii="方正黑体_GBK" w:hAnsi="方正黑体_GBK" w:eastAsia="方正黑体_GBK" w:cs="方正黑体_GBK"/>
          <w:bCs/>
          <w:sz w:val="32"/>
          <w:szCs w:val="32"/>
          <w:shd w:val="clear" w:color="auto" w:fill="FFFFFF"/>
        </w:rPr>
        <w:t xml:space="preserve"> 七、决算公开联系方式及信息反馈渠道</w:t>
      </w:r>
    </w:p>
    <w:p>
      <w:pPr>
        <w:pStyle w:val="9"/>
        <w:snapToGrid w:val="0"/>
        <w:spacing w:before="0" w:beforeAutospacing="0" w:after="0" w:afterAutospacing="0" w:line="560" w:lineRule="exact"/>
        <w:ind w:firstLine="640" w:firstLineChars="200"/>
        <w:jc w:val="both"/>
        <w:rPr>
          <w:rFonts w:hint="default" w:ascii="方正仿宋_GBK" w:hAnsi="Times New Roman" w:eastAsia="方正仿宋_GBK"/>
          <w:bCs/>
          <w:sz w:val="32"/>
          <w:szCs w:val="32"/>
        </w:rPr>
      </w:pPr>
      <w:r>
        <w:rPr>
          <w:rFonts w:ascii="方正仿宋_GBK" w:hAnsi="Times New Roman" w:eastAsia="方正仿宋_GBK"/>
          <w:bCs/>
          <w:sz w:val="32"/>
          <w:szCs w:val="32"/>
          <w:shd w:val="clear" w:color="auto" w:fill="FFFFFF"/>
        </w:rPr>
        <w:t>本单位决算公开信息反馈和联系方式：</w:t>
      </w:r>
    </w:p>
    <w:p>
      <w:pPr>
        <w:pStyle w:val="9"/>
        <w:snapToGrid w:val="0"/>
        <w:spacing w:before="0" w:beforeAutospacing="0" w:after="0" w:afterAutospacing="0" w:line="560" w:lineRule="exact"/>
        <w:ind w:firstLine="640" w:firstLineChars="200"/>
        <w:jc w:val="both"/>
        <w:rPr>
          <w:rFonts w:hint="default" w:ascii="Times New Roman" w:hAnsi="Times New Roman" w:eastAsia="方正仿宋_GBK"/>
          <w:bCs/>
          <w:sz w:val="32"/>
          <w:szCs w:val="32"/>
          <w:shd w:val="clear" w:color="auto" w:fill="FFFFFF"/>
        </w:rPr>
      </w:pPr>
      <w:r>
        <w:rPr>
          <w:rFonts w:ascii="方正仿宋_GBK" w:hAnsi="Times New Roman" w:eastAsia="方正仿宋_GBK"/>
          <w:bCs/>
          <w:sz w:val="32"/>
          <w:szCs w:val="32"/>
          <w:shd w:val="clear" w:color="auto" w:fill="FFFFFF"/>
        </w:rPr>
        <w:t>电话:</w:t>
      </w:r>
      <w:r>
        <w:rPr>
          <w:rFonts w:hint="default" w:ascii="Times New Roman" w:hAnsi="Times New Roman" w:eastAsia="方正仿宋_GBK"/>
          <w:bCs/>
          <w:sz w:val="32"/>
          <w:szCs w:val="32"/>
          <w:shd w:val="clear" w:color="auto" w:fill="FFFFFF"/>
        </w:rPr>
        <w:t>023-74595767</w:t>
      </w:r>
    </w:p>
    <w:p>
      <w:pPr>
        <w:pStyle w:val="9"/>
        <w:snapToGrid w:val="0"/>
        <w:spacing w:before="0" w:beforeAutospacing="0" w:after="0" w:afterAutospacing="0" w:line="560" w:lineRule="exact"/>
        <w:ind w:firstLine="640" w:firstLineChars="200"/>
        <w:jc w:val="both"/>
        <w:rPr>
          <w:rFonts w:hint="default" w:ascii="Times New Roman" w:hAnsi="Times New Roman" w:eastAsia="方正仿宋_GBK"/>
          <w:bCs/>
          <w:sz w:val="32"/>
          <w:szCs w:val="32"/>
          <w:shd w:val="clear" w:color="auto" w:fill="FFFFFF"/>
        </w:rPr>
      </w:pPr>
    </w:p>
    <w:p>
      <w:pPr>
        <w:rPr>
          <w:rFonts w:hint="default" w:cs="宋体"/>
          <w:sz w:val="21"/>
          <w:szCs w:val="21"/>
        </w:rPr>
      </w:pPr>
    </w:p>
    <w:p>
      <w:pPr>
        <w:textAlignment w:val="bottom"/>
        <w:rPr>
          <w:rFonts w:hint="default" w:cs="宋体"/>
          <w:b/>
          <w:color w:val="000000"/>
          <w:sz w:val="44"/>
          <w:szCs w:val="44"/>
        </w:rPr>
        <w:sectPr>
          <w:headerReference r:id="rId3" w:type="default"/>
          <w:footerReference r:id="rId4" w:type="default"/>
          <w:pgSz w:w="11850" w:h="16783"/>
          <w:pgMar w:top="1440" w:right="1800" w:bottom="1440" w:left="1800" w:header="0" w:footer="283" w:gutter="0"/>
          <w:pgNumType w:fmt="numberInDash"/>
          <w:cols w:space="720" w:num="1"/>
          <w:docGrid w:type="lines" w:linePitch="312" w:charSpace="0"/>
        </w:sectPr>
      </w:pPr>
    </w:p>
    <w:tbl>
      <w:tblPr>
        <w:tblStyle w:val="10"/>
        <w:tblW w:w="5000" w:type="pct"/>
        <w:tblInd w:w="0" w:type="dxa"/>
        <w:tblLayout w:type="autofit"/>
        <w:tblCellMar>
          <w:top w:w="0" w:type="dxa"/>
          <w:left w:w="0" w:type="dxa"/>
          <w:bottom w:w="0" w:type="dxa"/>
          <w:right w:w="0" w:type="dxa"/>
        </w:tblCellMar>
      </w:tblPr>
      <w:tblGrid>
        <w:gridCol w:w="4110"/>
        <w:gridCol w:w="2728"/>
        <w:gridCol w:w="4709"/>
        <w:gridCol w:w="2386"/>
      </w:tblGrid>
      <w:tr>
        <w:tblPrEx>
          <w:tblCellMar>
            <w:top w:w="0" w:type="dxa"/>
            <w:left w:w="0" w:type="dxa"/>
            <w:bottom w:w="0" w:type="dxa"/>
            <w:right w:w="0" w:type="dxa"/>
          </w:tblCellMar>
        </w:tblPrEx>
        <w:trPr>
          <w:trHeight w:val="565" w:hRule="atLeast"/>
        </w:trPr>
        <w:tc>
          <w:tcPr>
            <w:tcW w:w="5000" w:type="pct"/>
            <w:gridSpan w:val="4"/>
            <w:tcBorders>
              <w:top w:val="nil"/>
              <w:left w:val="nil"/>
              <w:bottom w:val="nil"/>
              <w:right w:val="nil"/>
            </w:tcBorders>
            <w:shd w:val="clear" w:color="auto" w:fill="auto"/>
            <w:tcMar>
              <w:top w:w="15" w:type="dxa"/>
              <w:left w:w="15" w:type="dxa"/>
              <w:right w:w="15" w:type="dxa"/>
            </w:tcMar>
            <w:vAlign w:val="bottom"/>
          </w:tcPr>
          <w:p>
            <w:pPr>
              <w:textAlignment w:val="bottom"/>
              <w:rPr>
                <w:rFonts w:hint="default" w:cs="宋体"/>
                <w:b/>
                <w:color w:val="000000"/>
                <w:sz w:val="44"/>
                <w:szCs w:val="44"/>
              </w:rPr>
            </w:pPr>
          </w:p>
          <w:p>
            <w:pPr>
              <w:jc w:val="center"/>
              <w:textAlignment w:val="bottom"/>
              <w:rPr>
                <w:rFonts w:hint="default" w:cs="宋体"/>
                <w:b/>
                <w:color w:val="000000"/>
                <w:sz w:val="40"/>
                <w:szCs w:val="40"/>
              </w:rPr>
            </w:pPr>
            <w:r>
              <w:rPr>
                <w:rFonts w:cs="宋体"/>
                <w:b/>
                <w:color w:val="000000"/>
                <w:sz w:val="44"/>
                <w:szCs w:val="44"/>
              </w:rPr>
              <w:t>收入支出决算总表</w:t>
            </w:r>
          </w:p>
        </w:tc>
      </w:tr>
      <w:tr>
        <w:trPr>
          <w:trHeight w:val="289" w:hRule="atLeast"/>
        </w:trPr>
        <w:tc>
          <w:tcPr>
            <w:tcW w:w="1475"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979" w:type="pct"/>
            <w:tcBorders>
              <w:top w:val="nil"/>
              <w:left w:val="nil"/>
              <w:bottom w:val="nil"/>
              <w:right w:val="nil"/>
            </w:tcBorders>
            <w:shd w:val="clear" w:color="auto" w:fill="auto"/>
            <w:tcMar>
              <w:top w:w="15" w:type="dxa"/>
              <w:left w:w="15" w:type="dxa"/>
              <w:right w:w="15" w:type="dxa"/>
            </w:tcMar>
            <w:vAlign w:val="bottom"/>
          </w:tcPr>
          <w:p>
            <w:pPr>
              <w:jc w:val="right"/>
              <w:rPr>
                <w:rFonts w:hint="default" w:ascii="Arial" w:hAnsi="Arial" w:cs="Arial"/>
                <w:color w:val="000000"/>
                <w:sz w:val="20"/>
                <w:szCs w:val="20"/>
              </w:rPr>
            </w:pPr>
          </w:p>
        </w:tc>
        <w:tc>
          <w:tcPr>
            <w:tcW w:w="1690"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856" w:type="pct"/>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rPr>
              <w:t>公开01表</w:t>
            </w:r>
          </w:p>
        </w:tc>
      </w:tr>
      <w:tr>
        <w:trPr>
          <w:trHeight w:val="289" w:hRule="atLeast"/>
        </w:trPr>
        <w:tc>
          <w:tcPr>
            <w:tcW w:w="1475" w:type="pct"/>
            <w:tcBorders>
              <w:top w:val="nil"/>
              <w:left w:val="nil"/>
              <w:bottom w:val="nil"/>
              <w:right w:val="nil"/>
            </w:tcBorders>
            <w:shd w:val="clear" w:color="auto" w:fill="auto"/>
            <w:tcMar>
              <w:top w:w="15" w:type="dxa"/>
              <w:left w:w="15" w:type="dxa"/>
              <w:right w:w="15" w:type="dxa"/>
            </w:tcMar>
            <w:vAlign w:val="bottom"/>
          </w:tcPr>
          <w:p>
            <w:pPr>
              <w:textAlignment w:val="bottom"/>
              <w:rPr>
                <w:rFonts w:hint="default" w:cs="宋体"/>
                <w:color w:val="000000"/>
              </w:rPr>
            </w:pPr>
            <w:r>
              <w:rPr>
                <w:rFonts w:cs="宋体"/>
              </w:rPr>
              <w:t>公开单位：垫江县永平镇劳动就业和社会保障服务所</w:t>
            </w:r>
          </w:p>
        </w:tc>
        <w:tc>
          <w:tcPr>
            <w:tcW w:w="979" w:type="pct"/>
            <w:tcBorders>
              <w:top w:val="nil"/>
              <w:left w:val="nil"/>
              <w:bottom w:val="nil"/>
              <w:right w:val="nil"/>
            </w:tcBorders>
            <w:shd w:val="clear" w:color="auto" w:fill="auto"/>
            <w:tcMar>
              <w:top w:w="15" w:type="dxa"/>
              <w:left w:w="15" w:type="dxa"/>
              <w:right w:w="15" w:type="dxa"/>
            </w:tcMar>
            <w:vAlign w:val="bottom"/>
          </w:tcPr>
          <w:p>
            <w:pPr>
              <w:jc w:val="right"/>
              <w:rPr>
                <w:rFonts w:hint="default" w:ascii="Arial" w:hAnsi="Arial" w:cs="Arial"/>
                <w:color w:val="000000"/>
                <w:sz w:val="22"/>
                <w:szCs w:val="22"/>
              </w:rPr>
            </w:pPr>
          </w:p>
        </w:tc>
        <w:tc>
          <w:tcPr>
            <w:tcW w:w="1690"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856" w:type="pct"/>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298" w:hRule="atLeast"/>
        </w:trPr>
        <w:tc>
          <w:tcPr>
            <w:tcW w:w="2454"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收入</w:t>
            </w:r>
          </w:p>
        </w:tc>
        <w:tc>
          <w:tcPr>
            <w:tcW w:w="2546" w:type="pct"/>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支出</w:t>
            </w:r>
          </w:p>
        </w:tc>
      </w:tr>
      <w:tr>
        <w:tblPrEx>
          <w:tblCellMar>
            <w:top w:w="0" w:type="dxa"/>
            <w:left w:w="0" w:type="dxa"/>
            <w:bottom w:w="0" w:type="dxa"/>
            <w:right w:w="0" w:type="dxa"/>
          </w:tblCellMar>
        </w:tblPrEx>
        <w:trPr>
          <w:trHeight w:val="298" w:hRule="atLeast"/>
        </w:trPr>
        <w:tc>
          <w:tcPr>
            <w:tcW w:w="1475" w:type="pc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97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c>
          <w:tcPr>
            <w:tcW w:w="1690"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856"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r>
      <w:tr>
        <w:tblPrEx>
          <w:tblCellMar>
            <w:top w:w="0" w:type="dxa"/>
            <w:left w:w="0" w:type="dxa"/>
            <w:bottom w:w="0" w:type="dxa"/>
            <w:right w:w="0" w:type="dxa"/>
          </w:tblCellMar>
        </w:tblPrEx>
        <w:trPr>
          <w:trHeight w:val="298" w:hRule="atLeast"/>
        </w:trPr>
        <w:tc>
          <w:tcPr>
            <w:tcW w:w="1475" w:type="pc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一、一般公共预算财政拨款收入</w:t>
            </w:r>
          </w:p>
        </w:tc>
        <w:tc>
          <w:tcPr>
            <w:tcW w:w="97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108.44</w:t>
            </w:r>
          </w:p>
        </w:tc>
        <w:tc>
          <w:tcPr>
            <w:tcW w:w="1690"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一、一般公共服务支出</w:t>
            </w:r>
          </w:p>
        </w:tc>
        <w:tc>
          <w:tcPr>
            <w:tcW w:w="85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5" w:type="pc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二、政府性基金预算财政拨款收入</w:t>
            </w:r>
          </w:p>
        </w:tc>
        <w:tc>
          <w:tcPr>
            <w:tcW w:w="97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二、外交支出</w:t>
            </w:r>
          </w:p>
        </w:tc>
        <w:tc>
          <w:tcPr>
            <w:tcW w:w="85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5" w:type="pc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三、国有资本经营预算财政拨款收入</w:t>
            </w:r>
          </w:p>
        </w:tc>
        <w:tc>
          <w:tcPr>
            <w:tcW w:w="97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三、国防支出</w:t>
            </w:r>
          </w:p>
        </w:tc>
        <w:tc>
          <w:tcPr>
            <w:tcW w:w="85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5" w:type="pc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四、上级补助收入</w:t>
            </w:r>
          </w:p>
        </w:tc>
        <w:tc>
          <w:tcPr>
            <w:tcW w:w="97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四、公共安全支出</w:t>
            </w:r>
          </w:p>
        </w:tc>
        <w:tc>
          <w:tcPr>
            <w:tcW w:w="85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5" w:type="pc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五、事业收入</w:t>
            </w:r>
          </w:p>
        </w:tc>
        <w:tc>
          <w:tcPr>
            <w:tcW w:w="97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五、教育支出</w:t>
            </w:r>
          </w:p>
        </w:tc>
        <w:tc>
          <w:tcPr>
            <w:tcW w:w="85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5" w:type="pc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六、经营收入</w:t>
            </w:r>
          </w:p>
        </w:tc>
        <w:tc>
          <w:tcPr>
            <w:tcW w:w="97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六、科学技术支出</w:t>
            </w:r>
          </w:p>
        </w:tc>
        <w:tc>
          <w:tcPr>
            <w:tcW w:w="85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5" w:type="pc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七、附属单位上缴收入</w:t>
            </w:r>
          </w:p>
        </w:tc>
        <w:tc>
          <w:tcPr>
            <w:tcW w:w="97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七、文化旅游体育与传媒支出</w:t>
            </w:r>
          </w:p>
        </w:tc>
        <w:tc>
          <w:tcPr>
            <w:tcW w:w="85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5" w:type="pc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八、其他收入</w:t>
            </w:r>
          </w:p>
        </w:tc>
        <w:tc>
          <w:tcPr>
            <w:tcW w:w="979" w:type="pct"/>
            <w:tcBorders>
              <w:top w:val="nil"/>
              <w:left w:val="nil"/>
              <w:bottom w:val="nil"/>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八、社会保障和就业支出</w:t>
            </w:r>
          </w:p>
        </w:tc>
        <w:tc>
          <w:tcPr>
            <w:tcW w:w="85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100.42</w:t>
            </w:r>
          </w:p>
        </w:tc>
      </w:tr>
      <w:tr>
        <w:tblPrEx>
          <w:tblCellMar>
            <w:top w:w="0" w:type="dxa"/>
            <w:left w:w="0" w:type="dxa"/>
            <w:bottom w:w="0" w:type="dxa"/>
            <w:right w:w="0" w:type="dxa"/>
          </w:tblCellMar>
        </w:tblPrEx>
        <w:trPr>
          <w:trHeight w:val="298" w:hRule="atLeast"/>
        </w:trPr>
        <w:tc>
          <w:tcPr>
            <w:tcW w:w="1475" w:type="pc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default" w:ascii="Arial" w:hAnsi="Arial" w:cs="Arial"/>
                <w:color w:val="000000"/>
                <w:sz w:val="20"/>
                <w:szCs w:val="20"/>
              </w:rPr>
            </w:pPr>
          </w:p>
        </w:tc>
        <w:tc>
          <w:tcPr>
            <w:tcW w:w="1690"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九、卫生健康支出</w:t>
            </w:r>
          </w:p>
        </w:tc>
        <w:tc>
          <w:tcPr>
            <w:tcW w:w="85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3.30</w:t>
            </w:r>
          </w:p>
        </w:tc>
      </w:tr>
      <w:tr>
        <w:tblPrEx>
          <w:tblCellMar>
            <w:top w:w="0" w:type="dxa"/>
            <w:left w:w="0" w:type="dxa"/>
            <w:bottom w:w="0" w:type="dxa"/>
            <w:right w:w="0" w:type="dxa"/>
          </w:tblCellMar>
        </w:tblPrEx>
        <w:trPr>
          <w:trHeight w:val="298" w:hRule="atLeast"/>
        </w:trPr>
        <w:tc>
          <w:tcPr>
            <w:tcW w:w="1475" w:type="pc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default" w:ascii="Arial" w:hAnsi="Arial" w:cs="Arial"/>
                <w:color w:val="000000"/>
                <w:sz w:val="20"/>
                <w:szCs w:val="20"/>
              </w:rPr>
            </w:pPr>
          </w:p>
        </w:tc>
        <w:tc>
          <w:tcPr>
            <w:tcW w:w="1690"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十、节能环保支出</w:t>
            </w:r>
          </w:p>
        </w:tc>
        <w:tc>
          <w:tcPr>
            <w:tcW w:w="85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5" w:type="pc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default" w:ascii="Arial" w:hAnsi="Arial" w:cs="Arial"/>
                <w:color w:val="000000"/>
                <w:sz w:val="20"/>
                <w:szCs w:val="20"/>
              </w:rPr>
            </w:pPr>
          </w:p>
        </w:tc>
        <w:tc>
          <w:tcPr>
            <w:tcW w:w="1690"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十一、城乡社区支出</w:t>
            </w:r>
          </w:p>
        </w:tc>
        <w:tc>
          <w:tcPr>
            <w:tcW w:w="85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5" w:type="pc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default" w:ascii="Arial" w:hAnsi="Arial" w:cs="Arial"/>
                <w:color w:val="000000"/>
                <w:sz w:val="20"/>
                <w:szCs w:val="20"/>
              </w:rPr>
            </w:pPr>
          </w:p>
        </w:tc>
        <w:tc>
          <w:tcPr>
            <w:tcW w:w="1690"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十二、农林水支出</w:t>
            </w:r>
          </w:p>
        </w:tc>
        <w:tc>
          <w:tcPr>
            <w:tcW w:w="85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0.74</w:t>
            </w:r>
          </w:p>
        </w:tc>
      </w:tr>
      <w:tr>
        <w:tblPrEx>
          <w:tblCellMar>
            <w:top w:w="0" w:type="dxa"/>
            <w:left w:w="0" w:type="dxa"/>
            <w:bottom w:w="0" w:type="dxa"/>
            <w:right w:w="0" w:type="dxa"/>
          </w:tblCellMar>
        </w:tblPrEx>
        <w:trPr>
          <w:trHeight w:val="298" w:hRule="atLeast"/>
        </w:trPr>
        <w:tc>
          <w:tcPr>
            <w:tcW w:w="1475" w:type="pc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十三、交通运输支出</w:t>
            </w:r>
          </w:p>
        </w:tc>
        <w:tc>
          <w:tcPr>
            <w:tcW w:w="85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5" w:type="pc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97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十四、资源勘探工业信息等支出</w:t>
            </w:r>
          </w:p>
        </w:tc>
        <w:tc>
          <w:tcPr>
            <w:tcW w:w="85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5" w:type="pc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97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十五、商业服务业等支出</w:t>
            </w:r>
          </w:p>
        </w:tc>
        <w:tc>
          <w:tcPr>
            <w:tcW w:w="85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5" w:type="pc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97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十六、金融支出</w:t>
            </w:r>
          </w:p>
        </w:tc>
        <w:tc>
          <w:tcPr>
            <w:tcW w:w="85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5" w:type="pc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97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十七、援助其他地区支出</w:t>
            </w:r>
          </w:p>
        </w:tc>
        <w:tc>
          <w:tcPr>
            <w:tcW w:w="85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5" w:type="pc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97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十八、自然资源海洋气象等支出</w:t>
            </w:r>
          </w:p>
        </w:tc>
        <w:tc>
          <w:tcPr>
            <w:tcW w:w="85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5" w:type="pc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97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十九、住房保障支出</w:t>
            </w:r>
          </w:p>
        </w:tc>
        <w:tc>
          <w:tcPr>
            <w:tcW w:w="85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3.98</w:t>
            </w:r>
          </w:p>
        </w:tc>
      </w:tr>
      <w:tr>
        <w:tblPrEx>
          <w:tblCellMar>
            <w:top w:w="0" w:type="dxa"/>
            <w:left w:w="0" w:type="dxa"/>
            <w:bottom w:w="0" w:type="dxa"/>
            <w:right w:w="0" w:type="dxa"/>
          </w:tblCellMar>
        </w:tblPrEx>
        <w:trPr>
          <w:trHeight w:val="298" w:hRule="atLeast"/>
        </w:trPr>
        <w:tc>
          <w:tcPr>
            <w:tcW w:w="1475" w:type="pc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97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二十、粮油物资储备支出</w:t>
            </w:r>
          </w:p>
        </w:tc>
        <w:tc>
          <w:tcPr>
            <w:tcW w:w="85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5" w:type="pc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97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二十一、国有资本经营预算支出</w:t>
            </w:r>
          </w:p>
        </w:tc>
        <w:tc>
          <w:tcPr>
            <w:tcW w:w="85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5" w:type="pc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97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二十二、灾害防治及应急管理支出</w:t>
            </w:r>
          </w:p>
        </w:tc>
        <w:tc>
          <w:tcPr>
            <w:tcW w:w="85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5" w:type="pc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97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二十三、其他支出</w:t>
            </w:r>
          </w:p>
        </w:tc>
        <w:tc>
          <w:tcPr>
            <w:tcW w:w="85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5" w:type="pc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97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二十四、债务还本支出</w:t>
            </w:r>
          </w:p>
        </w:tc>
        <w:tc>
          <w:tcPr>
            <w:tcW w:w="85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5" w:type="pc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97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二十五、债务付息支出</w:t>
            </w:r>
          </w:p>
        </w:tc>
        <w:tc>
          <w:tcPr>
            <w:tcW w:w="85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5" w:type="pc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97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二十六、抗疫特别国债安排的支出</w:t>
            </w:r>
          </w:p>
        </w:tc>
        <w:tc>
          <w:tcPr>
            <w:tcW w:w="85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5" w:type="pc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97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108.44</w:t>
            </w:r>
          </w:p>
        </w:tc>
        <w:tc>
          <w:tcPr>
            <w:tcW w:w="1690"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85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108.44</w:t>
            </w:r>
          </w:p>
        </w:tc>
      </w:tr>
      <w:tr>
        <w:tblPrEx>
          <w:tblCellMar>
            <w:top w:w="0" w:type="dxa"/>
            <w:left w:w="0" w:type="dxa"/>
            <w:bottom w:w="0" w:type="dxa"/>
            <w:right w:w="0" w:type="dxa"/>
          </w:tblCellMar>
        </w:tblPrEx>
        <w:trPr>
          <w:trHeight w:val="298" w:hRule="atLeast"/>
        </w:trPr>
        <w:tc>
          <w:tcPr>
            <w:tcW w:w="1475" w:type="pc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使用非财政拨款结余和专用结余</w:t>
            </w:r>
          </w:p>
        </w:tc>
        <w:tc>
          <w:tcPr>
            <w:tcW w:w="97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结余分配</w:t>
            </w:r>
          </w:p>
        </w:tc>
        <w:tc>
          <w:tcPr>
            <w:tcW w:w="85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5" w:type="pc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年初结转和结余</w:t>
            </w:r>
          </w:p>
        </w:tc>
        <w:tc>
          <w:tcPr>
            <w:tcW w:w="97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年末结转和结余</w:t>
            </w:r>
          </w:p>
        </w:tc>
        <w:tc>
          <w:tcPr>
            <w:tcW w:w="856" w:type="pct"/>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07" w:hRule="atLeast"/>
        </w:trPr>
        <w:tc>
          <w:tcPr>
            <w:tcW w:w="1475" w:type="pc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9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108.44</w:t>
            </w:r>
          </w:p>
        </w:tc>
        <w:tc>
          <w:tcPr>
            <w:tcW w:w="1690" w:type="pct"/>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8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default" w:cs="宋体"/>
                <w:color w:val="000000"/>
                <w:sz w:val="20"/>
                <w:szCs w:val="20"/>
              </w:rPr>
            </w:pPr>
            <w:r>
              <w:rPr>
                <w:rFonts w:cs="宋体"/>
                <w:color w:val="000000"/>
                <w:sz w:val="21"/>
                <w:szCs w:val="21"/>
              </w:rPr>
              <w:t>108.44</w:t>
            </w:r>
          </w:p>
        </w:tc>
      </w:tr>
    </w:tbl>
    <w:p>
      <w:pPr>
        <w:rPr>
          <w:rFonts w:hint="default" w:cs="宋体"/>
          <w:sz w:val="21"/>
          <w:szCs w:val="21"/>
        </w:rPr>
      </w:pPr>
      <w:r>
        <w:rPr>
          <w:rFonts w:cs="宋体"/>
          <w:sz w:val="21"/>
          <w:szCs w:val="21"/>
        </w:rPr>
        <w:t>备注：1.本表反映单位本年度的总收支和年末结转结余情况。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5000" w:type="pct"/>
        <w:tblInd w:w="0" w:type="dxa"/>
        <w:tblLayout w:type="autofit"/>
        <w:tblCellMar>
          <w:top w:w="0" w:type="dxa"/>
          <w:left w:w="0" w:type="dxa"/>
          <w:bottom w:w="0" w:type="dxa"/>
          <w:right w:w="0" w:type="dxa"/>
        </w:tblCellMar>
      </w:tblPr>
      <w:tblGrid>
        <w:gridCol w:w="1847"/>
        <w:gridCol w:w="2853"/>
        <w:gridCol w:w="1494"/>
        <w:gridCol w:w="1494"/>
        <w:gridCol w:w="1023"/>
        <w:gridCol w:w="541"/>
        <w:gridCol w:w="1393"/>
        <w:gridCol w:w="780"/>
        <w:gridCol w:w="1260"/>
        <w:gridCol w:w="1248"/>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收入决算表</w:t>
            </w:r>
          </w:p>
        </w:tc>
      </w:tr>
      <w:tr>
        <w:tblPrEx>
          <w:tblCellMar>
            <w:top w:w="0" w:type="dxa"/>
            <w:left w:w="0" w:type="dxa"/>
            <w:bottom w:w="0" w:type="dxa"/>
            <w:right w:w="0" w:type="dxa"/>
          </w:tblCellMar>
        </w:tblPrEx>
        <w:trPr>
          <w:trHeight w:val="328" w:hRule="atLeast"/>
        </w:trPr>
        <w:tc>
          <w:tcPr>
            <w:tcW w:w="1687" w:type="pct"/>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r>
              <w:rPr>
                <w:rFonts w:cs="宋体"/>
              </w:rPr>
              <w:t>公开单位：垫江县永平镇劳动就业和社会保障服务所</w:t>
            </w:r>
          </w:p>
        </w:tc>
        <w:tc>
          <w:tcPr>
            <w:tcW w:w="536"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536"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67"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94"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500"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80"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452"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448" w:type="pct"/>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rPr>
              <w:t>公开02表</w:t>
            </w:r>
          </w:p>
        </w:tc>
      </w:tr>
      <w:tr>
        <w:tblPrEx>
          <w:tblCellMar>
            <w:top w:w="0" w:type="dxa"/>
            <w:left w:w="0" w:type="dxa"/>
            <w:bottom w:w="0" w:type="dxa"/>
            <w:right w:w="0" w:type="dxa"/>
          </w:tblCellMar>
        </w:tblPrEx>
        <w:trPr>
          <w:trHeight w:val="328" w:hRule="atLeast"/>
        </w:trPr>
        <w:tc>
          <w:tcPr>
            <w:tcW w:w="1687" w:type="pct"/>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536"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536"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367"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194"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500"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80"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452"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448" w:type="pct"/>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431" w:hRule="atLeast"/>
        </w:trPr>
        <w:tc>
          <w:tcPr>
            <w:tcW w:w="1687" w:type="pct"/>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536"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536"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财政拨款收入</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上级补助收入</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事业收入</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经营收入</w:t>
            </w:r>
          </w:p>
        </w:tc>
        <w:tc>
          <w:tcPr>
            <w:tcW w:w="45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附属单位上缴收入</w:t>
            </w:r>
          </w:p>
        </w:tc>
        <w:tc>
          <w:tcPr>
            <w:tcW w:w="4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其他收入</w:t>
            </w:r>
          </w:p>
        </w:tc>
      </w:tr>
      <w:tr>
        <w:tblPrEx>
          <w:tblCellMar>
            <w:top w:w="0" w:type="dxa"/>
            <w:left w:w="0" w:type="dxa"/>
            <w:bottom w:w="0" w:type="dxa"/>
            <w:right w:w="0" w:type="dxa"/>
          </w:tblCellMar>
        </w:tblPrEx>
        <w:trPr>
          <w:trHeight w:val="334" w:hRule="atLeast"/>
        </w:trPr>
        <w:tc>
          <w:tcPr>
            <w:tcW w:w="66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1024" w:type="pct"/>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53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小计</w:t>
            </w:r>
          </w:p>
        </w:tc>
        <w:tc>
          <w:tcPr>
            <w:tcW w:w="500"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其中：教育收费</w:t>
            </w:r>
          </w:p>
        </w:tc>
        <w:tc>
          <w:tcPr>
            <w:tcW w:w="28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6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024" w:type="pct"/>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6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024" w:type="pct"/>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6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024" w:type="pct"/>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168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53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bCs/>
                <w:color w:val="000000"/>
                <w:sz w:val="21"/>
                <w:szCs w:val="21"/>
              </w:rPr>
              <w:t>108.44</w:t>
            </w:r>
          </w:p>
        </w:tc>
        <w:tc>
          <w:tcPr>
            <w:tcW w:w="53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bCs/>
                <w:color w:val="000000"/>
                <w:sz w:val="21"/>
                <w:szCs w:val="21"/>
              </w:rPr>
              <w:t>108.44</w:t>
            </w:r>
          </w:p>
        </w:tc>
        <w:tc>
          <w:tcPr>
            <w:tcW w:w="36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p>
        </w:tc>
        <w:tc>
          <w:tcPr>
            <w:tcW w:w="19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p>
        </w:tc>
        <w:tc>
          <w:tcPr>
            <w:tcW w:w="50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p>
        </w:tc>
        <w:tc>
          <w:tcPr>
            <w:tcW w:w="28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p>
        </w:tc>
        <w:tc>
          <w:tcPr>
            <w:tcW w:w="45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p>
        </w:tc>
        <w:tc>
          <w:tcPr>
            <w:tcW w:w="448"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48" w:hRule="atLeast"/>
        </w:trPr>
        <w:tc>
          <w:tcPr>
            <w:tcW w:w="66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w:t>
            </w:r>
          </w:p>
        </w:tc>
        <w:tc>
          <w:tcPr>
            <w:tcW w:w="102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社会保障和就业支出</w:t>
            </w: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b/>
                <w:color w:val="000000"/>
                <w:sz w:val="21"/>
                <w:szCs w:val="21"/>
              </w:rPr>
              <w:t>100.42</w:t>
            </w: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b/>
                <w:color w:val="000000"/>
                <w:sz w:val="21"/>
                <w:szCs w:val="21"/>
              </w:rPr>
              <w:t>100.42</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66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20801</w:t>
            </w:r>
          </w:p>
        </w:tc>
        <w:tc>
          <w:tcPr>
            <w:tcW w:w="102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人力资源和社会保障管理事务</w:t>
            </w: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b/>
                <w:color w:val="000000"/>
                <w:sz w:val="21"/>
                <w:szCs w:val="21"/>
              </w:rPr>
              <w:t>90.30</w:t>
            </w: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b/>
                <w:color w:val="000000"/>
                <w:sz w:val="21"/>
                <w:szCs w:val="21"/>
              </w:rPr>
              <w:t>90.30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66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2080150</w:t>
            </w:r>
          </w:p>
        </w:tc>
        <w:tc>
          <w:tcPr>
            <w:tcW w:w="102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事业运行</w:t>
            </w: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color w:val="000000"/>
                <w:sz w:val="21"/>
                <w:szCs w:val="21"/>
              </w:rPr>
              <w:t>90.30</w:t>
            </w: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color w:val="000000"/>
                <w:sz w:val="21"/>
                <w:szCs w:val="21"/>
              </w:rPr>
              <w:t>90.30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66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20805</w:t>
            </w:r>
          </w:p>
        </w:tc>
        <w:tc>
          <w:tcPr>
            <w:tcW w:w="102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行政事业单位养老支出</w:t>
            </w: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b/>
                <w:color w:val="000000"/>
                <w:sz w:val="21"/>
                <w:szCs w:val="21"/>
              </w:rPr>
              <w:t>10.13</w:t>
            </w: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b/>
                <w:color w:val="000000"/>
                <w:sz w:val="21"/>
                <w:szCs w:val="21"/>
              </w:rPr>
              <w:t>10.13</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66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2080505</w:t>
            </w:r>
          </w:p>
        </w:tc>
        <w:tc>
          <w:tcPr>
            <w:tcW w:w="102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机关事业单位基本养老保险缴费支出</w:t>
            </w: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color w:val="000000"/>
                <w:sz w:val="21"/>
                <w:szCs w:val="21"/>
              </w:rPr>
              <w:t>6.76</w:t>
            </w: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color w:val="000000"/>
                <w:sz w:val="21"/>
                <w:szCs w:val="21"/>
              </w:rPr>
              <w:t>6.76</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66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2080506</w:t>
            </w:r>
          </w:p>
        </w:tc>
        <w:tc>
          <w:tcPr>
            <w:tcW w:w="102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机关事业单位职业年金缴费支出</w:t>
            </w: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color w:val="000000"/>
                <w:sz w:val="21"/>
                <w:szCs w:val="21"/>
              </w:rPr>
              <w:t>3.37</w:t>
            </w: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color w:val="000000"/>
                <w:sz w:val="21"/>
                <w:szCs w:val="21"/>
              </w:rPr>
              <w:t>3.37</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66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w:t>
            </w:r>
          </w:p>
        </w:tc>
        <w:tc>
          <w:tcPr>
            <w:tcW w:w="102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卫生健康支出</w:t>
            </w: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b/>
                <w:color w:val="000000"/>
                <w:sz w:val="21"/>
                <w:szCs w:val="21"/>
              </w:rPr>
              <w:t>3.30</w:t>
            </w: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b/>
                <w:color w:val="000000"/>
                <w:sz w:val="21"/>
                <w:szCs w:val="21"/>
              </w:rPr>
              <w:t>3.30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66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21011</w:t>
            </w:r>
          </w:p>
        </w:tc>
        <w:tc>
          <w:tcPr>
            <w:tcW w:w="102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行政事业单位医疗</w:t>
            </w: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b/>
                <w:color w:val="000000"/>
                <w:sz w:val="21"/>
                <w:szCs w:val="21"/>
              </w:rPr>
              <w:t>3.30</w:t>
            </w: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b/>
                <w:color w:val="000000"/>
                <w:sz w:val="21"/>
                <w:szCs w:val="21"/>
              </w:rPr>
              <w:t>3.30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66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2101102</w:t>
            </w:r>
          </w:p>
        </w:tc>
        <w:tc>
          <w:tcPr>
            <w:tcW w:w="102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事业单位医疗</w:t>
            </w: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color w:val="000000"/>
                <w:sz w:val="21"/>
                <w:szCs w:val="21"/>
              </w:rPr>
              <w:t>3.30</w:t>
            </w: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color w:val="000000"/>
                <w:sz w:val="21"/>
                <w:szCs w:val="21"/>
              </w:rPr>
              <w:t>3.30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66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w:t>
            </w:r>
          </w:p>
        </w:tc>
        <w:tc>
          <w:tcPr>
            <w:tcW w:w="102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农林水支出</w:t>
            </w: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b/>
                <w:color w:val="000000"/>
                <w:sz w:val="21"/>
                <w:szCs w:val="21"/>
              </w:rPr>
              <w:t>0.74</w:t>
            </w: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b/>
                <w:color w:val="000000"/>
                <w:sz w:val="21"/>
                <w:szCs w:val="21"/>
              </w:rPr>
              <w:t>0.74</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66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21305</w:t>
            </w:r>
          </w:p>
        </w:tc>
        <w:tc>
          <w:tcPr>
            <w:tcW w:w="102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hint="eastAsia" w:cs="宋体"/>
                <w:b/>
                <w:color w:val="000000"/>
                <w:sz w:val="21"/>
                <w:szCs w:val="21"/>
                <w:lang w:eastAsia="zh-CN"/>
              </w:rPr>
              <w:t>巩固拓展脱贫攻坚成果</w:t>
            </w:r>
            <w:r>
              <w:rPr>
                <w:rFonts w:cs="宋体"/>
                <w:b/>
                <w:color w:val="000000"/>
                <w:sz w:val="21"/>
                <w:szCs w:val="21"/>
              </w:rPr>
              <w:t>衔接乡村振兴</w:t>
            </w: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b/>
                <w:color w:val="000000"/>
                <w:sz w:val="21"/>
                <w:szCs w:val="21"/>
              </w:rPr>
              <w:t>0.74</w:t>
            </w: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b/>
                <w:color w:val="000000"/>
                <w:sz w:val="21"/>
                <w:szCs w:val="21"/>
              </w:rPr>
              <w:t>0.74</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66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2130599</w:t>
            </w:r>
          </w:p>
        </w:tc>
        <w:tc>
          <w:tcPr>
            <w:tcW w:w="102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w:t>
            </w:r>
            <w:r>
              <w:rPr>
                <w:rFonts w:hint="eastAsia" w:cs="宋体"/>
                <w:color w:val="000000"/>
                <w:sz w:val="21"/>
                <w:szCs w:val="21"/>
                <w:lang w:eastAsia="zh-CN"/>
              </w:rPr>
              <w:t>巩固拓展脱贫攻坚成果</w:t>
            </w:r>
            <w:bookmarkStart w:id="0" w:name="_GoBack"/>
            <w:bookmarkEnd w:id="0"/>
            <w:r>
              <w:rPr>
                <w:rFonts w:cs="宋体"/>
                <w:color w:val="000000"/>
                <w:sz w:val="21"/>
                <w:szCs w:val="21"/>
              </w:rPr>
              <w:t>衔接乡村振兴支出</w:t>
            </w: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color w:val="000000"/>
                <w:sz w:val="21"/>
                <w:szCs w:val="21"/>
              </w:rPr>
              <w:t>0.74</w:t>
            </w: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color w:val="000000"/>
                <w:sz w:val="21"/>
                <w:szCs w:val="21"/>
              </w:rPr>
              <w:t>0.74</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66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221</w:t>
            </w:r>
          </w:p>
        </w:tc>
        <w:tc>
          <w:tcPr>
            <w:tcW w:w="102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住房保障支出</w:t>
            </w: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b/>
                <w:color w:val="000000"/>
                <w:sz w:val="21"/>
                <w:szCs w:val="21"/>
              </w:rPr>
              <w:t>3.98</w:t>
            </w: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b/>
                <w:color w:val="000000"/>
                <w:sz w:val="21"/>
                <w:szCs w:val="21"/>
              </w:rPr>
              <w:t>3.98</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66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22102</w:t>
            </w:r>
          </w:p>
        </w:tc>
        <w:tc>
          <w:tcPr>
            <w:tcW w:w="102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住房改革支出</w:t>
            </w: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b/>
                <w:color w:val="000000"/>
                <w:sz w:val="21"/>
                <w:szCs w:val="21"/>
              </w:rPr>
              <w:t>3.98</w:t>
            </w: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b/>
                <w:color w:val="000000"/>
                <w:sz w:val="21"/>
                <w:szCs w:val="21"/>
              </w:rPr>
              <w:t>3.98</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66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2210201</w:t>
            </w:r>
          </w:p>
        </w:tc>
        <w:tc>
          <w:tcPr>
            <w:tcW w:w="102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住房公积金</w:t>
            </w: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color w:val="000000"/>
                <w:sz w:val="21"/>
                <w:szCs w:val="21"/>
              </w:rPr>
              <w:t>3.98</w:t>
            </w: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color w:val="000000"/>
                <w:sz w:val="21"/>
                <w:szCs w:val="21"/>
              </w:rPr>
              <w:t>3.98</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r>
    </w:tbl>
    <w:p>
      <w:pPr>
        <w:ind w:left="630" w:hanging="630" w:hangingChars="300"/>
        <w:rPr>
          <w:rFonts w:hint="default" w:cs="宋体"/>
          <w:sz w:val="21"/>
          <w:szCs w:val="21"/>
        </w:rPr>
      </w:pPr>
      <w:r>
        <w:rPr>
          <w:rFonts w:cs="宋体"/>
          <w:sz w:val="21"/>
          <w:szCs w:val="21"/>
        </w:rPr>
        <w:t>备注：1.本表反映单位本年度取得的各项收入情况。</w:t>
      </w:r>
      <w:r>
        <w:rPr>
          <w:rFonts w:cs="宋体"/>
          <w:sz w:val="21"/>
          <w:szCs w:val="21"/>
        </w:rPr>
        <w:br w:type="textWrapping"/>
      </w:r>
      <w:r>
        <w:rPr>
          <w:rFonts w:cs="宋体"/>
          <w:sz w:val="21"/>
          <w:szCs w:val="21"/>
        </w:rPr>
        <w:t>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ind w:left="630" w:hanging="630" w:hangingChars="300"/>
        <w:rPr>
          <w:rFonts w:hint="default" w:cs="宋体"/>
          <w:sz w:val="21"/>
          <w:szCs w:val="21"/>
        </w:rPr>
      </w:pPr>
    </w:p>
    <w:tbl>
      <w:tblPr>
        <w:tblStyle w:val="10"/>
        <w:tblW w:w="5000" w:type="pct"/>
        <w:tblInd w:w="0" w:type="dxa"/>
        <w:tblLayout w:type="autofit"/>
        <w:tblCellMar>
          <w:top w:w="0" w:type="dxa"/>
          <w:left w:w="0" w:type="dxa"/>
          <w:bottom w:w="0" w:type="dxa"/>
          <w:right w:w="0" w:type="dxa"/>
        </w:tblCellMar>
      </w:tblPr>
      <w:tblGrid>
        <w:gridCol w:w="1307"/>
        <w:gridCol w:w="2218"/>
        <w:gridCol w:w="1733"/>
        <w:gridCol w:w="1733"/>
        <w:gridCol w:w="1733"/>
        <w:gridCol w:w="1733"/>
        <w:gridCol w:w="1733"/>
        <w:gridCol w:w="1743"/>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支出决算表</w:t>
            </w:r>
          </w:p>
        </w:tc>
      </w:tr>
      <w:tr>
        <w:tblPrEx>
          <w:tblCellMar>
            <w:top w:w="0" w:type="dxa"/>
            <w:left w:w="0" w:type="dxa"/>
            <w:bottom w:w="0" w:type="dxa"/>
            <w:right w:w="0" w:type="dxa"/>
          </w:tblCellMar>
        </w:tblPrEx>
        <w:trPr>
          <w:trHeight w:val="342" w:hRule="atLeast"/>
        </w:trPr>
        <w:tc>
          <w:tcPr>
            <w:tcW w:w="1265" w:type="pct"/>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 xml:space="preserve">垫江县永平镇劳动就业和社会保障服务所 </w:t>
            </w:r>
          </w:p>
        </w:tc>
        <w:tc>
          <w:tcPr>
            <w:tcW w:w="622"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622"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622"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622"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622"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625" w:type="pct"/>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rPr>
              <w:t>公开03表</w:t>
            </w:r>
          </w:p>
        </w:tc>
      </w:tr>
      <w:tr>
        <w:trPr>
          <w:trHeight w:val="342" w:hRule="atLeast"/>
        </w:trPr>
        <w:tc>
          <w:tcPr>
            <w:tcW w:w="1265" w:type="pct"/>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622"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622"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622"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622"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622"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625" w:type="pct"/>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62" w:hRule="atLeast"/>
        </w:trPr>
        <w:tc>
          <w:tcPr>
            <w:tcW w:w="1265"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62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62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62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c>
          <w:tcPr>
            <w:tcW w:w="62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上缴上级支出</w:t>
            </w:r>
          </w:p>
        </w:tc>
        <w:tc>
          <w:tcPr>
            <w:tcW w:w="62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经营支出</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对附属单位补助支出</w:t>
            </w:r>
          </w:p>
        </w:tc>
      </w:tr>
      <w:tr>
        <w:tblPrEx>
          <w:tblCellMar>
            <w:top w:w="0" w:type="dxa"/>
            <w:left w:w="0" w:type="dxa"/>
            <w:bottom w:w="0" w:type="dxa"/>
            <w:right w:w="0" w:type="dxa"/>
          </w:tblCellMar>
        </w:tblPrEx>
        <w:trPr>
          <w:trHeight w:val="338" w:hRule="atLeast"/>
        </w:trPr>
        <w:tc>
          <w:tcPr>
            <w:tcW w:w="469"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796" w:type="pct"/>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469"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796" w:type="pct"/>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469"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796" w:type="pct"/>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469"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796" w:type="pct"/>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62" w:hRule="atLeast"/>
        </w:trPr>
        <w:tc>
          <w:tcPr>
            <w:tcW w:w="1265"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62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bCs/>
                <w:color w:val="000000"/>
                <w:sz w:val="21"/>
                <w:szCs w:val="21"/>
              </w:rPr>
              <w:t>108.44</w:t>
            </w:r>
          </w:p>
        </w:tc>
        <w:tc>
          <w:tcPr>
            <w:tcW w:w="62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bCs/>
                <w:color w:val="000000"/>
                <w:sz w:val="21"/>
                <w:szCs w:val="21"/>
              </w:rPr>
              <w:t>108.44</w:t>
            </w:r>
          </w:p>
        </w:tc>
        <w:tc>
          <w:tcPr>
            <w:tcW w:w="62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p>
        </w:tc>
        <w:tc>
          <w:tcPr>
            <w:tcW w:w="62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p>
        </w:tc>
        <w:tc>
          <w:tcPr>
            <w:tcW w:w="62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p>
        </w:tc>
        <w:tc>
          <w:tcPr>
            <w:tcW w:w="625"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w:t>
            </w:r>
          </w:p>
        </w:tc>
        <w:tc>
          <w:tcPr>
            <w:tcW w:w="79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社会保障和就业支出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b/>
                <w:color w:val="000000"/>
                <w:sz w:val="21"/>
                <w:szCs w:val="21"/>
              </w:rPr>
              <w:t>100.42</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b/>
                <w:color w:val="000000"/>
                <w:sz w:val="21"/>
                <w:szCs w:val="21"/>
              </w:rPr>
              <w:t>100.42</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20801</w:t>
            </w:r>
          </w:p>
        </w:tc>
        <w:tc>
          <w:tcPr>
            <w:tcW w:w="79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人力资源和社会保障管理事务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b/>
                <w:color w:val="000000"/>
                <w:sz w:val="21"/>
                <w:szCs w:val="21"/>
              </w:rPr>
              <w:t>90.30</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b/>
                <w:color w:val="000000"/>
                <w:sz w:val="21"/>
                <w:szCs w:val="21"/>
              </w:rPr>
              <w:t>90.30</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2080150</w:t>
            </w:r>
          </w:p>
        </w:tc>
        <w:tc>
          <w:tcPr>
            <w:tcW w:w="79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事业运行</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color w:val="000000"/>
                <w:sz w:val="21"/>
                <w:szCs w:val="21"/>
              </w:rPr>
              <w:t>90.30</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color w:val="000000"/>
                <w:sz w:val="21"/>
                <w:szCs w:val="21"/>
              </w:rPr>
              <w:t>90.30</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20805</w:t>
            </w:r>
          </w:p>
        </w:tc>
        <w:tc>
          <w:tcPr>
            <w:tcW w:w="79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行政事业单位养老支出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b/>
                <w:color w:val="000000"/>
                <w:sz w:val="21"/>
                <w:szCs w:val="21"/>
              </w:rPr>
              <w:t>10.13</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b/>
                <w:color w:val="000000"/>
                <w:sz w:val="21"/>
                <w:szCs w:val="21"/>
              </w:rPr>
              <w:t>10.13</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2080505</w:t>
            </w:r>
          </w:p>
        </w:tc>
        <w:tc>
          <w:tcPr>
            <w:tcW w:w="79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机关事业单位基本养老保险缴费支出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color w:val="000000"/>
                <w:sz w:val="21"/>
                <w:szCs w:val="21"/>
              </w:rPr>
              <w:t>6.76</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color w:val="000000"/>
                <w:sz w:val="21"/>
                <w:szCs w:val="21"/>
              </w:rPr>
              <w:t>6.76</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2080506</w:t>
            </w:r>
          </w:p>
        </w:tc>
        <w:tc>
          <w:tcPr>
            <w:tcW w:w="79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机关事业单位职业年金缴费支出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color w:val="000000"/>
                <w:sz w:val="21"/>
                <w:szCs w:val="21"/>
              </w:rPr>
              <w:t>3.37</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color w:val="000000"/>
                <w:sz w:val="21"/>
                <w:szCs w:val="21"/>
              </w:rPr>
              <w:t>3.37</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w:t>
            </w:r>
          </w:p>
        </w:tc>
        <w:tc>
          <w:tcPr>
            <w:tcW w:w="79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卫生健康支出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b/>
                <w:color w:val="000000"/>
                <w:sz w:val="21"/>
                <w:szCs w:val="21"/>
              </w:rPr>
              <w:t>3.30</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b/>
                <w:color w:val="000000"/>
                <w:sz w:val="21"/>
                <w:szCs w:val="21"/>
              </w:rPr>
              <w:t>3.30</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21011</w:t>
            </w:r>
          </w:p>
        </w:tc>
        <w:tc>
          <w:tcPr>
            <w:tcW w:w="79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行政事业单位医疗</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b/>
                <w:color w:val="000000"/>
                <w:sz w:val="21"/>
                <w:szCs w:val="21"/>
              </w:rPr>
              <w:t>3.30</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b/>
                <w:color w:val="000000"/>
                <w:sz w:val="21"/>
                <w:szCs w:val="21"/>
              </w:rPr>
              <w:t>3.30</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2101102</w:t>
            </w:r>
          </w:p>
        </w:tc>
        <w:tc>
          <w:tcPr>
            <w:tcW w:w="79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事业单位医疗</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color w:val="000000"/>
                <w:sz w:val="21"/>
                <w:szCs w:val="21"/>
              </w:rPr>
              <w:t>3.30</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color w:val="000000"/>
                <w:sz w:val="21"/>
                <w:szCs w:val="21"/>
              </w:rPr>
              <w:t>3.30</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w:t>
            </w:r>
          </w:p>
        </w:tc>
        <w:tc>
          <w:tcPr>
            <w:tcW w:w="79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农林水支出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b/>
                <w:color w:val="000000"/>
                <w:sz w:val="21"/>
                <w:szCs w:val="21"/>
              </w:rPr>
              <w:t>0.74</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b/>
                <w:color w:val="000000"/>
                <w:sz w:val="21"/>
                <w:szCs w:val="21"/>
              </w:rPr>
              <w:t>0.74</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21305</w:t>
            </w:r>
          </w:p>
        </w:tc>
        <w:tc>
          <w:tcPr>
            <w:tcW w:w="79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hint="eastAsia" w:cs="宋体"/>
                <w:b/>
                <w:color w:val="000000"/>
                <w:sz w:val="21"/>
                <w:szCs w:val="21"/>
                <w:lang w:eastAsia="zh-CN"/>
              </w:rPr>
              <w:t>巩固拓展脱贫攻坚成果</w:t>
            </w:r>
            <w:r>
              <w:rPr>
                <w:rFonts w:cs="宋体"/>
                <w:b/>
                <w:color w:val="000000"/>
                <w:sz w:val="21"/>
                <w:szCs w:val="21"/>
              </w:rPr>
              <w:t>衔接乡村振兴</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b/>
                <w:color w:val="000000"/>
                <w:sz w:val="21"/>
                <w:szCs w:val="21"/>
              </w:rPr>
              <w:t>0.74</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b/>
                <w:color w:val="000000"/>
                <w:sz w:val="21"/>
                <w:szCs w:val="21"/>
              </w:rPr>
              <w:t>0.74</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2130599</w:t>
            </w:r>
          </w:p>
        </w:tc>
        <w:tc>
          <w:tcPr>
            <w:tcW w:w="79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w:t>
            </w:r>
            <w:r>
              <w:rPr>
                <w:rFonts w:hint="eastAsia" w:cs="宋体"/>
                <w:color w:val="000000"/>
                <w:sz w:val="21"/>
                <w:szCs w:val="21"/>
                <w:lang w:eastAsia="zh-CN"/>
              </w:rPr>
              <w:t>巩固拓展脱贫攻坚成果</w:t>
            </w:r>
            <w:r>
              <w:rPr>
                <w:rFonts w:cs="宋体"/>
                <w:color w:val="000000"/>
                <w:sz w:val="21"/>
                <w:szCs w:val="21"/>
              </w:rPr>
              <w:t>衔接乡村振兴支出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color w:val="000000"/>
                <w:sz w:val="21"/>
                <w:szCs w:val="21"/>
              </w:rPr>
              <w:t>0.74</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color w:val="000000"/>
                <w:sz w:val="21"/>
                <w:szCs w:val="21"/>
              </w:rPr>
              <w:t>0.74</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221</w:t>
            </w:r>
          </w:p>
        </w:tc>
        <w:tc>
          <w:tcPr>
            <w:tcW w:w="79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住房保障支出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b/>
                <w:color w:val="000000"/>
                <w:sz w:val="21"/>
                <w:szCs w:val="21"/>
              </w:rPr>
              <w:t>3.98</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b/>
                <w:color w:val="000000"/>
                <w:sz w:val="21"/>
                <w:szCs w:val="21"/>
              </w:rPr>
              <w:t>3.98</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22102</w:t>
            </w:r>
          </w:p>
        </w:tc>
        <w:tc>
          <w:tcPr>
            <w:tcW w:w="79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住房改革支出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b/>
                <w:color w:val="000000"/>
                <w:sz w:val="21"/>
                <w:szCs w:val="21"/>
              </w:rPr>
              <w:t>3.98</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b/>
                <w:color w:val="000000"/>
                <w:sz w:val="21"/>
                <w:szCs w:val="21"/>
              </w:rPr>
              <w:t>3.98</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2210201</w:t>
            </w:r>
          </w:p>
        </w:tc>
        <w:tc>
          <w:tcPr>
            <w:tcW w:w="79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住房公积金</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color w:val="000000"/>
                <w:sz w:val="21"/>
                <w:szCs w:val="21"/>
              </w:rPr>
              <w:t>3.98</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r>
              <w:rPr>
                <w:rFonts w:cs="宋体"/>
                <w:color w:val="000000"/>
                <w:sz w:val="21"/>
                <w:szCs w:val="21"/>
              </w:rPr>
              <w:t>3.98</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18"/>
                <w:szCs w:val="18"/>
              </w:rPr>
            </w:pPr>
          </w:p>
        </w:tc>
      </w:tr>
    </w:tbl>
    <w:p>
      <w:pPr>
        <w:rPr>
          <w:rFonts w:hint="default" w:cs="宋体"/>
          <w:sz w:val="21"/>
          <w:szCs w:val="21"/>
        </w:rPr>
      </w:pPr>
      <w:r>
        <w:rPr>
          <w:rFonts w:cs="宋体"/>
          <w:sz w:val="21"/>
          <w:szCs w:val="21"/>
        </w:rPr>
        <w:t>备注：1.本表反映单位本年度各项支出情况。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5000" w:type="pct"/>
        <w:tblInd w:w="0" w:type="dxa"/>
        <w:tblLayout w:type="autofit"/>
        <w:tblCellMar>
          <w:top w:w="0" w:type="dxa"/>
          <w:left w:w="0" w:type="dxa"/>
          <w:bottom w:w="0" w:type="dxa"/>
          <w:right w:w="0" w:type="dxa"/>
        </w:tblCellMar>
      </w:tblPr>
      <w:tblGrid>
        <w:gridCol w:w="2536"/>
        <w:gridCol w:w="1666"/>
        <w:gridCol w:w="2338"/>
        <w:gridCol w:w="1839"/>
        <w:gridCol w:w="1839"/>
        <w:gridCol w:w="1839"/>
        <w:gridCol w:w="1876"/>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财政拨款收入支出决算总表</w:t>
            </w:r>
          </w:p>
        </w:tc>
      </w:tr>
      <w:tr>
        <w:tblPrEx>
          <w:tblCellMar>
            <w:top w:w="0" w:type="dxa"/>
            <w:left w:w="0" w:type="dxa"/>
            <w:bottom w:w="0" w:type="dxa"/>
            <w:right w:w="0" w:type="dxa"/>
          </w:tblCellMar>
        </w:tblPrEx>
        <w:trPr>
          <w:trHeight w:val="90" w:hRule="atLeast"/>
        </w:trPr>
        <w:tc>
          <w:tcPr>
            <w:tcW w:w="1508" w:type="pct"/>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垫江县永平镇劳动就业和社会保障服务所</w:t>
            </w:r>
          </w:p>
        </w:tc>
        <w:tc>
          <w:tcPr>
            <w:tcW w:w="839"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660"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660"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660"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673" w:type="pct"/>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rPr>
              <w:t>公开04表</w:t>
            </w:r>
          </w:p>
        </w:tc>
      </w:tr>
      <w:tr>
        <w:tblPrEx>
          <w:tblCellMar>
            <w:top w:w="0" w:type="dxa"/>
            <w:left w:w="0" w:type="dxa"/>
            <w:bottom w:w="0" w:type="dxa"/>
            <w:right w:w="0" w:type="dxa"/>
          </w:tblCellMar>
        </w:tblPrEx>
        <w:trPr>
          <w:trHeight w:val="90" w:hRule="atLeast"/>
        </w:trPr>
        <w:tc>
          <w:tcPr>
            <w:tcW w:w="1508" w:type="pct"/>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839"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660"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660"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660"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673" w:type="pct"/>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90" w:hRule="atLeast"/>
        </w:trPr>
        <w:tc>
          <w:tcPr>
            <w:tcW w:w="1508"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收     入</w:t>
            </w:r>
          </w:p>
        </w:tc>
        <w:tc>
          <w:tcPr>
            <w:tcW w:w="3492" w:type="pct"/>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支     出</w:t>
            </w:r>
          </w:p>
        </w:tc>
      </w:tr>
      <w:tr>
        <w:tblPrEx>
          <w:tblCellMar>
            <w:top w:w="0" w:type="dxa"/>
            <w:left w:w="0" w:type="dxa"/>
            <w:bottom w:w="0" w:type="dxa"/>
            <w:right w:w="0" w:type="dxa"/>
          </w:tblCellMar>
        </w:tblPrEx>
        <w:trPr>
          <w:trHeight w:val="90" w:hRule="atLeast"/>
        </w:trPr>
        <w:tc>
          <w:tcPr>
            <w:tcW w:w="910"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59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c>
          <w:tcPr>
            <w:tcW w:w="83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2653" w:type="pct"/>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r>
      <w:tr>
        <w:tblPrEx>
          <w:tblCellMar>
            <w:top w:w="0" w:type="dxa"/>
            <w:left w:w="0" w:type="dxa"/>
            <w:bottom w:w="0" w:type="dxa"/>
            <w:right w:w="0" w:type="dxa"/>
          </w:tblCellMar>
        </w:tblPrEx>
        <w:trPr>
          <w:trHeight w:val="90" w:hRule="atLeast"/>
        </w:trPr>
        <w:tc>
          <w:tcPr>
            <w:tcW w:w="91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83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小计</w:t>
            </w:r>
          </w:p>
        </w:tc>
        <w:tc>
          <w:tcPr>
            <w:tcW w:w="660"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一般公共预算财政拨款</w:t>
            </w:r>
          </w:p>
        </w:tc>
        <w:tc>
          <w:tcPr>
            <w:tcW w:w="660"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政府性基金预算财政拨款</w:t>
            </w:r>
          </w:p>
        </w:tc>
        <w:tc>
          <w:tcPr>
            <w:tcW w:w="67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国有资本经营预算财政拨款</w:t>
            </w: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一、一般公共预算财政拨款</w:t>
            </w: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108.44</w:t>
            </w:r>
          </w:p>
        </w:tc>
        <w:tc>
          <w:tcPr>
            <w:tcW w:w="8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一、一般公共服务支出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二、政府性基金预算财政拨款</w:t>
            </w: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二、外交支出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三、国有资本经营预算财政拨款</w:t>
            </w: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三、国防支出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default" w:ascii="Arial" w:hAnsi="Arial" w:cs="Arial"/>
                <w:color w:val="000000"/>
                <w:sz w:val="20"/>
                <w:szCs w:val="20"/>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四、公共安全支出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default" w:ascii="Arial" w:hAnsi="Arial" w:cs="Arial"/>
                <w:color w:val="000000"/>
                <w:sz w:val="20"/>
                <w:szCs w:val="20"/>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五、教育支出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default" w:ascii="Arial" w:hAnsi="Arial" w:cs="Arial"/>
                <w:color w:val="000000"/>
                <w:sz w:val="20"/>
                <w:szCs w:val="20"/>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六、科学技术支出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default" w:ascii="Arial" w:hAnsi="Arial" w:cs="Arial"/>
                <w:color w:val="000000"/>
                <w:sz w:val="20"/>
                <w:szCs w:val="20"/>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七、文化旅游体育与传媒支出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default" w:ascii="Arial" w:hAnsi="Arial" w:cs="Arial"/>
                <w:color w:val="000000"/>
                <w:sz w:val="20"/>
                <w:szCs w:val="20"/>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八、社会保障和就业支出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100.42</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100.42</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default" w:ascii="Arial" w:hAnsi="Arial" w:cs="Arial"/>
                <w:color w:val="000000"/>
                <w:sz w:val="20"/>
                <w:szCs w:val="20"/>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九、卫生健康支出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3.30</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3.30</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十、节能环保支出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十一、城乡社区支出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十二、农林水支出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0.74</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0.74</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十三、交通运输支出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十四、资源勘探工业信息等支出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十五、商业服务业等支出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十六、金融支出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十七、援助其他地区支出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十八、自然资源海洋气象等支出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十九、住房保障支出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3.98</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3.98</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二十、粮油物资储备支出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二十一、国有资本经营预算支出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二十二、灾害防治及应急管理支出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二十三、其他支出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rPr>
                <w:rFonts w:hint="default" w:ascii="Arial" w:hAnsi="Arial" w:cs="Arial"/>
                <w:color w:val="000000"/>
                <w:sz w:val="20"/>
                <w:szCs w:val="20"/>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cs="Arial"/>
                <w:color w:val="000000"/>
                <w:sz w:val="20"/>
                <w:szCs w:val="20"/>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二十四、债务还本支出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rPr>
                <w:rFonts w:hint="default" w:ascii="Arial" w:hAnsi="Arial" w:cs="Arial"/>
                <w:color w:val="000000"/>
                <w:sz w:val="20"/>
                <w:szCs w:val="20"/>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cs="Arial"/>
                <w:color w:val="000000"/>
                <w:sz w:val="20"/>
                <w:szCs w:val="20"/>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二十五、债务付息支出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rPr>
                <w:rFonts w:hint="default" w:ascii="Arial" w:hAnsi="Arial" w:cs="Arial"/>
                <w:color w:val="000000"/>
                <w:sz w:val="20"/>
                <w:szCs w:val="20"/>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cs="Arial"/>
                <w:color w:val="000000"/>
                <w:sz w:val="20"/>
                <w:szCs w:val="20"/>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二十六、抗疫特别国债安排的支出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108.44</w:t>
            </w:r>
          </w:p>
        </w:tc>
        <w:tc>
          <w:tcPr>
            <w:tcW w:w="8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108.44</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108.44</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年初财政拨款结转和结余</w:t>
            </w: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年末财政拨款结转和结余</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一般公共预算财政拨款</w:t>
            </w: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rPr>
                <w:rFonts w:hint="default" w:ascii="Arial" w:hAnsi="Arial" w:cs="Arial"/>
                <w:color w:val="000000"/>
                <w:sz w:val="20"/>
                <w:szCs w:val="20"/>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default" w:ascii="Arial" w:hAnsi="Arial" w:cs="Arial"/>
                <w:color w:val="000000"/>
                <w:sz w:val="20"/>
                <w:szCs w:val="20"/>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default" w:ascii="Arial" w:hAnsi="Arial" w:cs="Arial"/>
                <w:color w:val="000000"/>
                <w:sz w:val="20"/>
                <w:szCs w:val="20"/>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default" w:ascii="Arial" w:hAnsi="Arial" w:cs="Arial"/>
                <w:color w:val="000000"/>
                <w:sz w:val="20"/>
                <w:szCs w:val="20"/>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default" w:ascii="Arial" w:hAnsi="Arial" w:cs="Arial"/>
                <w:color w:val="000000"/>
                <w:sz w:val="20"/>
                <w:szCs w:val="20"/>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政府性基金预算财政拨款</w:t>
            </w: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0"/>
                <w:szCs w:val="20"/>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0"/>
                <w:szCs w:val="20"/>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0"/>
                <w:szCs w:val="20"/>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r>
      <w:tr>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国有资本经营预算财政拨款</w:t>
            </w: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0"/>
                <w:szCs w:val="20"/>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0"/>
                <w:szCs w:val="20"/>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0"/>
                <w:szCs w:val="20"/>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108.44</w:t>
            </w:r>
          </w:p>
        </w:tc>
        <w:tc>
          <w:tcPr>
            <w:tcW w:w="8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0"/>
                <w:szCs w:val="20"/>
              </w:rPr>
            </w:pPr>
            <w:r>
              <w:rPr>
                <w:rFonts w:cs="宋体"/>
                <w:color w:val="000000"/>
                <w:sz w:val="21"/>
                <w:szCs w:val="21"/>
              </w:rPr>
              <w:t>108.44</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0"/>
                <w:szCs w:val="20"/>
              </w:rPr>
            </w:pPr>
            <w:r>
              <w:rPr>
                <w:rFonts w:cs="宋体"/>
                <w:color w:val="000000"/>
                <w:sz w:val="21"/>
                <w:szCs w:val="21"/>
              </w:rPr>
              <w:t>108.44</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0"/>
                <w:szCs w:val="20"/>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bl>
    <w:p>
      <w:pPr>
        <w:rPr>
          <w:rFonts w:hint="default" w:cs="宋体"/>
          <w:sz w:val="21"/>
          <w:szCs w:val="21"/>
        </w:rPr>
      </w:pPr>
      <w:r>
        <w:rPr>
          <w:rFonts w:cs="宋体"/>
          <w:sz w:val="21"/>
          <w:szCs w:val="21"/>
        </w:rPr>
        <w:t>备注：1.本表反映单位本年度一般公共预算财政拨款、政府性基金预算财政拨款及国有资本经营预算财政拨款的总收支和年末结转结余情况。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682"/>
        <w:gridCol w:w="3219"/>
        <w:gridCol w:w="3010"/>
        <w:gridCol w:w="3010"/>
        <w:gridCol w:w="3012"/>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一般公共预算财政拨款支出决算表</w:t>
            </w:r>
          </w:p>
        </w:tc>
      </w:tr>
      <w:tr>
        <w:tblPrEx>
          <w:tblCellMar>
            <w:top w:w="0" w:type="dxa"/>
            <w:left w:w="0" w:type="dxa"/>
            <w:bottom w:w="0" w:type="dxa"/>
            <w:right w:w="0" w:type="dxa"/>
          </w:tblCellMar>
        </w:tblPrEx>
        <w:trPr>
          <w:trHeight w:val="255" w:hRule="atLeast"/>
        </w:trPr>
        <w:tc>
          <w:tcPr>
            <w:tcW w:w="1759" w:type="pct"/>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垫江县永平镇劳动就业和社会保障服务所</w:t>
            </w:r>
          </w:p>
        </w:tc>
        <w:tc>
          <w:tcPr>
            <w:tcW w:w="1080"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080"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081" w:type="pct"/>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rPr>
              <w:t>公开05表</w:t>
            </w:r>
          </w:p>
        </w:tc>
      </w:tr>
      <w:tr>
        <w:tblPrEx>
          <w:tblCellMar>
            <w:top w:w="0" w:type="dxa"/>
            <w:left w:w="0" w:type="dxa"/>
            <w:bottom w:w="0" w:type="dxa"/>
            <w:right w:w="0" w:type="dxa"/>
          </w:tblCellMar>
        </w:tblPrEx>
        <w:trPr>
          <w:trHeight w:val="285" w:hRule="atLeast"/>
        </w:trPr>
        <w:tc>
          <w:tcPr>
            <w:tcW w:w="1759" w:type="pct"/>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1080"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1080"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1081" w:type="pct"/>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08" w:hRule="atLeast"/>
        </w:trPr>
        <w:tc>
          <w:tcPr>
            <w:tcW w:w="1759"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3241"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w:t>
            </w:r>
          </w:p>
        </w:tc>
      </w:tr>
      <w:tr>
        <w:tblPrEx>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11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108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108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1081"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r>
      <w:tr>
        <w:tblPrEx>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1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08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08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081"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1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08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08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081"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1759"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108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bCs/>
                <w:color w:val="000000"/>
                <w:sz w:val="21"/>
                <w:szCs w:val="21"/>
              </w:rPr>
              <w:t>108.44</w:t>
            </w:r>
          </w:p>
        </w:tc>
        <w:tc>
          <w:tcPr>
            <w:tcW w:w="108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bCs/>
                <w:color w:val="000000"/>
                <w:sz w:val="21"/>
                <w:szCs w:val="21"/>
              </w:rPr>
              <w:t>108.44</w:t>
            </w:r>
          </w:p>
        </w:tc>
        <w:tc>
          <w:tcPr>
            <w:tcW w:w="1081"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w:t>
            </w:r>
          </w:p>
        </w:tc>
        <w:tc>
          <w:tcPr>
            <w:tcW w:w="1155"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社会保障和就业支出</w:t>
            </w:r>
          </w:p>
        </w:tc>
        <w:tc>
          <w:tcPr>
            <w:tcW w:w="108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1"/>
                <w:szCs w:val="21"/>
              </w:rPr>
              <w:t>100.42</w:t>
            </w:r>
          </w:p>
        </w:tc>
        <w:tc>
          <w:tcPr>
            <w:tcW w:w="108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1"/>
                <w:szCs w:val="21"/>
              </w:rPr>
              <w:t>100.42</w:t>
            </w:r>
          </w:p>
        </w:tc>
        <w:tc>
          <w:tcPr>
            <w:tcW w:w="1081"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20801</w:t>
            </w:r>
          </w:p>
        </w:tc>
        <w:tc>
          <w:tcPr>
            <w:tcW w:w="1155"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人力资源和社会保障管理事务</w:t>
            </w:r>
          </w:p>
        </w:tc>
        <w:tc>
          <w:tcPr>
            <w:tcW w:w="108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1"/>
                <w:szCs w:val="21"/>
              </w:rPr>
              <w:t>90.30</w:t>
            </w:r>
          </w:p>
        </w:tc>
        <w:tc>
          <w:tcPr>
            <w:tcW w:w="108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1"/>
                <w:szCs w:val="21"/>
              </w:rPr>
              <w:t>90.30</w:t>
            </w:r>
          </w:p>
        </w:tc>
        <w:tc>
          <w:tcPr>
            <w:tcW w:w="1081"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2080150</w:t>
            </w:r>
          </w:p>
        </w:tc>
        <w:tc>
          <w:tcPr>
            <w:tcW w:w="1155"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事业运行</w:t>
            </w:r>
          </w:p>
        </w:tc>
        <w:tc>
          <w:tcPr>
            <w:tcW w:w="108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color w:val="000000"/>
                <w:sz w:val="21"/>
                <w:szCs w:val="21"/>
              </w:rPr>
              <w:t>90.30</w:t>
            </w:r>
          </w:p>
        </w:tc>
        <w:tc>
          <w:tcPr>
            <w:tcW w:w="108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color w:val="000000"/>
                <w:sz w:val="21"/>
                <w:szCs w:val="21"/>
              </w:rPr>
              <w:t>90.30</w:t>
            </w:r>
          </w:p>
        </w:tc>
        <w:tc>
          <w:tcPr>
            <w:tcW w:w="1081"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20805</w:t>
            </w:r>
          </w:p>
        </w:tc>
        <w:tc>
          <w:tcPr>
            <w:tcW w:w="1155"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行政事业单位养老支出</w:t>
            </w:r>
          </w:p>
        </w:tc>
        <w:tc>
          <w:tcPr>
            <w:tcW w:w="108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1"/>
                <w:szCs w:val="21"/>
              </w:rPr>
              <w:t>10.13</w:t>
            </w:r>
          </w:p>
        </w:tc>
        <w:tc>
          <w:tcPr>
            <w:tcW w:w="108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1"/>
                <w:szCs w:val="21"/>
              </w:rPr>
              <w:t>10.13</w:t>
            </w:r>
          </w:p>
        </w:tc>
        <w:tc>
          <w:tcPr>
            <w:tcW w:w="1081"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2080505</w:t>
            </w:r>
          </w:p>
        </w:tc>
        <w:tc>
          <w:tcPr>
            <w:tcW w:w="1155"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机关事业单位基本养老保险缴费支出</w:t>
            </w:r>
          </w:p>
        </w:tc>
        <w:tc>
          <w:tcPr>
            <w:tcW w:w="108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color w:val="000000"/>
                <w:sz w:val="21"/>
                <w:szCs w:val="21"/>
              </w:rPr>
              <w:t>6.76</w:t>
            </w:r>
          </w:p>
        </w:tc>
        <w:tc>
          <w:tcPr>
            <w:tcW w:w="108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color w:val="000000"/>
                <w:sz w:val="21"/>
                <w:szCs w:val="21"/>
              </w:rPr>
              <w:t>6.76</w:t>
            </w:r>
          </w:p>
        </w:tc>
        <w:tc>
          <w:tcPr>
            <w:tcW w:w="1081"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2080506</w:t>
            </w:r>
          </w:p>
        </w:tc>
        <w:tc>
          <w:tcPr>
            <w:tcW w:w="1155"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机关事业单位职业年金缴费支出</w:t>
            </w:r>
          </w:p>
        </w:tc>
        <w:tc>
          <w:tcPr>
            <w:tcW w:w="108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color w:val="000000"/>
                <w:sz w:val="21"/>
                <w:szCs w:val="21"/>
              </w:rPr>
              <w:t>3.37</w:t>
            </w:r>
          </w:p>
        </w:tc>
        <w:tc>
          <w:tcPr>
            <w:tcW w:w="108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color w:val="000000"/>
                <w:sz w:val="21"/>
                <w:szCs w:val="21"/>
              </w:rPr>
              <w:t>3.37</w:t>
            </w:r>
          </w:p>
        </w:tc>
        <w:tc>
          <w:tcPr>
            <w:tcW w:w="1081"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w:t>
            </w:r>
          </w:p>
        </w:tc>
        <w:tc>
          <w:tcPr>
            <w:tcW w:w="1155"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卫生健康支出</w:t>
            </w:r>
          </w:p>
        </w:tc>
        <w:tc>
          <w:tcPr>
            <w:tcW w:w="108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1"/>
                <w:szCs w:val="21"/>
              </w:rPr>
              <w:t>3.30</w:t>
            </w:r>
          </w:p>
        </w:tc>
        <w:tc>
          <w:tcPr>
            <w:tcW w:w="108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1"/>
                <w:szCs w:val="21"/>
              </w:rPr>
              <w:t>3.30</w:t>
            </w:r>
          </w:p>
        </w:tc>
        <w:tc>
          <w:tcPr>
            <w:tcW w:w="1081"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21011</w:t>
            </w:r>
          </w:p>
        </w:tc>
        <w:tc>
          <w:tcPr>
            <w:tcW w:w="1155"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行政事业单位医疗</w:t>
            </w:r>
          </w:p>
        </w:tc>
        <w:tc>
          <w:tcPr>
            <w:tcW w:w="108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1"/>
                <w:szCs w:val="21"/>
              </w:rPr>
              <w:t>3.30</w:t>
            </w:r>
          </w:p>
        </w:tc>
        <w:tc>
          <w:tcPr>
            <w:tcW w:w="108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1"/>
                <w:szCs w:val="21"/>
              </w:rPr>
              <w:t>3.30</w:t>
            </w:r>
          </w:p>
        </w:tc>
        <w:tc>
          <w:tcPr>
            <w:tcW w:w="1081"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2101102</w:t>
            </w:r>
          </w:p>
        </w:tc>
        <w:tc>
          <w:tcPr>
            <w:tcW w:w="1155"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事业单位医疗</w:t>
            </w:r>
          </w:p>
        </w:tc>
        <w:tc>
          <w:tcPr>
            <w:tcW w:w="108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color w:val="000000"/>
                <w:sz w:val="21"/>
                <w:szCs w:val="21"/>
              </w:rPr>
              <w:t>3.30</w:t>
            </w:r>
          </w:p>
        </w:tc>
        <w:tc>
          <w:tcPr>
            <w:tcW w:w="108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color w:val="000000"/>
                <w:sz w:val="21"/>
                <w:szCs w:val="21"/>
              </w:rPr>
              <w:t>3.30</w:t>
            </w:r>
          </w:p>
        </w:tc>
        <w:tc>
          <w:tcPr>
            <w:tcW w:w="1081"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w:t>
            </w:r>
          </w:p>
        </w:tc>
        <w:tc>
          <w:tcPr>
            <w:tcW w:w="1155"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农林水支出</w:t>
            </w:r>
          </w:p>
        </w:tc>
        <w:tc>
          <w:tcPr>
            <w:tcW w:w="108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1"/>
                <w:szCs w:val="21"/>
              </w:rPr>
              <w:t>0.74</w:t>
            </w:r>
          </w:p>
        </w:tc>
        <w:tc>
          <w:tcPr>
            <w:tcW w:w="108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1"/>
                <w:szCs w:val="21"/>
              </w:rPr>
              <w:t>0.74</w:t>
            </w:r>
          </w:p>
        </w:tc>
        <w:tc>
          <w:tcPr>
            <w:tcW w:w="1081"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21305</w:t>
            </w:r>
          </w:p>
        </w:tc>
        <w:tc>
          <w:tcPr>
            <w:tcW w:w="1155"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hint="eastAsia" w:cs="宋体"/>
                <w:b/>
                <w:color w:val="000000"/>
                <w:sz w:val="21"/>
                <w:szCs w:val="21"/>
                <w:lang w:eastAsia="zh-CN"/>
              </w:rPr>
              <w:t>巩固拓展脱贫攻坚成果</w:t>
            </w:r>
            <w:r>
              <w:rPr>
                <w:rFonts w:cs="宋体"/>
                <w:b/>
                <w:color w:val="000000"/>
                <w:sz w:val="21"/>
                <w:szCs w:val="21"/>
              </w:rPr>
              <w:t>衔接乡村振兴</w:t>
            </w:r>
          </w:p>
        </w:tc>
        <w:tc>
          <w:tcPr>
            <w:tcW w:w="108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1"/>
                <w:szCs w:val="21"/>
              </w:rPr>
              <w:t>0.74</w:t>
            </w:r>
          </w:p>
        </w:tc>
        <w:tc>
          <w:tcPr>
            <w:tcW w:w="108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1"/>
                <w:szCs w:val="21"/>
              </w:rPr>
              <w:t>0.74</w:t>
            </w:r>
          </w:p>
        </w:tc>
        <w:tc>
          <w:tcPr>
            <w:tcW w:w="1081"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2130599</w:t>
            </w:r>
          </w:p>
        </w:tc>
        <w:tc>
          <w:tcPr>
            <w:tcW w:w="1155"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w:t>
            </w:r>
            <w:r>
              <w:rPr>
                <w:rFonts w:hint="eastAsia" w:cs="宋体"/>
                <w:color w:val="000000"/>
                <w:sz w:val="21"/>
                <w:szCs w:val="21"/>
                <w:lang w:eastAsia="zh-CN"/>
              </w:rPr>
              <w:t>巩固拓展脱贫攻坚成果</w:t>
            </w:r>
            <w:r>
              <w:rPr>
                <w:rFonts w:cs="宋体"/>
                <w:color w:val="000000"/>
                <w:sz w:val="21"/>
                <w:szCs w:val="21"/>
              </w:rPr>
              <w:t>衔接乡村振兴支出</w:t>
            </w:r>
          </w:p>
        </w:tc>
        <w:tc>
          <w:tcPr>
            <w:tcW w:w="108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color w:val="000000"/>
                <w:sz w:val="21"/>
                <w:szCs w:val="21"/>
              </w:rPr>
              <w:t>0.74</w:t>
            </w:r>
          </w:p>
        </w:tc>
        <w:tc>
          <w:tcPr>
            <w:tcW w:w="108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color w:val="000000"/>
                <w:sz w:val="21"/>
                <w:szCs w:val="21"/>
              </w:rPr>
              <w:t>0.74</w:t>
            </w:r>
          </w:p>
        </w:tc>
        <w:tc>
          <w:tcPr>
            <w:tcW w:w="1081"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221</w:t>
            </w:r>
          </w:p>
        </w:tc>
        <w:tc>
          <w:tcPr>
            <w:tcW w:w="1155"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住房保障支出</w:t>
            </w:r>
          </w:p>
        </w:tc>
        <w:tc>
          <w:tcPr>
            <w:tcW w:w="108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1"/>
                <w:szCs w:val="21"/>
              </w:rPr>
              <w:t>3.98</w:t>
            </w:r>
          </w:p>
        </w:tc>
        <w:tc>
          <w:tcPr>
            <w:tcW w:w="108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1"/>
                <w:szCs w:val="21"/>
              </w:rPr>
              <w:t>3.98</w:t>
            </w:r>
          </w:p>
        </w:tc>
        <w:tc>
          <w:tcPr>
            <w:tcW w:w="1081"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22102</w:t>
            </w:r>
          </w:p>
        </w:tc>
        <w:tc>
          <w:tcPr>
            <w:tcW w:w="1155"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住房改革支出</w:t>
            </w:r>
          </w:p>
        </w:tc>
        <w:tc>
          <w:tcPr>
            <w:tcW w:w="108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1"/>
                <w:szCs w:val="21"/>
              </w:rPr>
              <w:t>3.98</w:t>
            </w:r>
          </w:p>
        </w:tc>
        <w:tc>
          <w:tcPr>
            <w:tcW w:w="108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1"/>
                <w:szCs w:val="21"/>
              </w:rPr>
              <w:t>3.98</w:t>
            </w:r>
          </w:p>
        </w:tc>
        <w:tc>
          <w:tcPr>
            <w:tcW w:w="1081"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2210201</w:t>
            </w:r>
          </w:p>
        </w:tc>
        <w:tc>
          <w:tcPr>
            <w:tcW w:w="1155"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住房公积金</w:t>
            </w:r>
          </w:p>
        </w:tc>
        <w:tc>
          <w:tcPr>
            <w:tcW w:w="108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3.98</w:t>
            </w:r>
          </w:p>
        </w:tc>
        <w:tc>
          <w:tcPr>
            <w:tcW w:w="108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3.98</w:t>
            </w:r>
          </w:p>
        </w:tc>
        <w:tc>
          <w:tcPr>
            <w:tcW w:w="1081"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p>
        </w:tc>
      </w:tr>
    </w:tbl>
    <w:p>
      <w:pPr>
        <w:rPr>
          <w:rFonts w:hint="default" w:cs="宋体"/>
          <w:sz w:val="21"/>
          <w:szCs w:val="21"/>
        </w:rPr>
      </w:pPr>
      <w:r>
        <w:rPr>
          <w:rFonts w:cs="宋体"/>
          <w:sz w:val="21"/>
          <w:szCs w:val="21"/>
        </w:rPr>
        <w:t>备注：1.本表反映单位本年度一般公共预算财政拨款支出情况。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ind w:firstLine="630" w:firstLineChars="300"/>
        <w:rPr>
          <w:rFonts w:hint="default" w:cs="宋体"/>
          <w:sz w:val="21"/>
          <w:szCs w:val="21"/>
        </w:rPr>
      </w:pP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805"/>
        <w:gridCol w:w="2187"/>
        <w:gridCol w:w="1769"/>
        <w:gridCol w:w="702"/>
        <w:gridCol w:w="1457"/>
        <w:gridCol w:w="1717"/>
        <w:gridCol w:w="945"/>
        <w:gridCol w:w="2792"/>
        <w:gridCol w:w="1559"/>
      </w:tblGrid>
      <w:tr>
        <w:tblPrEx>
          <w:tblCellMar>
            <w:top w:w="0" w:type="dxa"/>
            <w:left w:w="0" w:type="dxa"/>
            <w:bottom w:w="0" w:type="dxa"/>
            <w:right w:w="0" w:type="dxa"/>
          </w:tblCellMar>
        </w:tblPrEx>
        <w:trPr>
          <w:trHeight w:val="590" w:hRule="atLeast"/>
        </w:trPr>
        <w:tc>
          <w:tcPr>
            <w:tcW w:w="5000" w:type="pct"/>
            <w:gridSpan w:val="9"/>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一般公共预算财政拨款基本支出决算表</w:t>
            </w:r>
          </w:p>
        </w:tc>
      </w:tr>
      <w:tr>
        <w:tblPrEx>
          <w:tblCellMar>
            <w:top w:w="0" w:type="dxa"/>
            <w:left w:w="0" w:type="dxa"/>
            <w:bottom w:w="0" w:type="dxa"/>
            <w:right w:w="0" w:type="dxa"/>
          </w:tblCellMar>
        </w:tblPrEx>
        <w:trPr>
          <w:trHeight w:val="302" w:hRule="atLeast"/>
        </w:trPr>
        <w:tc>
          <w:tcPr>
            <w:tcW w:w="1074" w:type="pct"/>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垫江县永平镇劳动就业和社会保障服务所</w:t>
            </w:r>
          </w:p>
        </w:tc>
        <w:tc>
          <w:tcPr>
            <w:tcW w:w="635"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52"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523"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616"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39"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002"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559" w:type="pct"/>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rPr>
              <w:t>公开06表</w:t>
            </w:r>
          </w:p>
        </w:tc>
      </w:tr>
      <w:tr>
        <w:tblPrEx>
          <w:tblCellMar>
            <w:top w:w="0" w:type="dxa"/>
            <w:left w:w="0" w:type="dxa"/>
            <w:bottom w:w="0" w:type="dxa"/>
            <w:right w:w="0" w:type="dxa"/>
          </w:tblCellMar>
        </w:tblPrEx>
        <w:trPr>
          <w:trHeight w:val="302" w:hRule="atLeast"/>
        </w:trPr>
        <w:tc>
          <w:tcPr>
            <w:tcW w:w="1074" w:type="pct"/>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635"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52"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523"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616"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339"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1002"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559" w:type="pct"/>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11" w:hRule="atLeast"/>
        </w:trPr>
        <w:tc>
          <w:tcPr>
            <w:tcW w:w="1709" w:type="pct"/>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人员经费</w:t>
            </w:r>
          </w:p>
        </w:tc>
        <w:tc>
          <w:tcPr>
            <w:tcW w:w="3291" w:type="pct"/>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公用经费</w:t>
            </w:r>
          </w:p>
        </w:tc>
      </w:tr>
      <w:tr>
        <w:tblPrEx>
          <w:tblCellMar>
            <w:top w:w="0" w:type="dxa"/>
            <w:left w:w="0" w:type="dxa"/>
            <w:bottom w:w="0" w:type="dxa"/>
            <w:right w:w="0" w:type="dxa"/>
          </w:tblCellMar>
        </w:tblPrEx>
        <w:trPr>
          <w:trHeight w:val="326" w:hRule="atLeast"/>
        </w:trPr>
        <w:tc>
          <w:tcPr>
            <w:tcW w:w="289"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78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63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c>
          <w:tcPr>
            <w:tcW w:w="25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52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61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c>
          <w:tcPr>
            <w:tcW w:w="339"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100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55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r>
      <w:tr>
        <w:tblPrEx>
          <w:tblCellMar>
            <w:top w:w="0" w:type="dxa"/>
            <w:left w:w="0" w:type="dxa"/>
            <w:bottom w:w="0" w:type="dxa"/>
            <w:right w:w="0" w:type="dxa"/>
          </w:tblCellMar>
        </w:tblPrEx>
        <w:trPr>
          <w:trHeight w:val="799" w:hRule="atLeast"/>
        </w:trPr>
        <w:tc>
          <w:tcPr>
            <w:tcW w:w="289"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78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3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2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1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39"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00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5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工资福利支出</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97.42</w:t>
            </w:r>
          </w:p>
        </w:tc>
        <w:tc>
          <w:tcPr>
            <w:tcW w:w="25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商品和服务支出</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11.01</w:t>
            </w:r>
          </w:p>
        </w:tc>
        <w:tc>
          <w:tcPr>
            <w:tcW w:w="3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资本性支出</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30101</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基本工资</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20.46</w:t>
            </w:r>
          </w:p>
        </w:tc>
        <w:tc>
          <w:tcPr>
            <w:tcW w:w="25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30201</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办公费</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3.51</w:t>
            </w:r>
          </w:p>
        </w:tc>
        <w:tc>
          <w:tcPr>
            <w:tcW w:w="3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31001</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房屋建筑物购建</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30102</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津贴补贴</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2.99</w:t>
            </w:r>
          </w:p>
        </w:tc>
        <w:tc>
          <w:tcPr>
            <w:tcW w:w="25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30202</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印刷费</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31002</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办公设备购置</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30103</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奖金</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25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30203</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咨询费</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31003</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专用设备购置</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30106</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伙食补助费</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25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30204</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手续费</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31005</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基础设施建设</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30107</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绩效工资</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51.66</w:t>
            </w:r>
          </w:p>
        </w:tc>
        <w:tc>
          <w:tcPr>
            <w:tcW w:w="25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30205</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水费</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31006</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大型修缮</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33"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30108</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机关事业单位基本养老保险缴费</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6.76</w:t>
            </w:r>
          </w:p>
        </w:tc>
        <w:tc>
          <w:tcPr>
            <w:tcW w:w="25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30206</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电费</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0.70</w:t>
            </w:r>
          </w:p>
        </w:tc>
        <w:tc>
          <w:tcPr>
            <w:tcW w:w="3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31007</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信息网络及软件购置更新</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30109</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职业年金缴费</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3.37</w:t>
            </w:r>
          </w:p>
        </w:tc>
        <w:tc>
          <w:tcPr>
            <w:tcW w:w="25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30207</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邮电费</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31008</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物资储备</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64"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30110</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职工基本医疗保险缴费</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3.32</w:t>
            </w:r>
          </w:p>
        </w:tc>
        <w:tc>
          <w:tcPr>
            <w:tcW w:w="25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30208</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取暖费</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31009</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土地补偿</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30111</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公务员医疗补助缴费</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25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30209</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物业管理费</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31010</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安置补助</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33"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30112</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其他社会保障缴费</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0.74</w:t>
            </w:r>
          </w:p>
        </w:tc>
        <w:tc>
          <w:tcPr>
            <w:tcW w:w="25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30211</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差旅费</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6.08</w:t>
            </w:r>
          </w:p>
        </w:tc>
        <w:tc>
          <w:tcPr>
            <w:tcW w:w="3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31011</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地上附着物和青苗补偿</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30113</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住房公积金</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6.75</w:t>
            </w:r>
          </w:p>
        </w:tc>
        <w:tc>
          <w:tcPr>
            <w:tcW w:w="25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30212</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因公出国（境）费用</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31012</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拆迁补偿</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30114</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医疗费</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0.85</w:t>
            </w:r>
          </w:p>
        </w:tc>
        <w:tc>
          <w:tcPr>
            <w:tcW w:w="25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30213</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维修（护）费</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31013</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公务用车购置</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30199</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其他工资福利支出</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0.52</w:t>
            </w:r>
          </w:p>
        </w:tc>
        <w:tc>
          <w:tcPr>
            <w:tcW w:w="25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30214</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租赁费</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31019</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其他交通工具购置</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303</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对个人和家庭的补助</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25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30215</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会议费</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31021</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文物和陈列品购置</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30301</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离休费</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25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30216</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培训费</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31022</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无形资产购置</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30302</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退休费</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25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30217</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公务接待费</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31099</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其他资本性支出</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30303</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退职（役）费</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25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30218</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专用材料费</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312</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对企业补助</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30304</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抚恤金</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25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30224</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被装购置费</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31201</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资本金注入</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30305</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生活补助</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25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30225</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专用燃料费</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31203</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政府投资基金股权投资</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30306</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救济费</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25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30226</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劳务费</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31204</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费用补贴</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30307</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医疗费补助</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25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30227</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委托业务费</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31205</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利息补贴</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30308</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助学金</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25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30228</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工会经费</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0.72</w:t>
            </w:r>
          </w:p>
        </w:tc>
        <w:tc>
          <w:tcPr>
            <w:tcW w:w="3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31299</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其他对企业补助</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30309</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奖励金</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25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30229</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福利费</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399</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其他支出</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30310</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个人农业生产补贴</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25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30231</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公务用车运行维护费</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39907</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国家赔偿费用支出</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30311</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代缴社会保险费</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25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30239</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其他交通费用</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39908</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对民间非营利组织和群众性自治组织补贴</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30399</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其他对个人和家庭的补助</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25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30240</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税金及附加费用</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39909</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经常性赠与</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785"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default" w:ascii="Arial" w:hAnsi="Arial" w:cs="Arial"/>
                <w:color w:val="000000"/>
                <w:sz w:val="20"/>
                <w:szCs w:val="20"/>
              </w:rPr>
            </w:pPr>
          </w:p>
        </w:tc>
        <w:tc>
          <w:tcPr>
            <w:tcW w:w="25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30299</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其他商品和服务支出</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39910</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资本性赠与</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785"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default" w:ascii="Arial" w:hAnsi="Arial" w:cs="Arial"/>
                <w:color w:val="000000"/>
                <w:sz w:val="20"/>
                <w:szCs w:val="20"/>
              </w:rPr>
            </w:pPr>
          </w:p>
        </w:tc>
        <w:tc>
          <w:tcPr>
            <w:tcW w:w="25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307</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债务利息及费用支出</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39999</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其他支出</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785"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default" w:ascii="Arial" w:hAnsi="Arial" w:cs="Arial"/>
                <w:color w:val="000000"/>
                <w:sz w:val="20"/>
                <w:szCs w:val="20"/>
              </w:rPr>
            </w:pPr>
          </w:p>
        </w:tc>
        <w:tc>
          <w:tcPr>
            <w:tcW w:w="25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30701</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国内债务付息</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100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785"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default" w:ascii="Arial" w:hAnsi="Arial" w:cs="Arial"/>
                <w:color w:val="000000"/>
                <w:sz w:val="20"/>
                <w:szCs w:val="20"/>
              </w:rPr>
            </w:pPr>
          </w:p>
        </w:tc>
        <w:tc>
          <w:tcPr>
            <w:tcW w:w="25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30702</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国外债务付息</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100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785"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default" w:ascii="Arial" w:hAnsi="Arial" w:cs="Arial"/>
                <w:color w:val="000000"/>
                <w:sz w:val="20"/>
                <w:szCs w:val="20"/>
              </w:rPr>
            </w:pPr>
          </w:p>
        </w:tc>
        <w:tc>
          <w:tcPr>
            <w:tcW w:w="25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30703</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国内债务发行费用</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100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785"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default" w:ascii="Arial" w:hAnsi="Arial" w:cs="Arial"/>
                <w:color w:val="000000"/>
                <w:sz w:val="20"/>
                <w:szCs w:val="20"/>
              </w:rPr>
            </w:pPr>
          </w:p>
        </w:tc>
        <w:tc>
          <w:tcPr>
            <w:tcW w:w="25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30704</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国外债务发行费用</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100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r>
      <w:tr>
        <w:tblPrEx>
          <w:tblCellMar>
            <w:top w:w="0" w:type="dxa"/>
            <w:left w:w="0" w:type="dxa"/>
            <w:bottom w:w="0" w:type="dxa"/>
            <w:right w:w="0" w:type="dxa"/>
          </w:tblCellMar>
        </w:tblPrEx>
        <w:trPr>
          <w:trHeight w:val="321" w:hRule="atLeast"/>
        </w:trPr>
        <w:tc>
          <w:tcPr>
            <w:tcW w:w="1074"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人员经费合计</w:t>
            </w:r>
          </w:p>
        </w:tc>
        <w:tc>
          <w:tcPr>
            <w:tcW w:w="635"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Arial" w:hAnsi="Arial" w:cs="Arial"/>
                <w:color w:val="000000"/>
                <w:sz w:val="20"/>
                <w:szCs w:val="20"/>
              </w:rPr>
            </w:pPr>
            <w:r>
              <w:rPr>
                <w:rFonts w:cs="宋体"/>
                <w:color w:val="000000"/>
                <w:sz w:val="21"/>
                <w:szCs w:val="21"/>
              </w:rPr>
              <w:t>97.42</w:t>
            </w:r>
          </w:p>
        </w:tc>
        <w:tc>
          <w:tcPr>
            <w:tcW w:w="2732" w:type="pct"/>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公用经费合计</w:t>
            </w:r>
          </w:p>
        </w:tc>
        <w:tc>
          <w:tcPr>
            <w:tcW w:w="55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11.01</w:t>
            </w:r>
          </w:p>
        </w:tc>
      </w:tr>
    </w:tbl>
    <w:p>
      <w:pPr>
        <w:rPr>
          <w:rFonts w:hint="default" w:cs="宋体"/>
          <w:sz w:val="21"/>
          <w:szCs w:val="21"/>
        </w:rPr>
      </w:pPr>
      <w:r>
        <w:rPr>
          <w:rFonts w:cs="宋体"/>
          <w:sz w:val="21"/>
          <w:szCs w:val="21"/>
        </w:rPr>
        <w:t>备注：1.本表反映单位本年度一般公共预算财政拨款基本支出明细情况。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683"/>
        <w:gridCol w:w="2801"/>
        <w:gridCol w:w="1549"/>
        <w:gridCol w:w="1549"/>
        <w:gridCol w:w="1549"/>
        <w:gridCol w:w="1549"/>
        <w:gridCol w:w="1602"/>
        <w:gridCol w:w="1651"/>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政府性基金预算财政拨款收入支出决算表</w:t>
            </w:r>
          </w:p>
        </w:tc>
      </w:tr>
      <w:tr>
        <w:tblPrEx>
          <w:tblCellMar>
            <w:top w:w="0" w:type="dxa"/>
            <w:left w:w="0" w:type="dxa"/>
            <w:bottom w:w="0" w:type="dxa"/>
            <w:right w:w="0" w:type="dxa"/>
          </w:tblCellMar>
        </w:tblPrEx>
        <w:trPr>
          <w:trHeight w:val="329" w:hRule="atLeast"/>
        </w:trPr>
        <w:tc>
          <w:tcPr>
            <w:tcW w:w="1609" w:type="pct"/>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垫江县永平镇劳动就业和社会保障服务所</w:t>
            </w:r>
          </w:p>
        </w:tc>
        <w:tc>
          <w:tcPr>
            <w:tcW w:w="556"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556"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556"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556"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575"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593" w:type="pct"/>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rPr>
              <w:t>公开07表</w:t>
            </w:r>
          </w:p>
        </w:tc>
      </w:tr>
      <w:tr>
        <w:tblPrEx>
          <w:tblCellMar>
            <w:top w:w="0" w:type="dxa"/>
            <w:left w:w="0" w:type="dxa"/>
            <w:bottom w:w="0" w:type="dxa"/>
            <w:right w:w="0" w:type="dxa"/>
          </w:tblCellMar>
        </w:tblPrEx>
        <w:trPr>
          <w:trHeight w:val="329" w:hRule="atLeast"/>
        </w:trPr>
        <w:tc>
          <w:tcPr>
            <w:tcW w:w="1609" w:type="pct"/>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556"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556"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556"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556"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575"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593" w:type="pct"/>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39" w:hRule="atLeast"/>
        </w:trPr>
        <w:tc>
          <w:tcPr>
            <w:tcW w:w="1609"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556"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年初结转和结余</w:t>
            </w:r>
          </w:p>
        </w:tc>
        <w:tc>
          <w:tcPr>
            <w:tcW w:w="556"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w:t>
            </w:r>
          </w:p>
        </w:tc>
        <w:tc>
          <w:tcPr>
            <w:tcW w:w="1687"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w:t>
            </w:r>
          </w:p>
        </w:tc>
        <w:tc>
          <w:tcPr>
            <w:tcW w:w="59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年末结转和结余</w:t>
            </w:r>
          </w:p>
        </w:tc>
      </w:tr>
      <w:tr>
        <w:tblPrEx>
          <w:tblCellMar>
            <w:top w:w="0" w:type="dxa"/>
            <w:left w:w="0" w:type="dxa"/>
            <w:bottom w:w="0" w:type="dxa"/>
            <w:right w:w="0" w:type="dxa"/>
          </w:tblCellMar>
        </w:tblPrEx>
        <w:trPr>
          <w:trHeight w:val="335" w:hRule="atLeast"/>
        </w:trPr>
        <w:tc>
          <w:tcPr>
            <w:tcW w:w="60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100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556"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5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55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57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c>
          <w:tcPr>
            <w:tcW w:w="59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5"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56"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5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5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7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rPr>
          <w:trHeight w:val="645"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56"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5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5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7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1609"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55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p>
        </w:tc>
        <w:tc>
          <w:tcPr>
            <w:tcW w:w="55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p>
        </w:tc>
        <w:tc>
          <w:tcPr>
            <w:tcW w:w="55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p>
        </w:tc>
        <w:tc>
          <w:tcPr>
            <w:tcW w:w="55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p>
        </w:tc>
        <w:tc>
          <w:tcPr>
            <w:tcW w:w="575"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p>
        </w:tc>
        <w:tc>
          <w:tcPr>
            <w:tcW w:w="593"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p>
        </w:tc>
      </w:tr>
    </w:tbl>
    <w:p>
      <w:pPr>
        <w:rPr>
          <w:rFonts w:hint="default" w:cs="宋体"/>
          <w:sz w:val="21"/>
          <w:szCs w:val="21"/>
        </w:rPr>
      </w:pPr>
      <w:r>
        <w:rPr>
          <w:rFonts w:cs="宋体"/>
          <w:sz w:val="21"/>
          <w:szCs w:val="21"/>
        </w:rPr>
        <w:t>备注：本表反映单位本年度政府性基金预算财政拨款收入支出及结转和结余情况。本单位无政府性基金收支，故本表无数据。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710"/>
        <w:gridCol w:w="2773"/>
        <w:gridCol w:w="2971"/>
        <w:gridCol w:w="3400"/>
        <w:gridCol w:w="3079"/>
      </w:tblGrid>
      <w:tr>
        <w:tblPrEx>
          <w:tblCellMar>
            <w:top w:w="0" w:type="dxa"/>
            <w:left w:w="0" w:type="dxa"/>
            <w:bottom w:w="0" w:type="dxa"/>
            <w:right w:w="0" w:type="dxa"/>
          </w:tblCellMar>
        </w:tblPrEx>
        <w:trPr>
          <w:trHeight w:val="650" w:hRule="atLeast"/>
        </w:trPr>
        <w:tc>
          <w:tcPr>
            <w:tcW w:w="5000" w:type="pct"/>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国有资本经营预算财政拨款支出决算表</w:t>
            </w:r>
          </w:p>
        </w:tc>
      </w:tr>
      <w:tr>
        <w:tblPrEx>
          <w:tblCellMar>
            <w:top w:w="0" w:type="dxa"/>
            <w:left w:w="0" w:type="dxa"/>
            <w:bottom w:w="0" w:type="dxa"/>
            <w:right w:w="0" w:type="dxa"/>
          </w:tblCellMar>
        </w:tblPrEx>
        <w:trPr>
          <w:trHeight w:val="332" w:hRule="atLeast"/>
        </w:trPr>
        <w:tc>
          <w:tcPr>
            <w:tcW w:w="1609" w:type="pct"/>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垫江县永平镇劳动就业和社会保障服务所</w:t>
            </w:r>
          </w:p>
        </w:tc>
        <w:tc>
          <w:tcPr>
            <w:tcW w:w="1066"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220"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105" w:type="pct"/>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rPr>
              <w:t>公开08表</w:t>
            </w:r>
          </w:p>
        </w:tc>
      </w:tr>
      <w:tr>
        <w:tblPrEx>
          <w:tblCellMar>
            <w:top w:w="0" w:type="dxa"/>
            <w:left w:w="0" w:type="dxa"/>
            <w:bottom w:w="0" w:type="dxa"/>
            <w:right w:w="0" w:type="dxa"/>
          </w:tblCellMar>
        </w:tblPrEx>
        <w:trPr>
          <w:trHeight w:val="332" w:hRule="atLeast"/>
        </w:trPr>
        <w:tc>
          <w:tcPr>
            <w:tcW w:w="1609" w:type="pct"/>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1066"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1220"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1105" w:type="pct"/>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422" w:hRule="atLeast"/>
        </w:trPr>
        <w:tc>
          <w:tcPr>
            <w:tcW w:w="1609"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3391" w:type="pct"/>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本年支出</w:t>
            </w:r>
          </w:p>
        </w:tc>
      </w:tr>
      <w:tr>
        <w:tblPrEx>
          <w:tblCellMar>
            <w:top w:w="0" w:type="dxa"/>
            <w:left w:w="0" w:type="dxa"/>
            <w:bottom w:w="0" w:type="dxa"/>
            <w:right w:w="0" w:type="dxa"/>
          </w:tblCellMar>
        </w:tblPrEx>
        <w:trPr>
          <w:trHeight w:val="339" w:hRule="atLeast"/>
        </w:trPr>
        <w:tc>
          <w:tcPr>
            <w:tcW w:w="61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99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科目名称</w:t>
            </w:r>
          </w:p>
        </w:tc>
        <w:tc>
          <w:tcPr>
            <w:tcW w:w="1066"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122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110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r>
      <w:tr>
        <w:tblPrEx>
          <w:tblCellMar>
            <w:top w:w="0" w:type="dxa"/>
            <w:left w:w="0" w:type="dxa"/>
            <w:bottom w:w="0" w:type="dxa"/>
            <w:right w:w="0" w:type="dxa"/>
          </w:tblCellMar>
        </w:tblPrEx>
        <w:trPr>
          <w:trHeight w:val="339" w:hRule="atLeast"/>
        </w:trPr>
        <w:tc>
          <w:tcPr>
            <w:tcW w:w="61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066"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22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10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61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066"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22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10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26" w:hRule="atLeast"/>
        </w:trPr>
        <w:tc>
          <w:tcPr>
            <w:tcW w:w="61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066"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22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10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1" w:hRule="atLeast"/>
        </w:trPr>
        <w:tc>
          <w:tcPr>
            <w:tcW w:w="1609"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106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p>
        </w:tc>
        <w:tc>
          <w:tcPr>
            <w:tcW w:w="122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b/>
                <w:color w:val="000000"/>
                <w:sz w:val="22"/>
                <w:szCs w:val="22"/>
              </w:rPr>
            </w:pPr>
          </w:p>
        </w:tc>
        <w:tc>
          <w:tcPr>
            <w:tcW w:w="1105"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p>
        </w:tc>
      </w:tr>
    </w:tbl>
    <w:p>
      <w:pPr>
        <w:rPr>
          <w:rFonts w:hint="default" w:cs="宋体"/>
          <w:sz w:val="21"/>
          <w:szCs w:val="21"/>
        </w:rPr>
      </w:pPr>
      <w:r>
        <w:rPr>
          <w:rFonts w:cs="宋体"/>
          <w:sz w:val="21"/>
          <w:szCs w:val="21"/>
        </w:rPr>
        <w:t>备注：本表反映单位本年度国有资本经营预算财政拨款支出情况。本单位无国有资本经营收支，故本表无数据。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3244"/>
        <w:gridCol w:w="2402"/>
        <w:gridCol w:w="2062"/>
        <w:gridCol w:w="4135"/>
        <w:gridCol w:w="2090"/>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机构运行信息表</w:t>
            </w:r>
          </w:p>
        </w:tc>
      </w:tr>
      <w:tr>
        <w:tblPrEx>
          <w:tblCellMar>
            <w:top w:w="0" w:type="dxa"/>
            <w:left w:w="0" w:type="dxa"/>
            <w:bottom w:w="0" w:type="dxa"/>
            <w:right w:w="0" w:type="dxa"/>
          </w:tblCellMar>
        </w:tblPrEx>
        <w:trPr>
          <w:trHeight w:val="255" w:hRule="atLeast"/>
        </w:trPr>
        <w:tc>
          <w:tcPr>
            <w:tcW w:w="1164"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862" w:type="pct"/>
            <w:tcBorders>
              <w:top w:val="nil"/>
              <w:left w:val="nil"/>
              <w:bottom w:val="nil"/>
              <w:right w:val="nil"/>
            </w:tcBorders>
            <w:shd w:val="clear" w:color="auto" w:fill="auto"/>
            <w:tcMar>
              <w:top w:w="15" w:type="dxa"/>
              <w:left w:w="15" w:type="dxa"/>
              <w:right w:w="15" w:type="dxa"/>
            </w:tcMar>
            <w:vAlign w:val="bottom"/>
          </w:tcPr>
          <w:p>
            <w:pPr>
              <w:jc w:val="center"/>
              <w:rPr>
                <w:rFonts w:hint="default" w:ascii="Arial" w:hAnsi="Arial" w:cs="Arial"/>
                <w:color w:val="000000"/>
                <w:sz w:val="20"/>
                <w:szCs w:val="20"/>
              </w:rPr>
            </w:pPr>
          </w:p>
        </w:tc>
        <w:tc>
          <w:tcPr>
            <w:tcW w:w="740" w:type="pct"/>
            <w:tcBorders>
              <w:top w:val="nil"/>
              <w:left w:val="nil"/>
              <w:bottom w:val="nil"/>
              <w:right w:val="nil"/>
            </w:tcBorders>
            <w:shd w:val="clear" w:color="auto" w:fill="auto"/>
            <w:tcMar>
              <w:top w:w="15" w:type="dxa"/>
              <w:left w:w="15" w:type="dxa"/>
              <w:right w:w="15" w:type="dxa"/>
            </w:tcMar>
            <w:vAlign w:val="bottom"/>
          </w:tcPr>
          <w:p>
            <w:pPr>
              <w:jc w:val="right"/>
              <w:rPr>
                <w:rFonts w:hint="default" w:ascii="Arial" w:hAnsi="Arial" w:cs="Arial"/>
                <w:color w:val="000000"/>
                <w:sz w:val="20"/>
                <w:szCs w:val="20"/>
              </w:rPr>
            </w:pPr>
          </w:p>
        </w:tc>
        <w:tc>
          <w:tcPr>
            <w:tcW w:w="1484"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750" w:type="pct"/>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rPr>
              <w:t>公开09表</w:t>
            </w:r>
          </w:p>
        </w:tc>
      </w:tr>
      <w:tr>
        <w:trPr>
          <w:trHeight w:val="285" w:hRule="atLeast"/>
        </w:trPr>
        <w:tc>
          <w:tcPr>
            <w:tcW w:w="1164" w:type="pct"/>
            <w:tcBorders>
              <w:top w:val="nil"/>
              <w:left w:val="nil"/>
              <w:bottom w:val="nil"/>
              <w:right w:val="nil"/>
            </w:tcBorders>
            <w:shd w:val="clear" w:color="auto" w:fill="auto"/>
            <w:tcMar>
              <w:top w:w="15" w:type="dxa"/>
              <w:left w:w="15" w:type="dxa"/>
              <w:right w:w="15" w:type="dxa"/>
            </w:tcMar>
            <w:vAlign w:val="bottom"/>
          </w:tcPr>
          <w:p>
            <w:pPr>
              <w:textAlignment w:val="bottom"/>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垫江县永平镇劳动就业和社会保障服务所</w:t>
            </w:r>
          </w:p>
        </w:tc>
        <w:tc>
          <w:tcPr>
            <w:tcW w:w="862" w:type="pct"/>
            <w:tcBorders>
              <w:top w:val="nil"/>
              <w:left w:val="nil"/>
              <w:bottom w:val="nil"/>
              <w:right w:val="nil"/>
            </w:tcBorders>
            <w:shd w:val="clear" w:color="auto" w:fill="auto"/>
            <w:tcMar>
              <w:top w:w="15" w:type="dxa"/>
              <w:left w:w="15" w:type="dxa"/>
              <w:right w:w="15" w:type="dxa"/>
            </w:tcMar>
            <w:vAlign w:val="bottom"/>
          </w:tcPr>
          <w:p>
            <w:pPr>
              <w:jc w:val="center"/>
              <w:rPr>
                <w:rFonts w:hint="default" w:cs="宋体"/>
                <w:color w:val="000000"/>
                <w:sz w:val="22"/>
                <w:szCs w:val="22"/>
              </w:rPr>
            </w:pPr>
          </w:p>
        </w:tc>
        <w:tc>
          <w:tcPr>
            <w:tcW w:w="740" w:type="pct"/>
            <w:tcBorders>
              <w:top w:val="nil"/>
              <w:left w:val="nil"/>
              <w:bottom w:val="nil"/>
              <w:right w:val="nil"/>
            </w:tcBorders>
            <w:shd w:val="clear" w:color="auto" w:fill="auto"/>
            <w:tcMar>
              <w:top w:w="15" w:type="dxa"/>
              <w:left w:w="15" w:type="dxa"/>
              <w:right w:w="15" w:type="dxa"/>
            </w:tcMar>
            <w:vAlign w:val="bottom"/>
          </w:tcPr>
          <w:p>
            <w:pPr>
              <w:jc w:val="right"/>
              <w:rPr>
                <w:rFonts w:hint="default" w:ascii="Arial" w:hAnsi="Arial" w:cs="Arial"/>
                <w:color w:val="000000"/>
                <w:sz w:val="22"/>
                <w:szCs w:val="22"/>
              </w:rPr>
            </w:pPr>
          </w:p>
        </w:tc>
        <w:tc>
          <w:tcPr>
            <w:tcW w:w="1484" w:type="pct"/>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750" w:type="pct"/>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rPr>
          <w:trHeight w:val="308" w:hRule="atLeast"/>
        </w:trPr>
        <w:tc>
          <w:tcPr>
            <w:tcW w:w="1164" w:type="pct"/>
            <w:tcBorders>
              <w:top w:val="single" w:color="000000" w:sz="4" w:space="0"/>
              <w:left w:val="single" w:color="000000" w:sz="4" w:space="0"/>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  目</w:t>
            </w:r>
          </w:p>
        </w:tc>
        <w:tc>
          <w:tcPr>
            <w:tcW w:w="86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预算数</w:t>
            </w:r>
          </w:p>
        </w:tc>
        <w:tc>
          <w:tcPr>
            <w:tcW w:w="740" w:type="pct"/>
            <w:tcBorders>
              <w:top w:val="single" w:color="000000" w:sz="4" w:space="0"/>
              <w:left w:val="nil"/>
              <w:bottom w:val="nil"/>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c>
          <w:tcPr>
            <w:tcW w:w="1484" w:type="pc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  目</w:t>
            </w:r>
          </w:p>
        </w:tc>
        <w:tc>
          <w:tcPr>
            <w:tcW w:w="750" w:type="pct"/>
            <w:tcBorders>
              <w:top w:val="single" w:color="000000" w:sz="4" w:space="0"/>
              <w:left w:val="nil"/>
              <w:bottom w:val="nil"/>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一、“三公”经费支出</w:t>
            </w:r>
          </w:p>
        </w:tc>
        <w:tc>
          <w:tcPr>
            <w:tcW w:w="862"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1484"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四、机关运行经费</w:t>
            </w:r>
          </w:p>
        </w:tc>
        <w:tc>
          <w:tcPr>
            <w:tcW w:w="7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（一）支出合计</w:t>
            </w:r>
          </w:p>
        </w:tc>
        <w:tc>
          <w:tcPr>
            <w:tcW w:w="862"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Arial" w:hAnsi="Arial" w:cs="Arial"/>
                <w:color w:val="000000"/>
                <w:sz w:val="20"/>
                <w:szCs w:val="20"/>
              </w:rPr>
            </w:pPr>
          </w:p>
        </w:tc>
        <w:tc>
          <w:tcPr>
            <w:tcW w:w="740"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（一）行政单位</w:t>
            </w:r>
          </w:p>
        </w:tc>
        <w:tc>
          <w:tcPr>
            <w:tcW w:w="7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Arial" w:hAnsi="Arial" w:cs="Arial"/>
                <w:color w:val="000000"/>
                <w:sz w:val="20"/>
                <w:szCs w:val="20"/>
              </w:rPr>
            </w:pPr>
          </w:p>
        </w:tc>
      </w:tr>
      <w:tr>
        <w:trPr>
          <w:trHeight w:val="308" w:hRule="atLeast"/>
        </w:trPr>
        <w:tc>
          <w:tcPr>
            <w:tcW w:w="1164" w:type="pct"/>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1．因公出国（境）费</w:t>
            </w:r>
          </w:p>
        </w:tc>
        <w:tc>
          <w:tcPr>
            <w:tcW w:w="862"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Arial" w:hAnsi="Arial" w:cs="Arial"/>
                <w:color w:val="000000"/>
                <w:sz w:val="20"/>
                <w:szCs w:val="20"/>
              </w:rPr>
            </w:pPr>
          </w:p>
        </w:tc>
        <w:tc>
          <w:tcPr>
            <w:tcW w:w="740"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（二）参照公务员法管理事业单位</w:t>
            </w:r>
          </w:p>
        </w:tc>
        <w:tc>
          <w:tcPr>
            <w:tcW w:w="7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Arial" w:hAnsi="Arial" w:cs="Arial"/>
                <w:color w:val="000000"/>
                <w:sz w:val="20"/>
                <w:szCs w:val="20"/>
              </w:rPr>
            </w:pPr>
          </w:p>
        </w:tc>
      </w:tr>
      <w:tr>
        <w:trPr>
          <w:trHeight w:val="308" w:hRule="atLeast"/>
        </w:trPr>
        <w:tc>
          <w:tcPr>
            <w:tcW w:w="1164" w:type="pct"/>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2．公务用车购置及运行维护费</w:t>
            </w:r>
          </w:p>
        </w:tc>
        <w:tc>
          <w:tcPr>
            <w:tcW w:w="862"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Arial" w:hAnsi="Arial" w:cs="Arial"/>
                <w:color w:val="000000"/>
                <w:sz w:val="20"/>
                <w:szCs w:val="20"/>
              </w:rPr>
            </w:pPr>
          </w:p>
        </w:tc>
        <w:tc>
          <w:tcPr>
            <w:tcW w:w="740"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五、资产信息</w:t>
            </w:r>
          </w:p>
        </w:tc>
        <w:tc>
          <w:tcPr>
            <w:tcW w:w="7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（1）公务用车购置费</w:t>
            </w:r>
          </w:p>
        </w:tc>
        <w:tc>
          <w:tcPr>
            <w:tcW w:w="862"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Arial" w:hAnsi="Arial" w:cs="Arial"/>
                <w:color w:val="000000"/>
                <w:sz w:val="20"/>
                <w:szCs w:val="20"/>
              </w:rPr>
            </w:pPr>
          </w:p>
        </w:tc>
        <w:tc>
          <w:tcPr>
            <w:tcW w:w="740"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（一）车辆数合计（辆）</w:t>
            </w:r>
          </w:p>
        </w:tc>
        <w:tc>
          <w:tcPr>
            <w:tcW w:w="7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（2）公务用车运行维护费</w:t>
            </w:r>
          </w:p>
        </w:tc>
        <w:tc>
          <w:tcPr>
            <w:tcW w:w="862"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Arial" w:hAnsi="Arial" w:cs="Arial"/>
                <w:color w:val="000000"/>
                <w:sz w:val="20"/>
                <w:szCs w:val="20"/>
              </w:rPr>
            </w:pPr>
          </w:p>
        </w:tc>
        <w:tc>
          <w:tcPr>
            <w:tcW w:w="740"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1．副部（省）级及以上领导用车</w:t>
            </w:r>
          </w:p>
        </w:tc>
        <w:tc>
          <w:tcPr>
            <w:tcW w:w="7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Arial" w:hAnsi="Arial" w:cs="Arial"/>
                <w:color w:val="000000"/>
                <w:sz w:val="20"/>
                <w:szCs w:val="20"/>
              </w:rPr>
            </w:pPr>
          </w:p>
        </w:tc>
      </w:tr>
      <w:tr>
        <w:trPr>
          <w:trHeight w:val="308" w:hRule="atLeast"/>
        </w:trPr>
        <w:tc>
          <w:tcPr>
            <w:tcW w:w="1164" w:type="pct"/>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3．公务接待费</w:t>
            </w:r>
          </w:p>
        </w:tc>
        <w:tc>
          <w:tcPr>
            <w:tcW w:w="862"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Arial" w:hAnsi="Arial" w:cs="Arial"/>
                <w:color w:val="000000"/>
                <w:sz w:val="20"/>
                <w:szCs w:val="20"/>
              </w:rPr>
            </w:pPr>
          </w:p>
        </w:tc>
        <w:tc>
          <w:tcPr>
            <w:tcW w:w="740"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2．主要领导干部用车</w:t>
            </w:r>
          </w:p>
        </w:tc>
        <w:tc>
          <w:tcPr>
            <w:tcW w:w="7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Arial" w:hAnsi="Arial" w:cs="Arial"/>
                <w:color w:val="000000"/>
                <w:sz w:val="20"/>
                <w:szCs w:val="20"/>
              </w:rPr>
            </w:pPr>
          </w:p>
        </w:tc>
      </w:tr>
      <w:tr>
        <w:trPr>
          <w:trHeight w:val="308" w:hRule="atLeast"/>
        </w:trPr>
        <w:tc>
          <w:tcPr>
            <w:tcW w:w="1164" w:type="pct"/>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（1）国内接待费</w:t>
            </w:r>
          </w:p>
        </w:tc>
        <w:tc>
          <w:tcPr>
            <w:tcW w:w="86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3．机要通信用车</w:t>
            </w:r>
          </w:p>
        </w:tc>
        <w:tc>
          <w:tcPr>
            <w:tcW w:w="7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其中：外事接待费</w:t>
            </w:r>
          </w:p>
        </w:tc>
        <w:tc>
          <w:tcPr>
            <w:tcW w:w="86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4．应急保障用车</w:t>
            </w:r>
          </w:p>
        </w:tc>
        <w:tc>
          <w:tcPr>
            <w:tcW w:w="7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（2）国（境）外接待费</w:t>
            </w:r>
          </w:p>
        </w:tc>
        <w:tc>
          <w:tcPr>
            <w:tcW w:w="86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5．执法执勤用车</w:t>
            </w:r>
          </w:p>
        </w:tc>
        <w:tc>
          <w:tcPr>
            <w:tcW w:w="7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Arial" w:hAnsi="Arial" w:cs="Arial"/>
                <w:color w:val="000000"/>
                <w:sz w:val="20"/>
                <w:szCs w:val="20"/>
              </w:rPr>
            </w:pPr>
          </w:p>
        </w:tc>
      </w:tr>
      <w:tr>
        <w:trPr>
          <w:trHeight w:val="308" w:hRule="atLeast"/>
        </w:trPr>
        <w:tc>
          <w:tcPr>
            <w:tcW w:w="1164" w:type="pct"/>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（二）相关统计数</w:t>
            </w:r>
          </w:p>
        </w:tc>
        <w:tc>
          <w:tcPr>
            <w:tcW w:w="86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1484" w:type="pct"/>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6．特种专业技术用车</w:t>
            </w:r>
          </w:p>
        </w:tc>
        <w:tc>
          <w:tcPr>
            <w:tcW w:w="7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Arial" w:hAnsi="Arial" w:cs="Arial"/>
                <w:color w:val="000000"/>
                <w:sz w:val="20"/>
                <w:szCs w:val="20"/>
              </w:rPr>
            </w:pPr>
          </w:p>
        </w:tc>
      </w:tr>
      <w:tr>
        <w:trPr>
          <w:trHeight w:val="308" w:hRule="atLeast"/>
        </w:trPr>
        <w:tc>
          <w:tcPr>
            <w:tcW w:w="1164" w:type="pct"/>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1．因公出国（境）团组数（个）</w:t>
            </w:r>
          </w:p>
        </w:tc>
        <w:tc>
          <w:tcPr>
            <w:tcW w:w="86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7．离退休干部用车</w:t>
            </w:r>
          </w:p>
        </w:tc>
        <w:tc>
          <w:tcPr>
            <w:tcW w:w="7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2．因公出国（境）人次数（人）</w:t>
            </w:r>
          </w:p>
        </w:tc>
        <w:tc>
          <w:tcPr>
            <w:tcW w:w="86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8．其他用车</w:t>
            </w:r>
          </w:p>
        </w:tc>
        <w:tc>
          <w:tcPr>
            <w:tcW w:w="7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3．公务用车购置数（辆）</w:t>
            </w:r>
          </w:p>
        </w:tc>
        <w:tc>
          <w:tcPr>
            <w:tcW w:w="86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（二）单价100万元（含）以上设备（不含车辆）</w:t>
            </w:r>
          </w:p>
        </w:tc>
        <w:tc>
          <w:tcPr>
            <w:tcW w:w="7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Arial" w:hAnsi="Arial" w:cs="Arial"/>
                <w:color w:val="000000"/>
                <w:sz w:val="20"/>
                <w:szCs w:val="20"/>
              </w:rPr>
            </w:pPr>
          </w:p>
        </w:tc>
      </w:tr>
      <w:tr>
        <w:trPr>
          <w:trHeight w:val="308" w:hRule="atLeast"/>
        </w:trPr>
        <w:tc>
          <w:tcPr>
            <w:tcW w:w="1164" w:type="pct"/>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4．公务用车保有量（辆）</w:t>
            </w:r>
          </w:p>
        </w:tc>
        <w:tc>
          <w:tcPr>
            <w:tcW w:w="86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六、政府采购支出信息</w:t>
            </w:r>
          </w:p>
        </w:tc>
        <w:tc>
          <w:tcPr>
            <w:tcW w:w="7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r>
      <w:tr>
        <w:trPr>
          <w:trHeight w:val="308" w:hRule="atLeast"/>
        </w:trPr>
        <w:tc>
          <w:tcPr>
            <w:tcW w:w="1164" w:type="pct"/>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5．国内公务接待批次（个）</w:t>
            </w:r>
          </w:p>
        </w:tc>
        <w:tc>
          <w:tcPr>
            <w:tcW w:w="86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（一）政府采购支出合计</w:t>
            </w:r>
          </w:p>
        </w:tc>
        <w:tc>
          <w:tcPr>
            <w:tcW w:w="7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其中：外事接待批次（个）</w:t>
            </w:r>
          </w:p>
        </w:tc>
        <w:tc>
          <w:tcPr>
            <w:tcW w:w="86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1．政府采购货物支出</w:t>
            </w:r>
          </w:p>
        </w:tc>
        <w:tc>
          <w:tcPr>
            <w:tcW w:w="7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6．国内公务接待人次（人）</w:t>
            </w:r>
          </w:p>
        </w:tc>
        <w:tc>
          <w:tcPr>
            <w:tcW w:w="86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2．政府采购工程支出</w:t>
            </w:r>
          </w:p>
        </w:tc>
        <w:tc>
          <w:tcPr>
            <w:tcW w:w="7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Arial" w:hAnsi="Arial" w:cs="Arial"/>
                <w:color w:val="000000"/>
                <w:sz w:val="20"/>
                <w:szCs w:val="20"/>
              </w:rPr>
            </w:pPr>
          </w:p>
        </w:tc>
      </w:tr>
      <w:tr>
        <w:trPr>
          <w:trHeight w:val="308" w:hRule="atLeast"/>
        </w:trPr>
        <w:tc>
          <w:tcPr>
            <w:tcW w:w="1164" w:type="pct"/>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其中：外事接待人次（人）</w:t>
            </w:r>
          </w:p>
        </w:tc>
        <w:tc>
          <w:tcPr>
            <w:tcW w:w="86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3．政府采购服务支出</w:t>
            </w:r>
          </w:p>
        </w:tc>
        <w:tc>
          <w:tcPr>
            <w:tcW w:w="7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Arial" w:hAnsi="Arial" w:cs="Arial"/>
                <w:color w:val="000000"/>
                <w:sz w:val="20"/>
                <w:szCs w:val="20"/>
              </w:rPr>
            </w:pPr>
          </w:p>
        </w:tc>
      </w:tr>
      <w:tr>
        <w:trPr>
          <w:trHeight w:val="308" w:hRule="atLeast"/>
        </w:trPr>
        <w:tc>
          <w:tcPr>
            <w:tcW w:w="1164" w:type="pct"/>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7．国（境）外公务接待批次（个）</w:t>
            </w:r>
          </w:p>
        </w:tc>
        <w:tc>
          <w:tcPr>
            <w:tcW w:w="86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（二）政府采购授予中小企业合同金额</w:t>
            </w:r>
          </w:p>
        </w:tc>
        <w:tc>
          <w:tcPr>
            <w:tcW w:w="7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8．国（境）外公务接待人次（人）</w:t>
            </w:r>
          </w:p>
        </w:tc>
        <w:tc>
          <w:tcPr>
            <w:tcW w:w="86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其中：授予小微企业合同金额</w:t>
            </w:r>
          </w:p>
        </w:tc>
        <w:tc>
          <w:tcPr>
            <w:tcW w:w="7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二、会议费</w:t>
            </w:r>
          </w:p>
        </w:tc>
        <w:tc>
          <w:tcPr>
            <w:tcW w:w="86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default" w:ascii="Arial" w:hAnsi="Arial" w:cs="Arial"/>
                <w:color w:val="000000"/>
                <w:sz w:val="20"/>
                <w:szCs w:val="20"/>
              </w:rPr>
            </w:pPr>
          </w:p>
        </w:tc>
      </w:tr>
      <w:tr>
        <w:trPr>
          <w:trHeight w:val="308" w:hRule="atLeast"/>
        </w:trPr>
        <w:tc>
          <w:tcPr>
            <w:tcW w:w="1164" w:type="pct"/>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三、培训费</w:t>
            </w:r>
          </w:p>
        </w:tc>
        <w:tc>
          <w:tcPr>
            <w:tcW w:w="86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color w:val="000000"/>
                <w:sz w:val="22"/>
                <w:szCs w:val="22"/>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default" w:ascii="Arial" w:hAnsi="Arial" w:cs="Arial"/>
                <w:color w:val="000000"/>
                <w:sz w:val="20"/>
                <w:szCs w:val="20"/>
              </w:rPr>
            </w:pPr>
          </w:p>
        </w:tc>
      </w:tr>
    </w:tbl>
    <w:p>
      <w:pPr>
        <w:rPr>
          <w:rFonts w:hint="default" w:cs="宋体"/>
          <w:sz w:val="21"/>
          <w:szCs w:val="21"/>
        </w:rPr>
      </w:pPr>
      <w:r>
        <w:rPr>
          <w:rFonts w:cs="宋体"/>
          <w:sz w:val="21"/>
          <w:szCs w:val="21"/>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pStyle w:val="15"/>
        <w:autoSpaceDE w:val="0"/>
        <w:ind w:firstLine="0" w:firstLineChars="0"/>
        <w:rPr>
          <w:rFonts w:cs="宋体"/>
          <w:sz w:val="21"/>
          <w:szCs w:val="21"/>
        </w:rPr>
      </w:pPr>
    </w:p>
    <w:sectPr>
      <w:pgSz w:w="16783" w:h="11850" w:orient="landscape"/>
      <w:pgMar w:top="1800" w:right="1440" w:bottom="1800" w:left="1440"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3000509000000000000"/>
    <w:charset w:val="86"/>
    <w:family w:val="auto"/>
    <w:pitch w:val="default"/>
    <w:sig w:usb0="00000001" w:usb1="080E0000" w:usb2="00000000" w:usb3="00000000" w:csb0="00040000" w:csb1="00000000"/>
  </w:font>
  <w:font w:name="Bitstream Charter">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path/>
          <v:fill on="f" focussize="0,0"/>
          <v:stroke on="f" weight="0.5pt" joinstyle="miter"/>
          <v:imagedata o:title=""/>
          <o:lock v:ext="edit"/>
          <v:textbox inset="0mm,0mm,0mm,0mm" style="mso-fit-shape-to-text:t;">
            <w:txbxContent>
              <w:p>
                <w:pPr>
                  <w:pStyle w:val="6"/>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6 -</w:t>
                </w:r>
                <w:r>
                  <w:rPr>
                    <w:rFonts w:hint="default"/>
                  </w:rPr>
                  <w:fldChar w:fldCharType="end"/>
                </w:r>
              </w:p>
            </w:txbxContent>
          </v:textbox>
        </v:shape>
      </w:pict>
    </w:r>
    <w:r>
      <w:rPr>
        <w:rFonts w:hint="default"/>
      </w:rPr>
      <w:pict>
        <v:shape id="_x0000_s4098" o:spid="_x0000_s4098"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6763E"/>
    <w:multiLevelType w:val="singleLevel"/>
    <w:tmpl w:val="0266763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HorizontalSpacing w:val="120"/>
  <w:drawingGridVerticalSpacing w:val="163"/>
  <w:displayHorizontalDrawingGridEvery w:val="2"/>
  <w:displayVerticalDrawingGridEvery w:val="2"/>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c2MGQzNWIxZjU5MjY5NzMxYTEzNWM1ZjBmNGRkMDEifQ=="/>
  </w:docVars>
  <w:rsids>
    <w:rsidRoot w:val="00B03CCD"/>
    <w:rsid w:val="000649E4"/>
    <w:rsid w:val="00106110"/>
    <w:rsid w:val="001A5CE5"/>
    <w:rsid w:val="002370A9"/>
    <w:rsid w:val="004A0872"/>
    <w:rsid w:val="00522467"/>
    <w:rsid w:val="00550ABE"/>
    <w:rsid w:val="00556F28"/>
    <w:rsid w:val="00625FA8"/>
    <w:rsid w:val="007B419D"/>
    <w:rsid w:val="008801F8"/>
    <w:rsid w:val="00902F28"/>
    <w:rsid w:val="009B67B8"/>
    <w:rsid w:val="00B03CCD"/>
    <w:rsid w:val="00B31892"/>
    <w:rsid w:val="00B36B82"/>
    <w:rsid w:val="00C3536A"/>
    <w:rsid w:val="00C4765D"/>
    <w:rsid w:val="00C61A2B"/>
    <w:rsid w:val="00C93256"/>
    <w:rsid w:val="00CF070B"/>
    <w:rsid w:val="00D03CA2"/>
    <w:rsid w:val="00D13196"/>
    <w:rsid w:val="00E23532"/>
    <w:rsid w:val="00E535DE"/>
    <w:rsid w:val="00ED6D5A"/>
    <w:rsid w:val="00F6457B"/>
    <w:rsid w:val="00F73F90"/>
    <w:rsid w:val="01474EBF"/>
    <w:rsid w:val="01F3521E"/>
    <w:rsid w:val="03B87EA0"/>
    <w:rsid w:val="03E3214F"/>
    <w:rsid w:val="044C50BA"/>
    <w:rsid w:val="04A66578"/>
    <w:rsid w:val="05BC6D49"/>
    <w:rsid w:val="06194FF1"/>
    <w:rsid w:val="06A2550B"/>
    <w:rsid w:val="06F80EE2"/>
    <w:rsid w:val="07001CCA"/>
    <w:rsid w:val="075678DB"/>
    <w:rsid w:val="079D7CC7"/>
    <w:rsid w:val="07CF5DE6"/>
    <w:rsid w:val="08051BCA"/>
    <w:rsid w:val="086C12F4"/>
    <w:rsid w:val="08705944"/>
    <w:rsid w:val="08BA052C"/>
    <w:rsid w:val="08DB07BA"/>
    <w:rsid w:val="0969353F"/>
    <w:rsid w:val="098305D0"/>
    <w:rsid w:val="0A3317EA"/>
    <w:rsid w:val="0A5C4B69"/>
    <w:rsid w:val="0A86124A"/>
    <w:rsid w:val="0AB54CC0"/>
    <w:rsid w:val="0B0C5C90"/>
    <w:rsid w:val="0B9335CE"/>
    <w:rsid w:val="0BF2311A"/>
    <w:rsid w:val="0C7927C4"/>
    <w:rsid w:val="0C9B098C"/>
    <w:rsid w:val="0D673E11"/>
    <w:rsid w:val="0DDA54E4"/>
    <w:rsid w:val="0E3A5F83"/>
    <w:rsid w:val="0F836721"/>
    <w:rsid w:val="0FA25D96"/>
    <w:rsid w:val="107B59E5"/>
    <w:rsid w:val="10EC0126"/>
    <w:rsid w:val="10F70B9A"/>
    <w:rsid w:val="111445C7"/>
    <w:rsid w:val="1131366D"/>
    <w:rsid w:val="114278C6"/>
    <w:rsid w:val="114333A1"/>
    <w:rsid w:val="1158083A"/>
    <w:rsid w:val="11643A4B"/>
    <w:rsid w:val="11DF2D38"/>
    <w:rsid w:val="11ED0F98"/>
    <w:rsid w:val="11F03528"/>
    <w:rsid w:val="12C921C4"/>
    <w:rsid w:val="12DC59A6"/>
    <w:rsid w:val="137F6791"/>
    <w:rsid w:val="13871C70"/>
    <w:rsid w:val="13A71CB4"/>
    <w:rsid w:val="13AF1D43"/>
    <w:rsid w:val="13CE1647"/>
    <w:rsid w:val="13FD55AB"/>
    <w:rsid w:val="14200702"/>
    <w:rsid w:val="163A6CEE"/>
    <w:rsid w:val="173708E3"/>
    <w:rsid w:val="17C374FC"/>
    <w:rsid w:val="182E4AB6"/>
    <w:rsid w:val="189079DC"/>
    <w:rsid w:val="189B0D0B"/>
    <w:rsid w:val="18B43F7C"/>
    <w:rsid w:val="194A1770"/>
    <w:rsid w:val="19794F07"/>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B23302"/>
    <w:rsid w:val="29310A5F"/>
    <w:rsid w:val="29C37A35"/>
    <w:rsid w:val="29D1223F"/>
    <w:rsid w:val="2A076083"/>
    <w:rsid w:val="2A73162E"/>
    <w:rsid w:val="2B167953"/>
    <w:rsid w:val="2B200583"/>
    <w:rsid w:val="2B8209DE"/>
    <w:rsid w:val="2C636760"/>
    <w:rsid w:val="2C6762A3"/>
    <w:rsid w:val="2E573B34"/>
    <w:rsid w:val="2EA951F2"/>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0C1E5F"/>
    <w:rsid w:val="383C3F15"/>
    <w:rsid w:val="38BE4696"/>
    <w:rsid w:val="38F306EF"/>
    <w:rsid w:val="3939115E"/>
    <w:rsid w:val="39B82A39"/>
    <w:rsid w:val="39C42CA8"/>
    <w:rsid w:val="39D2513E"/>
    <w:rsid w:val="39DC4FD6"/>
    <w:rsid w:val="39F03D7A"/>
    <w:rsid w:val="39F33306"/>
    <w:rsid w:val="3A2C1C67"/>
    <w:rsid w:val="3ADD7F09"/>
    <w:rsid w:val="3B1705E5"/>
    <w:rsid w:val="3B18334B"/>
    <w:rsid w:val="3B36794F"/>
    <w:rsid w:val="3B6F6EE0"/>
    <w:rsid w:val="3C566AD6"/>
    <w:rsid w:val="3C594871"/>
    <w:rsid w:val="3C6A5B02"/>
    <w:rsid w:val="3C82540F"/>
    <w:rsid w:val="3D2757A1"/>
    <w:rsid w:val="3D3D4FC4"/>
    <w:rsid w:val="3DDF3AB1"/>
    <w:rsid w:val="3E1D0952"/>
    <w:rsid w:val="3E42660A"/>
    <w:rsid w:val="3E704F26"/>
    <w:rsid w:val="3E7555B1"/>
    <w:rsid w:val="3E787ED9"/>
    <w:rsid w:val="3F032E93"/>
    <w:rsid w:val="3F0527E5"/>
    <w:rsid w:val="3F694D83"/>
    <w:rsid w:val="3F885DCC"/>
    <w:rsid w:val="3FCD675E"/>
    <w:rsid w:val="4004000C"/>
    <w:rsid w:val="411B6CE5"/>
    <w:rsid w:val="412070D7"/>
    <w:rsid w:val="41314E40"/>
    <w:rsid w:val="41E0734B"/>
    <w:rsid w:val="426C1EA8"/>
    <w:rsid w:val="42736402"/>
    <w:rsid w:val="42E86A87"/>
    <w:rsid w:val="43081BD1"/>
    <w:rsid w:val="43307B09"/>
    <w:rsid w:val="439A3EB9"/>
    <w:rsid w:val="43BB152F"/>
    <w:rsid w:val="44C37687"/>
    <w:rsid w:val="45CB699A"/>
    <w:rsid w:val="465B470D"/>
    <w:rsid w:val="469D6AD4"/>
    <w:rsid w:val="471E6C84"/>
    <w:rsid w:val="4748792B"/>
    <w:rsid w:val="475D719D"/>
    <w:rsid w:val="47674801"/>
    <w:rsid w:val="479C6D8B"/>
    <w:rsid w:val="48225EF7"/>
    <w:rsid w:val="488F422B"/>
    <w:rsid w:val="48E36915"/>
    <w:rsid w:val="48EB6572"/>
    <w:rsid w:val="495C4A24"/>
    <w:rsid w:val="497135DF"/>
    <w:rsid w:val="4A1946C3"/>
    <w:rsid w:val="4A263DF2"/>
    <w:rsid w:val="4A404CC8"/>
    <w:rsid w:val="4A6F6675"/>
    <w:rsid w:val="4B135857"/>
    <w:rsid w:val="4B7951CB"/>
    <w:rsid w:val="4B7C315C"/>
    <w:rsid w:val="4BBA3C84"/>
    <w:rsid w:val="4CF141CA"/>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9034623"/>
    <w:rsid w:val="5A3B59D6"/>
    <w:rsid w:val="5ACB37B8"/>
    <w:rsid w:val="5AD134D8"/>
    <w:rsid w:val="5C263CE4"/>
    <w:rsid w:val="5C5D2777"/>
    <w:rsid w:val="5CF66BF3"/>
    <w:rsid w:val="5D290C69"/>
    <w:rsid w:val="5E323B4E"/>
    <w:rsid w:val="5F2D4A41"/>
    <w:rsid w:val="60C74F6C"/>
    <w:rsid w:val="61025A59"/>
    <w:rsid w:val="613D5BBC"/>
    <w:rsid w:val="61536C39"/>
    <w:rsid w:val="6263077A"/>
    <w:rsid w:val="62944DD7"/>
    <w:rsid w:val="6319381F"/>
    <w:rsid w:val="63BB5ED9"/>
    <w:rsid w:val="63C25DC5"/>
    <w:rsid w:val="63C62057"/>
    <w:rsid w:val="64571EF5"/>
    <w:rsid w:val="64FB113D"/>
    <w:rsid w:val="656152C6"/>
    <w:rsid w:val="6587477F"/>
    <w:rsid w:val="658C3A08"/>
    <w:rsid w:val="65C031CA"/>
    <w:rsid w:val="65CE6852"/>
    <w:rsid w:val="66267C04"/>
    <w:rsid w:val="663F505A"/>
    <w:rsid w:val="66EE5541"/>
    <w:rsid w:val="674F37C1"/>
    <w:rsid w:val="67924660"/>
    <w:rsid w:val="68407834"/>
    <w:rsid w:val="6883293E"/>
    <w:rsid w:val="688412AD"/>
    <w:rsid w:val="68EB1B71"/>
    <w:rsid w:val="6AAD2300"/>
    <w:rsid w:val="6B474EF5"/>
    <w:rsid w:val="6C0A5AC5"/>
    <w:rsid w:val="6C560CAE"/>
    <w:rsid w:val="6C576495"/>
    <w:rsid w:val="6D903FF5"/>
    <w:rsid w:val="6DA955B8"/>
    <w:rsid w:val="6DCC005E"/>
    <w:rsid w:val="6DE346AB"/>
    <w:rsid w:val="6DE5391A"/>
    <w:rsid w:val="6EFD1324"/>
    <w:rsid w:val="6F5A53AC"/>
    <w:rsid w:val="6FAC003D"/>
    <w:rsid w:val="6FE55E12"/>
    <w:rsid w:val="6FFB2E76"/>
    <w:rsid w:val="708F6F7F"/>
    <w:rsid w:val="70A51A9A"/>
    <w:rsid w:val="70D94BD3"/>
    <w:rsid w:val="71C34D91"/>
    <w:rsid w:val="72DB435C"/>
    <w:rsid w:val="72E2613A"/>
    <w:rsid w:val="72F771F4"/>
    <w:rsid w:val="73934AD2"/>
    <w:rsid w:val="750837F0"/>
    <w:rsid w:val="754758CF"/>
    <w:rsid w:val="75A278F4"/>
    <w:rsid w:val="764F62AB"/>
    <w:rsid w:val="76516040"/>
    <w:rsid w:val="765C45EC"/>
    <w:rsid w:val="768A7619"/>
    <w:rsid w:val="772E1EBA"/>
    <w:rsid w:val="781926BC"/>
    <w:rsid w:val="796D60A4"/>
    <w:rsid w:val="79A031D5"/>
    <w:rsid w:val="7A1525F7"/>
    <w:rsid w:val="7A861B4D"/>
    <w:rsid w:val="7B420052"/>
    <w:rsid w:val="7BD06A28"/>
    <w:rsid w:val="7C3A7C0B"/>
    <w:rsid w:val="7C5248E4"/>
    <w:rsid w:val="7C566698"/>
    <w:rsid w:val="7C5866A3"/>
    <w:rsid w:val="7D7406BB"/>
    <w:rsid w:val="7DE94331"/>
    <w:rsid w:val="7F446A19"/>
    <w:rsid w:val="7F7452B9"/>
    <w:rsid w:val="7F8B7C1C"/>
    <w:rsid w:val="EBFBD3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eastAsia="方正仿宋_GBK"/>
      <w:sz w:val="32"/>
    </w:rPr>
  </w:style>
  <w:style w:type="paragraph" w:styleId="3">
    <w:name w:val="Normal Indent"/>
    <w:basedOn w:val="1"/>
    <w:next w:val="1"/>
    <w:unhideWhenUsed/>
    <w:qFormat/>
    <w:uiPriority w:val="99"/>
    <w:pPr>
      <w:ind w:firstLine="567"/>
    </w:pPr>
  </w:style>
  <w:style w:type="paragraph" w:styleId="4">
    <w:name w:val="annotation text"/>
    <w:basedOn w:val="1"/>
    <w:qFormat/>
    <w:uiPriority w:val="0"/>
  </w:style>
  <w:style w:type="paragraph" w:styleId="5">
    <w:name w:val="Balloon Text"/>
    <w:basedOn w:val="1"/>
    <w:link w:val="19"/>
    <w:qFormat/>
    <w:uiPriority w:val="0"/>
    <w:rPr>
      <w:sz w:val="18"/>
      <w:szCs w:val="18"/>
    </w:rPr>
  </w:style>
  <w:style w:type="paragraph" w:styleId="6">
    <w:name w:val="footer"/>
    <w:basedOn w:val="1"/>
    <w:link w:val="20"/>
    <w:qFormat/>
    <w:uiPriority w:val="99"/>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character" w:styleId="14">
    <w:name w:val="annotation reference"/>
    <w:basedOn w:val="12"/>
    <w:qFormat/>
    <w:uiPriority w:val="0"/>
    <w:rPr>
      <w:sz w:val="21"/>
      <w:szCs w:val="21"/>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字符"/>
    <w:basedOn w:val="12"/>
    <w:link w:val="5"/>
    <w:qFormat/>
    <w:uiPriority w:val="0"/>
    <w:rPr>
      <w:rFonts w:ascii="宋体" w:hAnsi="宋体"/>
      <w:sz w:val="18"/>
      <w:szCs w:val="18"/>
    </w:rPr>
  </w:style>
  <w:style w:type="character" w:customStyle="1" w:styleId="20">
    <w:name w:val="页脚 字符"/>
    <w:basedOn w:val="12"/>
    <w:link w:val="6"/>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8077</Words>
  <Characters>9564</Characters>
  <Lines>81</Lines>
  <Paragraphs>22</Paragraphs>
  <TotalTime>2</TotalTime>
  <ScaleCrop>false</ScaleCrop>
  <LinksUpToDate>false</LinksUpToDate>
  <CharactersWithSpaces>9631</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user</cp:lastModifiedBy>
  <dcterms:modified xsi:type="dcterms:W3CDTF">2025-10-22T10:26:13Z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BB46EABDBB2749749395447164B066B3_12</vt:lpwstr>
  </property>
</Properties>
</file>