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垫江县砚台镇人民政府</w:t>
      </w:r>
      <w:r>
        <w:rPr>
          <w:rFonts w:ascii="方正小标宋_GBK" w:hAnsi="方正小标宋_GBK" w:eastAsia="方正小标宋_GBK" w:cs="方正小标宋_GBK"/>
          <w:sz w:val="44"/>
          <w:szCs w:val="44"/>
          <w:shd w:val="clear" w:color="auto" w:fill="FFFFFF"/>
        </w:rPr>
        <w:t>2023年度决算</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420"/>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党委、政府综合办事机构10个。具体设置及主要</w:t>
      </w:r>
      <w:bookmarkStart w:id="0" w:name="_GoBack"/>
      <w:bookmarkEnd w:id="0"/>
      <w:r>
        <w:rPr>
          <w:rFonts w:ascii="方正仿宋_GBK" w:hAnsi="方正仿宋_GBK" w:eastAsia="方正仿宋_GBK" w:cs="方正仿宋_GBK"/>
          <w:sz w:val="32"/>
          <w:szCs w:val="32"/>
          <w:shd w:val="clear" w:color="auto" w:fill="FFFFFF"/>
        </w:rPr>
        <w:t>职责分别是：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党政办公室。负责纪检、武装、政务公开等工作。负责机关文秘、会务、档案、保密、后勤服务等工作。负责牵头协调办理人大代表和政协委员的议案、提案、建议、意见。完成党委、政府交办的其他工作。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党群工作办公室。负责党的建设、组织、宣传、统战、民宗侨台、机构编制、人事、绩效管理、群团、党务公开等相关工作。负责镇公共服务中心和村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便民服务中心的监督和管理等工作。完成党委、政府交办的其他工作。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人大办公室。负责镇人民代表大会、主席团履行法定职权的具体工作。组织人大代表视察、调研、评议等工作。完成党委、人大主席团交办的其他工作。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经济发展办公室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挂统计办公室、农村经营管理办公室、扶贫开发办公室牌子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。承担促进镇、村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济发展职责。负责拟订辖区经济发展整体规划并组织实施。负责农、林、牧、渔、工业、商贸物流、旅游等产业的规划与指导工作。负责农村市场、商业网点的规划和指导工作。负责招商引资、科技普及、统计与普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经济、人口、农业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办公室。贯彻财经方针政策，执行财政法规、财经制度。负责财政收支、预决算、总会计、惠农资金兑付、财政资金监督检查、绩效评价、农村财务管理等工作。负责机关财务管理、国有资产管理。负责机关、所属事业单位及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财务内部审计及其他专项审计等工作。完成党委、政府交办的其他工作。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民政和社会事务办公室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挂卫生健康办公室牌子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务公开相关工作。负责指导村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委员会基层民主政治建设、基层政权和社会建设。负责居委会、村委会民政工作人员和社会保障员的业务指导等工作。负责留守儿童和妇女、老人关爱服务等工作。完成党委、政府交办的其他工作。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7</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8</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9</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10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5个相当于行政正股级财政全额拨款公益一类事业单位。具体设置及主要职责分别是：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农业服务中心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宗旨：推广先进农业技术，促进农业发展。</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文化服务中心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宗旨：组织群众文化活动，繁荣文化旅游事业。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劳动就业和社会保障服务所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宗旨：为辖区劳动就业和社会保障提供服务。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退役军人服务站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宗旨：为退役军人提供服务。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主要职责：负责退役军人来访接待、政策咨询、就业指导、帮扶救助、权益保障、法制服务等工作。负责军队转业干部、复员干部、退役士兵</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士官</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和自主择业退役军人服务管理、待遇保障等工作。组织开展退役军人教育培训、优待抚恤等工作，负责拥军优属工作。负责烈士及退役军人荣誉奖励申报及开展纪念活动等工作。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综合行政执法大队</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宗旨：弘扬法治精神，建设法治政府、法治社会。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主要职责：负责配合综合行政执法办公室做好有关农林水利、规划建设、卫生健康、市容环卫、环境保护、文化旅游、民政管理、消防等方面的执法工作。</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Autospacing="0" w:after="0" w:afterAutospacing="0" w:line="594" w:lineRule="exact"/>
        <w:ind w:firstLine="420"/>
        <w:textAlignment w:val="auto"/>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党委、政府综合办事机构10个：党政办公室、党群工作办公室、人大办公室、经济发展办公室、财政办公室、民政和社会事务办公室、平安建设办公室、规划建设管理环保办公室、应急管理办公室、综合行政执法办公室；5个相当于行政正股级财政全额拨款公益一类事业单位：农业服务中心、文化服务中心、劳动就业和社会保障服务所、退役军人服务站、综合行政执法大队。</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部门决算情况说明</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Autospacing="0" w:line="594" w:lineRule="exact"/>
        <w:ind w:firstLine="642"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2023年度收入总计4237.97万元，支出总计</w:t>
      </w:r>
      <w:r>
        <w:rPr>
          <w:rFonts w:ascii="方正仿宋_GBK" w:hAnsi="方正仿宋_GBK" w:eastAsia="方正仿宋_GBK" w:cs="方正仿宋_GBK"/>
          <w:sz w:val="32"/>
          <w:szCs w:val="32"/>
        </w:rPr>
        <w:t>4237.97</w:t>
      </w:r>
      <w:r>
        <w:rPr>
          <w:rFonts w:ascii="方正仿宋_GBK" w:hAnsi="方正仿宋_GBK" w:eastAsia="方正仿宋_GBK" w:cs="方正仿宋_GBK"/>
          <w:sz w:val="32"/>
          <w:szCs w:val="32"/>
          <w:shd w:val="clear" w:color="auto" w:fill="FFFFFF"/>
        </w:rPr>
        <w:t>万元。收支较上年决算数增加1133.67万元，增长36.52%，主要原因是上年项目收支较少，本年度项目收支增多。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2023年度收入合计4199.45万元，较上年决算数增加1344.21万元，增长47.08%，主要原因是项目收入增多。其中：财政拨款收入</w:t>
      </w:r>
      <w:r>
        <w:rPr>
          <w:rFonts w:ascii="方正仿宋_GBK" w:hAnsi="方正仿宋_GBK" w:eastAsia="方正仿宋_GBK" w:cs="方正仿宋_GBK"/>
          <w:sz w:val="32"/>
          <w:szCs w:val="32"/>
        </w:rPr>
        <w:t>4199.45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4237.97</w:t>
      </w:r>
      <w:r>
        <w:rPr>
          <w:rFonts w:ascii="方正仿宋_GBK" w:hAnsi="方正仿宋_GBK" w:eastAsia="方正仿宋_GBK" w:cs="方正仿宋_GBK"/>
          <w:sz w:val="32"/>
          <w:szCs w:val="32"/>
          <w:shd w:val="clear" w:color="auto" w:fill="FFFFFF"/>
        </w:rPr>
        <w:t>万元，较上年决算数增加1133.67万元，增长36.52%，主要原因是项目支出增多。其中：基本支出</w:t>
      </w:r>
      <w:r>
        <w:rPr>
          <w:rFonts w:ascii="方正仿宋_GBK" w:hAnsi="方正仿宋_GBK" w:eastAsia="方正仿宋_GBK" w:cs="方正仿宋_GBK"/>
          <w:sz w:val="32"/>
          <w:szCs w:val="32"/>
        </w:rPr>
        <w:t>1907.56</w:t>
      </w:r>
      <w:r>
        <w:rPr>
          <w:rFonts w:ascii="方正仿宋_GBK" w:hAnsi="方正仿宋_GBK" w:eastAsia="方正仿宋_GBK" w:cs="方正仿宋_GBK"/>
          <w:sz w:val="32"/>
          <w:szCs w:val="32"/>
          <w:shd w:val="clear" w:color="auto" w:fill="FFFFFF"/>
        </w:rPr>
        <w:t>万元，占45.01%；项目支出</w:t>
      </w:r>
      <w:r>
        <w:rPr>
          <w:rFonts w:ascii="方正仿宋_GBK" w:hAnsi="方正仿宋_GBK" w:eastAsia="方正仿宋_GBK" w:cs="方正仿宋_GBK"/>
          <w:sz w:val="32"/>
          <w:szCs w:val="32"/>
        </w:rPr>
        <w:t>2330.41</w:t>
      </w:r>
      <w:r>
        <w:rPr>
          <w:rFonts w:ascii="方正仿宋_GBK" w:hAnsi="方正仿宋_GBK" w:eastAsia="方正仿宋_GBK" w:cs="方正仿宋_GBK"/>
          <w:sz w:val="32"/>
          <w:szCs w:val="32"/>
          <w:shd w:val="clear" w:color="auto" w:fill="FFFFFF"/>
        </w:rPr>
        <w:t>万元，占54.99%；经营支出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2023年度财政拨款收、支总计4237.97万元。与2022年相比，财政拨款收、支总计各增加1133.67万元，增长36.52%。主要原因是上年项目收支较少，本年度项目收支增多。</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3295.42</w:t>
      </w:r>
      <w:r>
        <w:rPr>
          <w:rFonts w:ascii="方正仿宋_GBK" w:hAnsi="方正仿宋_GBK" w:eastAsia="方正仿宋_GBK" w:cs="方正仿宋_GBK"/>
          <w:sz w:val="32"/>
          <w:szCs w:val="32"/>
          <w:shd w:val="clear" w:color="auto" w:fill="FFFFFF"/>
        </w:rPr>
        <w:t>万元，较上年决算数增加465.16万元，增长16.44%。主要原因是项目收入增多。较年初预算数增加1216.28万元，增长58.50%。主要原因是人员调资，目标考核调增。此外，年初财政拨款结转和结余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3333.94</w:t>
      </w:r>
      <w:r>
        <w:rPr>
          <w:rFonts w:ascii="方正仿宋_GBK" w:hAnsi="方正仿宋_GBK" w:eastAsia="方正仿宋_GBK" w:cs="方正仿宋_GBK"/>
          <w:sz w:val="32"/>
          <w:szCs w:val="32"/>
          <w:shd w:val="clear" w:color="auto" w:fill="FFFFFF"/>
        </w:rPr>
        <w:t>万元，较上年决算数增加254.61万元，增长8.27%。主要原因是项目支出增多。较年初预算数增加1254.80万元，增长60.35%。主要原因是人员调资，目标考核调增。</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1130.22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33.90</w:t>
      </w:r>
      <w:r>
        <w:rPr>
          <w:rFonts w:ascii="方正仿宋_GBK" w:hAnsi="方正仿宋_GBK" w:eastAsia="方正仿宋_GBK" w:cs="方正仿宋_GBK"/>
          <w:sz w:val="32"/>
          <w:szCs w:val="32"/>
          <w:shd w:val="clear" w:color="auto" w:fill="FFFFFF"/>
        </w:rPr>
        <w:t>%，较年初预算数增加410.97万元，增长57.14%，主要原因是人员工资性支出及办公支出增加。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%，较年初预算数增加15.10万元，增长100.00%，主要原因是聘请第三方公司专家服务费、劝导员巡逻员等工资性支出增加。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78.50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%，较年初预算数增加8.43万元，增长12.03%，主要原因是人员保险、基础绩效等工资性支出、办公支出增多。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402.49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12.07</w:t>
      </w:r>
      <w:r>
        <w:rPr>
          <w:rFonts w:ascii="方正仿宋_GBK" w:hAnsi="方正仿宋_GBK" w:eastAsia="方正仿宋_GBK" w:cs="方正仿宋_GBK"/>
          <w:sz w:val="32"/>
          <w:szCs w:val="32"/>
          <w:shd w:val="clear" w:color="auto" w:fill="FFFFFF"/>
        </w:rPr>
        <w:t>%，较年初预算数增加66.98万元，增长19.96%，主要原因是人员工资性支出及办公支出增加。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64.31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%，较年初预算数增加16.17万元，增长33.59%，主要原因是行政单位医疗支出增加。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210.80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6.32</w:t>
      </w:r>
      <w:r>
        <w:rPr>
          <w:rFonts w:ascii="方正仿宋_GBK" w:hAnsi="方正仿宋_GBK" w:eastAsia="方正仿宋_GBK" w:cs="方正仿宋_GBK"/>
          <w:sz w:val="32"/>
          <w:szCs w:val="32"/>
          <w:shd w:val="clear" w:color="auto" w:fill="FFFFFF"/>
        </w:rPr>
        <w:t>%，较年初预算数增加62.78万元，增长42.41%，主要原因是基础设施建设支出增加。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983.26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29.49</w:t>
      </w:r>
      <w:r>
        <w:rPr>
          <w:rFonts w:ascii="方正仿宋_GBK" w:hAnsi="方正仿宋_GBK" w:eastAsia="方正仿宋_GBK" w:cs="方正仿宋_GBK"/>
          <w:sz w:val="32"/>
          <w:szCs w:val="32"/>
          <w:shd w:val="clear" w:color="auto" w:fill="FFFFFF"/>
        </w:rPr>
        <w:t>%，较年初预算数增加350.90万元，增长55.49%，主要原因是一事一议、农村综合改革转移支付等项目支出增加。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288.33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8.65</w:t>
      </w:r>
      <w:r>
        <w:rPr>
          <w:rFonts w:ascii="方正仿宋_GBK" w:hAnsi="方正仿宋_GBK" w:eastAsia="方正仿宋_GBK" w:cs="方正仿宋_GBK"/>
          <w:sz w:val="32"/>
          <w:szCs w:val="32"/>
          <w:shd w:val="clear" w:color="auto" w:fill="FFFFFF"/>
        </w:rPr>
        <w:t>%，较年初预算数增加288.33万元，增长100.00%，主要原因是公路硬化工程支出、养护支出、环保费用、危桥支出增加。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45.20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%，较年初预算数无增减，主要原因是支持中小企业发展和管理支出增加。</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住房保障支出103.24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%，较年初预算数增加24.66万元，增长31.38%，主要原因是人员增加、住房公积金基数正常调增。</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灾害防治及应急管理支出12.50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%，较年初预算数增加10.50万元，增长525.00%，主要原因是冬春救助资金，搬迁安置补助等支出增加。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1907.56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1732.74</w:t>
      </w:r>
      <w:r>
        <w:rPr>
          <w:rFonts w:ascii="方正仿宋_GBK" w:hAnsi="方正仿宋_GBK" w:eastAsia="方正仿宋_GBK" w:cs="方正仿宋_GBK"/>
          <w:sz w:val="32"/>
          <w:szCs w:val="32"/>
          <w:shd w:val="clear" w:color="auto" w:fill="FFFFFF"/>
        </w:rPr>
        <w:t>万元，较上年决算数增加265.15万元，增长18.07%，主要原因是人员增多以及人员薪级晋升和晋级晋档等人员经费正常增加。人员经费用途主要包括基本工资、津贴补贴、奖金、社会保障缴费。公用经费</w:t>
      </w:r>
      <w:r>
        <w:rPr>
          <w:rFonts w:ascii="方正仿宋_GBK" w:hAnsi="方正仿宋_GBK" w:eastAsia="方正仿宋_GBK" w:cs="方正仿宋_GBK"/>
          <w:sz w:val="32"/>
          <w:szCs w:val="32"/>
        </w:rPr>
        <w:t>174.81</w:t>
      </w:r>
      <w:r>
        <w:rPr>
          <w:rFonts w:ascii="方正仿宋_GBK" w:hAnsi="方正仿宋_GBK" w:eastAsia="方正仿宋_GBK" w:cs="方正仿宋_GBK"/>
          <w:sz w:val="32"/>
          <w:szCs w:val="32"/>
          <w:shd w:val="clear" w:color="auto" w:fill="FFFFFF"/>
        </w:rPr>
        <w:t>万元，较上年决算数减少170.26万元，下降49.34%，主要原因是严控三公经费支出，坚决落实政府过紧日子的要求。公用经费用途主要包括办公费、印刷费、咨询费、手续费、车辆维修维护。</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万元，较上年决算数增加879.01万元，增长3518.86%，主要原因是国有土地使用权出让收入安排的支出、彩票公益金安排的支出都有所增加。本年支出</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万元，主要用途用于国有企业退休人员社会化管理补助经费。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较年初预算数增加2.33万元，增长77.67%，主要原因是公务接待、市政巡逻车的日常维护和消防车的运行、日常维护支出增加。较上年支出数减少6.74万元，下降55.84%，主要原因是严控三公经费支出，坚决落实政府过紧日子的要求。</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招商引资等。费用支出较年初预算数无增减，主要原因是本部门2023年度因公出国（境）经费与上年持平。较上年支出数无增减，主要原因是本部门2023年度因公出国（境）经费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因公出行、安全生产检查、招商引资、财政业务检查等工作所需公务车购置费用。费用支出较年初预算数无增减，主要原因是本部门2023年度公务车购置费与上年持平。较上年支出数无增减，主要原因是本部门2023年度公务车购置费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万元，主要用于因公出行、安全生产检查、招商引资、财政业务检查等工作所需车辆的燃料费、维修费、过桥过路费、保险费等。费用支出较年初预算数减少0.05万元，下降5.00%，主要原因是因公出行、安全生产检查、招商引资、财政业务检查等工作所需车辆的燃料费、维修费、过桥过路费、保险费支出减少。较上年支出数减少6.53万元，下降87.30%，主要原因是因公出行、安全生产检查、招商引资、财政业务检查等工作所需车辆的燃料费、维修费、过桥过路费、保险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4.38</w:t>
      </w:r>
      <w:r>
        <w:rPr>
          <w:rFonts w:ascii="方正仿宋_GBK" w:hAnsi="方正仿宋_GBK" w:eastAsia="方正仿宋_GBK" w:cs="方正仿宋_GBK"/>
          <w:sz w:val="32"/>
          <w:szCs w:val="32"/>
          <w:shd w:val="clear" w:color="auto" w:fill="FFFFFF"/>
        </w:rPr>
        <w:t>万元，主要用于接待上级各部门到我单位学习、调研工作，接受相关部门检查指导工作以及招商引资发生的接待支出。费用支出较年初预算数增加2.38万元，增长119.00%，主要原因是招商引资力度加大。较上年支出数减少0.21万元，下降4.58%，主要原因是接待次数、标准等有所下降。</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190.57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Style w:val="10"/>
          <w:rFonts w:hint="default" w:ascii="方正仿宋_GBK" w:hAnsi="方正仿宋_GBK" w:eastAsia="方正仿宋_GBK" w:cs="方正仿宋_GBK"/>
          <w:b w:val="0"/>
          <w:bCs w:val="0"/>
          <w:sz w:val="32"/>
          <w:szCs w:val="32"/>
          <w:shd w:val="clear" w:color="auto" w:fill="FFFFFF"/>
        </w:rPr>
      </w:pPr>
      <w:r>
        <w:rPr>
          <w:rStyle w:val="10"/>
          <w:rFonts w:ascii="黑体" w:hAnsi="黑体" w:eastAsia="黑体" w:cs="黑体"/>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万元，较上年决算数减少1.14万元，下降20.96%，主要原因是本年度减少会议费开支。本年度培训费支出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万元，较上年决算数减少0.36万元，下降57.14%，主要原因是本年度减少培训费开支。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万元，机关运行经费主要用于开支基本工资、津贴补贴、奖金、社会保障缴费及基本运转机关运行经费。机关运行经费较上年支出数减少184.98万元，下降60.17%，主要原因是除人员经费外，控制公用经费开支。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%。2023年度我部门未发生政府采购事项，无相关经费支出。</w:t>
      </w:r>
    </w:p>
    <w:p>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ind w:firstLine="640" w:firstLineChars="200"/>
        <w:textAlignment w:val="auto"/>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根据预算绩效管理要求，我部门对部门整体和66个二级项目开展了绩效自评，涉及财政拨款项目支出资金2335.13万元。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1" w:type="dxa"/>
            <w:tcBorders>
              <w:top w:val="nil"/>
              <w:left w:val="nil"/>
              <w:bottom w:val="nil"/>
              <w:right w:val="nil"/>
            </w:tcBorders>
          </w:tcPr>
          <w:tbl>
            <w:tblPr>
              <w:tblStyle w:val="7"/>
              <w:tblW w:w="8310" w:type="dxa"/>
              <w:tblInd w:w="0" w:type="dxa"/>
              <w:tblLayout w:type="fixed"/>
              <w:tblCellMar>
                <w:top w:w="0" w:type="dxa"/>
                <w:left w:w="108" w:type="dxa"/>
                <w:bottom w:w="0" w:type="dxa"/>
                <w:right w:w="108" w:type="dxa"/>
              </w:tblCellMar>
            </w:tblPr>
            <w:tblGrid>
              <w:gridCol w:w="1563"/>
              <w:gridCol w:w="746"/>
              <w:gridCol w:w="737"/>
              <w:gridCol w:w="739"/>
              <w:gridCol w:w="694"/>
              <w:gridCol w:w="621"/>
              <w:gridCol w:w="703"/>
              <w:gridCol w:w="700"/>
              <w:gridCol w:w="516"/>
              <w:gridCol w:w="665"/>
              <w:gridCol w:w="626"/>
            </w:tblGrid>
            <w:tr>
              <w:tblPrEx>
                <w:tblCellMar>
                  <w:top w:w="0" w:type="dxa"/>
                  <w:left w:w="108" w:type="dxa"/>
                  <w:bottom w:w="0" w:type="dxa"/>
                  <w:right w:w="108" w:type="dxa"/>
                </w:tblCellMar>
              </w:tblPrEx>
              <w:trPr>
                <w:trHeight w:val="619"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40"/>
                      <w:szCs w:val="40"/>
                    </w:rPr>
                  </w:pPr>
                  <w:r>
                    <w:rPr>
                      <w:rFonts w:hint="eastAsia" w:ascii="方正仿宋_GBK" w:hAnsi="方正仿宋_GBK" w:eastAsia="方正仿宋_GBK" w:cs="方正仿宋_GBK"/>
                      <w:b/>
                      <w:bCs/>
                      <w:color w:val="000000"/>
                      <w:sz w:val="40"/>
                      <w:szCs w:val="40"/>
                      <w:lang w:bidi="ar"/>
                    </w:rPr>
                    <w:t>2023年度部门整体绩效自评表</w:t>
                  </w:r>
                </w:p>
              </w:tc>
            </w:tr>
            <w:tr>
              <w:tblPrEx>
                <w:tblCellMar>
                  <w:top w:w="0" w:type="dxa"/>
                  <w:left w:w="108" w:type="dxa"/>
                  <w:bottom w:w="0" w:type="dxa"/>
                  <w:right w:w="108" w:type="dxa"/>
                </w:tblCellMar>
              </w:tblPrEx>
              <w:trPr>
                <w:trHeight w:val="5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b/>
                      <w:bCs/>
                      <w:color w:val="DA3232"/>
                      <w:sz w:val="22"/>
                      <w:szCs w:val="22"/>
                    </w:rPr>
                  </w:pPr>
                  <w:r>
                    <w:rPr>
                      <w:rFonts w:hint="eastAsia" w:ascii="方正仿宋_GBK" w:hAnsi="方正仿宋_GBK" w:eastAsia="方正仿宋_GBK" w:cs="方正仿宋_GBK"/>
                      <w:b/>
                      <w:bCs/>
                      <w:color w:val="DA3232"/>
                      <w:sz w:val="22"/>
                      <w:szCs w:val="22"/>
                      <w:lang w:bidi="ar"/>
                    </w:rPr>
                    <w:t>状态：绩效审核已审</w:t>
                  </w:r>
                </w:p>
              </w:tc>
            </w:tr>
            <w:tr>
              <w:tblPrEx>
                <w:tblCellMar>
                  <w:top w:w="0" w:type="dxa"/>
                  <w:left w:w="108" w:type="dxa"/>
                  <w:bottom w:w="0" w:type="dxa"/>
                  <w:right w:w="108" w:type="dxa"/>
                </w:tblCellMar>
              </w:tblPrEx>
              <w:trPr>
                <w:trHeight w:val="1478"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项目名称：</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垫江县砚台镇人民政府整体监控</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项目编码：</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50023100023P000079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自评总分：</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方正仿宋_GBK" w:hAnsi="方正仿宋_GBK" w:eastAsia="方正仿宋_GBK" w:cs="方正仿宋_GBK"/>
                      <w:b/>
                      <w:bCs/>
                      <w:color w:val="000000"/>
                      <w:sz w:val="22"/>
                      <w:szCs w:val="22"/>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1496"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项目主管部门：</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719-垫江县砚台镇人民政府</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财政归口处室：</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014-会计管理核算中心</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部门联系人：</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汪兴东</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联系电话：</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sz w:val="22"/>
                      <w:szCs w:val="22"/>
                      <w:lang w:val="en-US" w:eastAsia="zh-CN" w:bidi="ar"/>
                    </w:rPr>
                    <w:t>023-74588755</w:t>
                  </w:r>
                </w:p>
              </w:tc>
            </w:tr>
            <w:tr>
              <w:tblPrEx>
                <w:tblCellMar>
                  <w:top w:w="0" w:type="dxa"/>
                  <w:left w:w="108" w:type="dxa"/>
                  <w:bottom w:w="0" w:type="dxa"/>
                  <w:right w:w="108"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2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年初预算数</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全年（调整）预算数</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全年执行数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执行率权重</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年度总金额</w:t>
                  </w:r>
                </w:p>
              </w:tc>
              <w:tc>
                <w:tcPr>
                  <w:tcW w:w="74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23,693,809.14 </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42,379,673.33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42,379,673.33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其中：财政拨款</w:t>
                  </w:r>
                </w:p>
              </w:tc>
              <w:tc>
                <w:tcPr>
                  <w:tcW w:w="74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23,693,809.14 </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42,379,673.33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42,379,673.33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w:t>
                  </w:r>
                </w:p>
              </w:tc>
              <w:tc>
                <w:tcPr>
                  <w:tcW w:w="74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22,142,475.14 </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33,339,369.83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33,339,369.83 </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37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年初绩效目标</w:t>
                  </w:r>
                </w:p>
              </w:tc>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全年（调整）绩效目标</w:t>
                  </w: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378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垫江县砚台镇人民政府2023年认真贯彻落实县委县政府的相关政策，廖伦中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方正仿宋_GBK" w:hAnsi="方正仿宋_GBK" w:eastAsia="方正仿宋_GBK" w:cs="方正仿宋_GBK"/>
                      <w:color w:val="000000"/>
                      <w:sz w:val="22"/>
                      <w:szCs w:val="22"/>
                    </w:rPr>
                  </w:pP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垫江县砚台镇人民政府2023年认真贯彻落实县委县政府的相关政策，廖伦中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r>
            <w:tr>
              <w:tblPrEx>
                <w:tblCellMar>
                  <w:top w:w="0" w:type="dxa"/>
                  <w:left w:w="108" w:type="dxa"/>
                  <w:bottom w:w="0" w:type="dxa"/>
                  <w:right w:w="108" w:type="dxa"/>
                </w:tblCellMar>
              </w:tblPrEx>
              <w:trPr>
                <w:trHeight w:val="600" w:hRule="atLeast"/>
              </w:trPr>
              <w:tc>
                <w:tcPr>
                  <w:tcW w:w="831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绩效指标</w:t>
                  </w:r>
                </w:p>
              </w:tc>
            </w:tr>
            <w:tr>
              <w:tblPrEx>
                <w:tblCellMar>
                  <w:top w:w="0" w:type="dxa"/>
                  <w:left w:w="108" w:type="dxa"/>
                  <w:bottom w:w="0" w:type="dxa"/>
                  <w:right w:w="108" w:type="dxa"/>
                </w:tblCellMar>
              </w:tblPrEx>
              <w:trPr>
                <w:trHeight w:val="145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指标名称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计量单位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指标性质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全年完成值</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偏离度（%）</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得分系数（%）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指标权重</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指标得分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是否核心指标</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城区绿化面积</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平方米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6000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6000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党建培训人次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1230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1230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到市、进京非访、集访次数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较大森林火险发生次数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生活垃圾处理量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吨</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5500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5500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优抚、民政、计生等困难群众补助人数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882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882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重大安全事故发生次数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农村卫生厕所改厕覆盖率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80.55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80.55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辖区农民人均纯收入增长量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12.6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12.6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一般公共预算收入完成率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全年预算支出执行率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三季度预算执行进度</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预决算按时公开率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社区网格员覆盖率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辖区河道水质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类</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应公开的政务信息公开率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征兵完成率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9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辖区群众满意度</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r>
                    <w:rPr>
                      <w:rFonts w:hint="eastAsia" w:ascii="方正仿宋_GBK" w:hAnsi="方正仿宋_GBK" w:eastAsia="方正仿宋_GBK" w:cs="方正仿宋_GBK"/>
                      <w:color w:val="000000"/>
                      <w:sz w:val="22"/>
                      <w:szCs w:val="22"/>
                      <w:lang w:val="en-US" w:eastAsia="zh-CN" w:bidi="ar"/>
                    </w:rPr>
                    <w:t>0</w:t>
                  </w:r>
                  <w:r>
                    <w:rPr>
                      <w:rFonts w:hint="eastAsia" w:ascii="方正仿宋_GBK" w:hAnsi="方正仿宋_GBK" w:eastAsia="方正仿宋_GBK" w:cs="方正仿宋_GBK"/>
                      <w:color w:val="000000"/>
                      <w:sz w:val="22"/>
                      <w:szCs w:val="22"/>
                      <w:lang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辖区干部满意率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bl>
          <w:p>
            <w:pPr>
              <w:pStyle w:val="12"/>
              <w:widowControl w:val="0"/>
              <w:autoSpaceDE w:val="0"/>
              <w:spacing w:before="0" w:beforeAutospacing="0" w:line="600" w:lineRule="exact"/>
              <w:jc w:val="both"/>
              <w:rPr>
                <w:rFonts w:hint="eastAsia" w:ascii="方正仿宋_GBK" w:hAnsi="方正仿宋_GBK" w:eastAsia="方正仿宋_GBK" w:cs="方正仿宋_GBK"/>
                <w:sz w:val="28"/>
                <w:szCs w:val="28"/>
                <w:shd w:val="clear" w:color="auto" w:fill="FFFFFF"/>
                <w:lang w:bidi="ar"/>
              </w:rPr>
            </w:pPr>
          </w:p>
        </w:tc>
      </w:tr>
    </w:tbl>
    <w:tbl>
      <w:tblPr>
        <w:tblStyle w:val="7"/>
        <w:tblpPr w:leftFromText="180" w:rightFromText="180" w:vertAnchor="text" w:horzAnchor="page" w:tblpX="1571" w:tblpY="186"/>
        <w:tblOverlap w:val="never"/>
        <w:tblW w:w="9018" w:type="dxa"/>
        <w:tblInd w:w="0" w:type="dxa"/>
        <w:tblLayout w:type="autofit"/>
        <w:tblCellMar>
          <w:top w:w="0" w:type="dxa"/>
          <w:left w:w="108" w:type="dxa"/>
          <w:bottom w:w="0" w:type="dxa"/>
          <w:right w:w="108" w:type="dxa"/>
        </w:tblCellMar>
      </w:tblPr>
      <w:tblGrid>
        <w:gridCol w:w="758"/>
        <w:gridCol w:w="800"/>
        <w:gridCol w:w="800"/>
        <w:gridCol w:w="759"/>
        <w:gridCol w:w="1104"/>
        <w:gridCol w:w="1183"/>
        <w:gridCol w:w="721"/>
        <w:gridCol w:w="582"/>
        <w:gridCol w:w="582"/>
        <w:gridCol w:w="682"/>
        <w:gridCol w:w="1268"/>
      </w:tblGrid>
      <w:tr>
        <w:tblPrEx>
          <w:tblCellMar>
            <w:top w:w="0" w:type="dxa"/>
            <w:left w:w="108" w:type="dxa"/>
            <w:bottom w:w="0" w:type="dxa"/>
            <w:right w:w="108" w:type="dxa"/>
          </w:tblCellMar>
        </w:tblPrEx>
        <w:trPr>
          <w:trHeight w:val="8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40"/>
                <w:szCs w:val="40"/>
              </w:rPr>
            </w:pPr>
            <w:r>
              <w:rPr>
                <w:rFonts w:hint="eastAsia" w:ascii="方正仿宋_GBK" w:hAnsi="方正仿宋_GBK" w:eastAsia="方正仿宋_GBK" w:cs="方正仿宋_GBK"/>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b/>
                <w:bCs/>
                <w:color w:val="DA3232"/>
                <w:sz w:val="22"/>
                <w:szCs w:val="22"/>
              </w:rPr>
            </w:pPr>
            <w:r>
              <w:rPr>
                <w:rFonts w:hint="eastAsia" w:ascii="方正仿宋_GBK" w:hAnsi="方正仿宋_GBK" w:eastAsia="方正仿宋_GBK" w:cs="方正仿宋_GBK"/>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项目名称：</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村（社区）便民服务中心建设经费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项目编码：</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50023122T000000118203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自评总分：</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项目主管部门：</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719-垫江县砚台镇人民政府</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财政归口处室：</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014-会计管理核算中心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部门联系人：</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刘军</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联系电话：</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bidi="ar"/>
              </w:rPr>
              <w:t>023-74588755</w:t>
            </w:r>
          </w:p>
        </w:tc>
      </w:tr>
      <w:tr>
        <w:tblPrEx>
          <w:tblCellMar>
            <w:top w:w="0" w:type="dxa"/>
            <w:left w:w="108" w:type="dxa"/>
            <w:bottom w:w="0" w:type="dxa"/>
            <w:right w:w="108" w:type="dxa"/>
          </w:tblCellMar>
        </w:tblPrEx>
        <w:trPr>
          <w:trHeight w:val="6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年初预算数</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全年（调整）预算数</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全年执行数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执行率权重</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年度总金额</w:t>
            </w:r>
          </w:p>
        </w:tc>
        <w:tc>
          <w:tcPr>
            <w:tcW w:w="949"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94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898"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50,000.00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50,000.00 </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其中：财政拨款</w:t>
            </w:r>
          </w:p>
        </w:tc>
        <w:tc>
          <w:tcPr>
            <w:tcW w:w="949"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94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898"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50,000.00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50,000.00 </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w:t>
            </w:r>
          </w:p>
        </w:tc>
        <w:tc>
          <w:tcPr>
            <w:tcW w:w="949"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94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898"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50,000.00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50,000.00 </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6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绩效目标</w:t>
            </w:r>
          </w:p>
        </w:tc>
      </w:tr>
      <w:tr>
        <w:tblPrEx>
          <w:tblCellMar>
            <w:top w:w="0" w:type="dxa"/>
            <w:left w:w="108" w:type="dxa"/>
            <w:bottom w:w="0" w:type="dxa"/>
            <w:right w:w="108" w:type="dxa"/>
          </w:tblCellMar>
        </w:tblPrEx>
        <w:trPr>
          <w:trHeight w:val="1523" w:hRule="atLeast"/>
        </w:trPr>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年初绩效目标</w:t>
            </w:r>
          </w:p>
        </w:tc>
        <w:tc>
          <w:tcPr>
            <w:tcW w:w="2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全年（调整）绩效目标</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全年目标实际完成情况</w:t>
            </w:r>
          </w:p>
        </w:tc>
      </w:tr>
      <w:tr>
        <w:tblPrEx>
          <w:tblCellMar>
            <w:top w:w="0" w:type="dxa"/>
            <w:left w:w="108" w:type="dxa"/>
            <w:bottom w:w="0" w:type="dxa"/>
            <w:right w:w="108" w:type="dxa"/>
          </w:tblCellMar>
        </w:tblPrEx>
        <w:trPr>
          <w:trHeight w:val="1799" w:hRule="atLeast"/>
        </w:trPr>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做好村（社区）便民服务中心建设</w:t>
            </w:r>
          </w:p>
        </w:tc>
        <w:tc>
          <w:tcPr>
            <w:tcW w:w="291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做好村（社区）便民服务中心建设</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做好村（社区）便民服务中心建设</w:t>
            </w:r>
          </w:p>
        </w:tc>
      </w:tr>
      <w:tr>
        <w:tblPrEx>
          <w:tblCellMar>
            <w:top w:w="0" w:type="dxa"/>
            <w:left w:w="108" w:type="dxa"/>
            <w:bottom w:w="0" w:type="dxa"/>
            <w:right w:w="108" w:type="dxa"/>
          </w:tblCellMar>
        </w:tblPrEx>
        <w:trPr>
          <w:trHeight w:val="6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指标名称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计量单位</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全年完成值</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得分系数（%）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指标权重</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是否核心指标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村（社区）数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出现问题数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未出现较大问题</w:t>
            </w: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资金及时支付率</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社会效益</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定性</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良好</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服务对象满意度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line="300" w:lineRule="exact"/>
        <w:textAlignment w:val="auto"/>
        <w:rPr>
          <w:rFonts w:hint="eastAsia" w:ascii="方正仿宋_GBK" w:hAnsi="方正仿宋_GBK" w:eastAsia="方正仿宋_GBK" w:cs="方正仿宋_GBK"/>
          <w:sz w:val="28"/>
          <w:szCs w:val="28"/>
          <w:shd w:val="clear" w:color="auto" w:fill="FFFFFF"/>
          <w:lang w:bidi="ar"/>
        </w:rPr>
      </w:pPr>
    </w:p>
    <w:tbl>
      <w:tblPr>
        <w:tblStyle w:val="7"/>
        <w:tblpPr w:leftFromText="180" w:rightFromText="180" w:vertAnchor="text" w:horzAnchor="page" w:tblpX="1571" w:tblpY="465"/>
        <w:tblOverlap w:val="never"/>
        <w:tblW w:w="9239" w:type="dxa"/>
        <w:tblInd w:w="0" w:type="dxa"/>
        <w:tblLayout w:type="autofit"/>
        <w:tblCellMar>
          <w:top w:w="0" w:type="dxa"/>
          <w:left w:w="108" w:type="dxa"/>
          <w:bottom w:w="0" w:type="dxa"/>
          <w:right w:w="108" w:type="dxa"/>
        </w:tblCellMar>
      </w:tblPr>
      <w:tblGrid>
        <w:gridCol w:w="614"/>
        <w:gridCol w:w="630"/>
        <w:gridCol w:w="630"/>
        <w:gridCol w:w="673"/>
        <w:gridCol w:w="1069"/>
        <w:gridCol w:w="1461"/>
        <w:gridCol w:w="780"/>
        <w:gridCol w:w="731"/>
        <w:gridCol w:w="585"/>
        <w:gridCol w:w="659"/>
        <w:gridCol w:w="1407"/>
      </w:tblGrid>
      <w:tr>
        <w:tblPrEx>
          <w:tblCellMar>
            <w:top w:w="0" w:type="dxa"/>
            <w:left w:w="108" w:type="dxa"/>
            <w:bottom w:w="0" w:type="dxa"/>
            <w:right w:w="108" w:type="dxa"/>
          </w:tblCellMar>
        </w:tblPrEx>
        <w:trPr>
          <w:trHeight w:val="8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40"/>
                <w:szCs w:val="40"/>
              </w:rPr>
            </w:pPr>
            <w:r>
              <w:rPr>
                <w:rFonts w:hint="eastAsia" w:ascii="方正仿宋_GBK" w:hAnsi="方正仿宋_GBK" w:eastAsia="方正仿宋_GBK" w:cs="方正仿宋_GBK"/>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b/>
                <w:bCs/>
                <w:color w:val="DA3232"/>
                <w:sz w:val="22"/>
                <w:szCs w:val="22"/>
              </w:rPr>
            </w:pPr>
            <w:r>
              <w:rPr>
                <w:rFonts w:hint="eastAsia" w:ascii="方正仿宋_GBK" w:hAnsi="方正仿宋_GBK" w:eastAsia="方正仿宋_GBK" w:cs="方正仿宋_GBK"/>
                <w:b/>
                <w:bCs/>
                <w:color w:val="DA3232"/>
                <w:sz w:val="22"/>
                <w:szCs w:val="22"/>
                <w:lang w:bidi="ar"/>
              </w:rPr>
              <w:t>状态：绩效审核已审</w:t>
            </w:r>
          </w:p>
        </w:tc>
      </w:tr>
      <w:tr>
        <w:tblPrEx>
          <w:tblCellMar>
            <w:top w:w="0" w:type="dxa"/>
            <w:left w:w="108" w:type="dxa"/>
            <w:bottom w:w="0" w:type="dxa"/>
            <w:right w:w="108" w:type="dxa"/>
          </w:tblCellMar>
        </w:tblPrEx>
        <w:trPr>
          <w:trHeight w:val="1383"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项目名称：</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公共图书馆、美术馆、文化馆（站）免费开发补助资金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项目编码：</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50023122T000002041093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自评总分：</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162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项目主管部门：</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719-垫江县砚台镇人民政府</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财政归口处室：</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014-会计管理核算中心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部门联系人：</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孙灵艳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联系电话：</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bidi="ar"/>
              </w:rPr>
              <w:t>023-74588755</w:t>
            </w:r>
          </w:p>
        </w:tc>
      </w:tr>
      <w:tr>
        <w:tblPrEx>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年初预算数</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全年（调整）预算数</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全年执行数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执行率权重</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年度总金额</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30,000.00 </w:t>
            </w:r>
          </w:p>
        </w:tc>
        <w:tc>
          <w:tcPr>
            <w:tcW w:w="105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4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21,200.00 </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21,200.00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其中：财政拨款</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30,000.00 </w:t>
            </w:r>
          </w:p>
        </w:tc>
        <w:tc>
          <w:tcPr>
            <w:tcW w:w="105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4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21,200.00 </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21,200.00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30,000.00 </w:t>
            </w:r>
          </w:p>
        </w:tc>
        <w:tc>
          <w:tcPr>
            <w:tcW w:w="105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4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21,200.00 </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21,200.00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_GBK" w:hAnsi="方正仿宋_GBK" w:eastAsia="方正仿宋_GBK" w:cs="方正仿宋_GBK"/>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2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年初绩效目标</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全年（调整）绩效目标</w:t>
            </w:r>
          </w:p>
        </w:tc>
        <w:tc>
          <w:tcPr>
            <w:tcW w:w="26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259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做好免费开放工作</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做好免费开放工作</w:t>
            </w:r>
          </w:p>
        </w:tc>
        <w:tc>
          <w:tcPr>
            <w:tcW w:w="2623"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做好免费开放工作</w:t>
            </w:r>
          </w:p>
        </w:tc>
      </w:tr>
      <w:tr>
        <w:tblPrEx>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指标名称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计量单位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指标性质</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全年完成值</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偏离度（%）</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得分系数（%）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指标权重</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是否核心指标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说明</w:t>
            </w:r>
          </w:p>
        </w:tc>
      </w:tr>
      <w:tr>
        <w:tblPrEx>
          <w:tblCellMar>
            <w:top w:w="0" w:type="dxa"/>
            <w:left w:w="108" w:type="dxa"/>
            <w:bottom w:w="0" w:type="dxa"/>
            <w:right w:w="108" w:type="dxa"/>
          </w:tblCellMar>
        </w:tblPrEx>
        <w:trPr>
          <w:trHeight w:val="227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涉及村（社区）数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225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出现大的问题数</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未出现较大问题</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资金及时支付率</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94" w:lineRule="exact"/>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社会效益</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定性</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良好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服务对象满意度</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r>
    </w:tbl>
    <w:p>
      <w:pPr>
        <w:pStyle w:val="11"/>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eastAsia="zh-CN" w:bidi="ar"/>
        </w:rPr>
        <w:t>（二）</w:t>
      </w:r>
      <w:r>
        <w:rPr>
          <w:rFonts w:hint="eastAsia" w:ascii="方正楷体_GBK" w:hAnsi="方正楷体_GBK" w:eastAsia="方正楷体_GBK" w:cs="方正楷体_GBK"/>
          <w:b w:val="0"/>
          <w:bCs w:val="0"/>
          <w:sz w:val="32"/>
          <w:szCs w:val="32"/>
          <w:shd w:val="clear" w:color="auto" w:fill="FFFFFF"/>
          <w:lang w:bidi="ar"/>
        </w:rPr>
        <w:t>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320" w:firstLineChars="100"/>
        <w:textAlignment w:val="auto"/>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320" w:firstLineChars="100"/>
        <w:textAlignment w:val="auto"/>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0"/>
          <w:rFonts w:hint="default" w:ascii="方正仿宋_GBK" w:hAnsi="方正仿宋_GBK" w:eastAsia="方正仿宋_GBK" w:cs="方正仿宋_GBK"/>
          <w:b w:val="0"/>
          <w:bCs w:val="0"/>
          <w:sz w:val="32"/>
          <w:szCs w:val="32"/>
          <w:shd w:val="clear" w:color="auto" w:fill="FFFFFF"/>
        </w:rPr>
      </w:pPr>
      <w:r>
        <w:rPr>
          <w:rStyle w:val="10"/>
          <w:rFonts w:ascii="方正仿宋_GBK" w:hAnsi="方正仿宋_GBK" w:eastAsia="方正仿宋_GBK" w:cs="方正仿宋_GBK"/>
          <w:b w:val="0"/>
          <w:bCs w:val="0"/>
          <w:sz w:val="32"/>
          <w:szCs w:val="32"/>
          <w:shd w:val="clear" w:color="auto" w:fill="FFFFFF"/>
        </w:rPr>
        <w:t xml:space="preserve">  </w:t>
      </w:r>
      <w:r>
        <w:rPr>
          <w:rStyle w:val="10"/>
          <w:rFonts w:ascii="黑体" w:hAnsi="黑体" w:eastAsia="黑体" w:cs="黑体"/>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val="0"/>
          <w:bCs w:val="0"/>
          <w:sz w:val="32"/>
          <w:szCs w:val="32"/>
          <w:shd w:val="clear" w:color="auto" w:fill="FFFFFF"/>
          <w:lang w:bidi="ar"/>
        </w:rPr>
        <w:t> </w:t>
      </w:r>
      <w:r>
        <w:rPr>
          <w:rFonts w:ascii="楷体" w:hAnsi="楷体" w:eastAsia="楷体" w:cs="楷体"/>
          <w:b w:val="0"/>
          <w:bCs w:val="0"/>
          <w:sz w:val="32"/>
          <w:szCs w:val="32"/>
          <w:shd w:val="clear" w:color="auto" w:fill="FFFFFF"/>
          <w:lang w:bidi="ar"/>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w:t>
      </w:r>
      <w:r>
        <w:rPr>
          <w:rFonts w:ascii="方正仿宋_GBK" w:hAnsi="方正仿宋_GBK" w:eastAsia="方正仿宋_GBK" w:cs="方正仿宋_GBK"/>
          <w:sz w:val="32"/>
          <w:szCs w:val="32"/>
          <w:shd w:val="clear" w:color="auto" w:fill="FFFFFF"/>
        </w:rPr>
        <w:t>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（二）事业收入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（三）经营收入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（四）其他收入</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为保障行政单位（含参照公务员法</w:t>
      </w:r>
      <w:r>
        <w:rPr>
          <w:rFonts w:ascii="方正仿宋_GBK" w:hAnsi="方正仿宋_GBK" w:eastAsia="方正仿宋_GBK" w:cs="方正仿宋_GBK"/>
          <w:sz w:val="32"/>
          <w:szCs w:val="32"/>
          <w:shd w:val="clear" w:color="auto" w:fill="FFFFFF"/>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w:t>
      </w:r>
      <w:r>
        <w:rPr>
          <w:rFonts w:ascii="方正仿宋_GBK" w:hAnsi="方正仿宋_GBK" w:eastAsia="方正仿宋_GBK" w:cs="方正仿宋_GBK"/>
          <w:sz w:val="32"/>
          <w:szCs w:val="32"/>
          <w:shd w:val="clear" w:color="auto" w:fill="FFFFFF"/>
        </w:rPr>
        <w:t>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w:t>
      </w:r>
      <w:r>
        <w:rPr>
          <w:rFonts w:ascii="方正仿宋_GBK" w:hAnsi="方正仿宋_GBK" w:eastAsia="方正仿宋_GBK" w:cs="方正仿宋_GBK"/>
          <w:sz w:val="32"/>
          <w:szCs w:val="32"/>
          <w:shd w:val="clear" w:color="auto" w:fill="FFFFFF"/>
        </w:rPr>
        <w:t>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b w:val="0"/>
          <w:bCs/>
          <w:sz w:val="32"/>
          <w:szCs w:val="32"/>
          <w:shd w:val="clear" w:color="auto" w:fill="FFFFFF"/>
        </w:rPr>
        <w:t> （十六）对个人和家庭的补助（支出经济分类科目类级）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w:t>
      </w:r>
      <w:r>
        <w:rPr>
          <w:rFonts w:ascii="方正仿宋_GBK" w:hAnsi="方正仿宋_GBK" w:eastAsia="方正仿宋_GBK" w:cs="方正仿宋_GBK"/>
          <w:sz w:val="32"/>
          <w:szCs w:val="32"/>
          <w:shd w:val="clear" w:color="auto" w:fill="FFFFFF"/>
        </w:rPr>
        <w:t>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0" w:firstLineChars="200"/>
        <w:textAlignment w:val="auto"/>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本部门决算公开信息反馈和联系方式：</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0" w:firstLineChars="200"/>
        <w:textAlignment w:val="auto"/>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包老师023-74588755</w:t>
      </w:r>
    </w:p>
    <w:p>
      <w:pPr>
        <w:pStyle w:val="11"/>
        <w:keepNext w:val="0"/>
        <w:keepLines w:val="0"/>
        <w:pageBreakBefore w:val="0"/>
        <w:widowControl/>
        <w:kinsoku/>
        <w:wordWrap/>
        <w:overflowPunct/>
        <w:topLinePunct w:val="0"/>
        <w:autoSpaceDE w:val="0"/>
        <w:autoSpaceDN/>
        <w:bidi w:val="0"/>
        <w:adjustRightInd/>
        <w:snapToGrid/>
        <w:ind w:firstLine="642"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eastAsia" w:ascii="方正仿宋_GBK" w:hAnsi="方正仿宋_GBK" w:eastAsia="方正仿宋_GBK" w:cs="方正仿宋_GBK"/>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rPr>
              <w:t>公开部门：垫江县砚台镇人民政府</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3,295.42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78.50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402.49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64.31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1,011.48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983.26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103.24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4,199.45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4,237.97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4,237.97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4,237.97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备注：1.本表反映部门本年度的总收支和年末结转结余情况。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rPr>
          <w:rFonts w:hint="eastAsia" w:ascii="方正仿宋_GBK" w:hAnsi="方正仿宋_GBK" w:eastAsia="方正仿宋_GBK" w:cs="方正仿宋_GBK"/>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公开部门：垫江县砚台镇人民政府</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4,199.45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4,199.45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78.50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78.50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78.50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78.50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76.38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76.38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399.61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399.61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233.72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233.72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47.53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47.53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38.52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38.52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61.13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61.13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1,011.48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1,011.48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128.58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128.58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963.53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963.53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180.49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180.49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158.19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158.19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87.79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87.79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87.79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87.79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582"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bl>
    <w:p>
      <w:pPr>
        <w:ind w:left="630" w:hanging="630" w:hangingChars="300"/>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备注：1.本表反映部门本年度取得的各项收入情况。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2.本套报表金额单位转换时可能存在尾数误差。</w:t>
      </w:r>
    </w:p>
    <w:p>
      <w:pPr>
        <w:ind w:left="630" w:hanging="630" w:hangingChars="300"/>
        <w:rPr>
          <w:rFonts w:hint="eastAsia" w:ascii="方正仿宋_GBK" w:hAnsi="方正仿宋_GBK" w:eastAsia="方正仿宋_GBK" w:cs="方正仿宋_GBK"/>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公开部门</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 xml:space="preserve">垫江县砚台镇人民政府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4,237.97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1,907.56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2,330.41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497.42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78.50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78.50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76.38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402.49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42.19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233.72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233.72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49.88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61.13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1,011.48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128.58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983.26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560.58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422.68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187.99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351.35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bl>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备注：1.本表反映部门本年度各项支出情况。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rPr>
          <w:rFonts w:hint="eastAsia" w:ascii="方正仿宋_GBK" w:hAnsi="方正仿宋_GBK" w:eastAsia="方正仿宋_GBK" w:cs="方正仿宋_GBK"/>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公开部门</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3,295.42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78.50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78.50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402.49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402.49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64.31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64.31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1,011.48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210.80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983.26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983.26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4,199.45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4,237.97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3,333.94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4,237.97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4,237.97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3,333.94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bl>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备注：1.本表反映部门本年度一般公共预算财政拨款、政府性基金预算财政拨款及国有资本经营预算财政拨款的总收支和年末结转结余情况。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公开部门</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3,333.94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1,907.56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1,426.38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1,130.22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497.42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148.21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148.21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794.03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161.22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161.22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161.22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64.40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64.40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11.94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78.50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76.38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78.50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76.38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76.38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76.38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402.49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360.30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42.19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233.72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233.72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114.33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114.33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47.53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47.53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24.60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24.60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49.88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38.52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64.31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61.13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61.13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61.13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128.58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82.22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128.58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128.58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128.58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128.58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27.22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27.22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983.26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560.58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422.68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187.99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158.19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29.80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158.19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158.19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18.30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18.30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753.74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351.35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520.74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118.35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288.33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288.33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87.79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87.79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87.79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87.79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87.79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7.50 </w:t>
            </w:r>
          </w:p>
        </w:tc>
      </w:tr>
    </w:tbl>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备注：1.本表反映部门本年度一般公共预算财政拨款支出情况。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ind w:firstLine="630" w:firstLineChars="3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公开部门</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1,258.50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174.81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236.37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134.65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239.11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296.47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114.33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14.70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47.53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61.13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13.58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48.82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89.39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17.10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474.25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468.45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16.53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1,732.74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174.81 </w:t>
            </w:r>
          </w:p>
        </w:tc>
      </w:tr>
    </w:tbl>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备注：1.本表反映部门本年度一般公共预算财政拨款基本支出明细情况。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公开部门</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bl>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备注：1.本表反映部门本年度政府性基金预算财政拨款收入支出及结转和结余情况。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公开部门</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0.04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备注：1.本表反映部门本年度国有资本经营预算财政拨款支出情况。</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pPr>
              <w:textAlignment w:val="bottom"/>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公开部门</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color w:val="000000"/>
                <w:sz w:val="22"/>
                <w:szCs w:val="22"/>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2"/>
                <w:szCs w:val="22"/>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122.46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5.33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5.33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122.46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15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230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4.30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0.27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r>
    </w:tbl>
    <w:p>
      <w:pPr>
        <w:rPr>
          <w:rFonts w:hint="default" w:cs="宋体"/>
          <w:sz w:val="21"/>
          <w:szCs w:val="21"/>
        </w:rPr>
      </w:pPr>
      <w:r>
        <w:rPr>
          <w:rFonts w:hint="eastAsia" w:ascii="方正仿宋_GBK" w:hAnsi="方正仿宋_GBK" w:eastAsia="方正仿宋_GBK" w:cs="方正仿宋_GBK"/>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lang w:bidi="ar"/>
        </w:rPr>
        <w:t xml:space="preserve">      2.本套报表金额单位转换时可能存在尾数误差。</w:t>
      </w:r>
      <w:r>
        <w:rPr>
          <w:rFonts w:hint="eastAsia" w:ascii="方正仿宋_GBK" w:hAnsi="方正仿宋_GBK" w:eastAsia="方正仿宋_GBK" w:cs="方正仿宋_GBK"/>
          <w:sz w:val="21"/>
          <w:szCs w:val="21"/>
          <w:lang w:bidi="ar"/>
        </w:rPr>
        <w:br w:type="textWrapping"/>
      </w:r>
      <w:r>
        <w:rPr>
          <w:rFonts w:hint="eastAsia" w:ascii="方正仿宋_GBK" w:hAnsi="方正仿宋_GBK" w:eastAsia="方正仿宋_GBK" w:cs="方正仿宋_GBK"/>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10"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DA4EF0DD"/>
    <w:multiLevelType w:val="singleLevel"/>
    <w:tmpl w:val="DA4EF0DD"/>
    <w:lvl w:ilvl="0" w:tentative="0">
      <w:start w:val="2"/>
      <w:numFmt w:val="chineseCounting"/>
      <w:suff w:val="nothing"/>
      <w:lvlText w:val="（%1）"/>
      <w:lvlJc w:val="left"/>
      <w:rPr>
        <w:rFonts w:hint="eastAsia"/>
      </w:rPr>
    </w:lvl>
  </w:abstractNum>
  <w:abstractNum w:abstractNumId="2">
    <w:nsid w:val="42181A69"/>
    <w:multiLevelType w:val="singleLevel"/>
    <w:tmpl w:val="42181A69"/>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OGY1MjcxNWU2YmIyNGEzOGFhYmNjOTZiYzdiMmUifQ=="/>
  </w:docVars>
  <w:rsids>
    <w:rsidRoot w:val="00B03CCD"/>
    <w:rsid w:val="002E5443"/>
    <w:rsid w:val="00550ABE"/>
    <w:rsid w:val="00754809"/>
    <w:rsid w:val="007B419D"/>
    <w:rsid w:val="00881EED"/>
    <w:rsid w:val="009B67B8"/>
    <w:rsid w:val="00A75F08"/>
    <w:rsid w:val="00B03CCD"/>
    <w:rsid w:val="00E76362"/>
    <w:rsid w:val="00F73F90"/>
    <w:rsid w:val="01474EBF"/>
    <w:rsid w:val="01F3521E"/>
    <w:rsid w:val="03557EA7"/>
    <w:rsid w:val="03B87EA0"/>
    <w:rsid w:val="03E3214F"/>
    <w:rsid w:val="044C50BA"/>
    <w:rsid w:val="05BC6D49"/>
    <w:rsid w:val="06194FF1"/>
    <w:rsid w:val="06A2550B"/>
    <w:rsid w:val="06F80EE2"/>
    <w:rsid w:val="07001CCA"/>
    <w:rsid w:val="075678DB"/>
    <w:rsid w:val="079D7CC7"/>
    <w:rsid w:val="08051BCA"/>
    <w:rsid w:val="086C12F4"/>
    <w:rsid w:val="08AF5C17"/>
    <w:rsid w:val="08BA052C"/>
    <w:rsid w:val="08DB07BA"/>
    <w:rsid w:val="0969353F"/>
    <w:rsid w:val="098305D0"/>
    <w:rsid w:val="098A0877"/>
    <w:rsid w:val="0A0E6962"/>
    <w:rsid w:val="0A5C4B69"/>
    <w:rsid w:val="0A86124A"/>
    <w:rsid w:val="0AB54CC0"/>
    <w:rsid w:val="0B9335CE"/>
    <w:rsid w:val="0C7927C4"/>
    <w:rsid w:val="0C9B098C"/>
    <w:rsid w:val="0CC06645"/>
    <w:rsid w:val="0D673E11"/>
    <w:rsid w:val="0DDA54E4"/>
    <w:rsid w:val="0E3A5F83"/>
    <w:rsid w:val="0E4F031D"/>
    <w:rsid w:val="0F836721"/>
    <w:rsid w:val="0F93442C"/>
    <w:rsid w:val="0FA25D96"/>
    <w:rsid w:val="107B59E5"/>
    <w:rsid w:val="10EC0126"/>
    <w:rsid w:val="10F70B9A"/>
    <w:rsid w:val="111445C7"/>
    <w:rsid w:val="114278C6"/>
    <w:rsid w:val="1158083A"/>
    <w:rsid w:val="11643A4B"/>
    <w:rsid w:val="11ED0F98"/>
    <w:rsid w:val="11F03528"/>
    <w:rsid w:val="12C921C4"/>
    <w:rsid w:val="13871C70"/>
    <w:rsid w:val="13931528"/>
    <w:rsid w:val="13A71CB4"/>
    <w:rsid w:val="13AF1D43"/>
    <w:rsid w:val="13CE1647"/>
    <w:rsid w:val="13FD55AB"/>
    <w:rsid w:val="14200702"/>
    <w:rsid w:val="163A6CEE"/>
    <w:rsid w:val="16CF3377"/>
    <w:rsid w:val="173708E3"/>
    <w:rsid w:val="17C374FC"/>
    <w:rsid w:val="18477A39"/>
    <w:rsid w:val="189079DC"/>
    <w:rsid w:val="189B0D0B"/>
    <w:rsid w:val="18B43F7C"/>
    <w:rsid w:val="194A1770"/>
    <w:rsid w:val="19B906A4"/>
    <w:rsid w:val="1B440441"/>
    <w:rsid w:val="1B6F15B6"/>
    <w:rsid w:val="1BAA2EDC"/>
    <w:rsid w:val="1C5C0973"/>
    <w:rsid w:val="1CA55E64"/>
    <w:rsid w:val="1D014A01"/>
    <w:rsid w:val="1D022362"/>
    <w:rsid w:val="1D1B04B0"/>
    <w:rsid w:val="1DBD6767"/>
    <w:rsid w:val="1DC52125"/>
    <w:rsid w:val="1DD26311"/>
    <w:rsid w:val="1E374ACB"/>
    <w:rsid w:val="1ECF0A66"/>
    <w:rsid w:val="1EF67CA4"/>
    <w:rsid w:val="1EF71AAE"/>
    <w:rsid w:val="1F020D3A"/>
    <w:rsid w:val="1F2C5189"/>
    <w:rsid w:val="1F4B0B02"/>
    <w:rsid w:val="1FBB35CD"/>
    <w:rsid w:val="1FCD26AF"/>
    <w:rsid w:val="20642787"/>
    <w:rsid w:val="2100373F"/>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02334"/>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513D6"/>
    <w:rsid w:val="3C653658"/>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380B36"/>
    <w:rsid w:val="4A6F6675"/>
    <w:rsid w:val="4B135857"/>
    <w:rsid w:val="4B7951CB"/>
    <w:rsid w:val="4B7C315C"/>
    <w:rsid w:val="4DAC4ACA"/>
    <w:rsid w:val="4DBE01D2"/>
    <w:rsid w:val="4DD23507"/>
    <w:rsid w:val="4F0C6BA3"/>
    <w:rsid w:val="4F186D58"/>
    <w:rsid w:val="4FCB6460"/>
    <w:rsid w:val="4FEA65B7"/>
    <w:rsid w:val="50F06B6E"/>
    <w:rsid w:val="52234D33"/>
    <w:rsid w:val="522F6E0C"/>
    <w:rsid w:val="52463BA1"/>
    <w:rsid w:val="52974D1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7A6A7A"/>
    <w:rsid w:val="56FF7E9E"/>
    <w:rsid w:val="578867FC"/>
    <w:rsid w:val="5842572D"/>
    <w:rsid w:val="5A3B59D6"/>
    <w:rsid w:val="5AD134D8"/>
    <w:rsid w:val="5C263CE4"/>
    <w:rsid w:val="5C5D2777"/>
    <w:rsid w:val="5CF66BF3"/>
    <w:rsid w:val="5D290C69"/>
    <w:rsid w:val="5F2D4A41"/>
    <w:rsid w:val="60911000"/>
    <w:rsid w:val="60C74F6C"/>
    <w:rsid w:val="60F41210"/>
    <w:rsid w:val="61025A59"/>
    <w:rsid w:val="613D5BBC"/>
    <w:rsid w:val="61536C39"/>
    <w:rsid w:val="61BB2E77"/>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36731C"/>
    <w:rsid w:val="67924660"/>
    <w:rsid w:val="68407834"/>
    <w:rsid w:val="6883293E"/>
    <w:rsid w:val="688412AD"/>
    <w:rsid w:val="68EB1B71"/>
    <w:rsid w:val="69475C96"/>
    <w:rsid w:val="6AAD2300"/>
    <w:rsid w:val="6B474EF5"/>
    <w:rsid w:val="6BBF53FD"/>
    <w:rsid w:val="6BFF176A"/>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184DE7"/>
    <w:rsid w:val="7A403486"/>
    <w:rsid w:val="7B420052"/>
    <w:rsid w:val="7B861484"/>
    <w:rsid w:val="7BD06A28"/>
    <w:rsid w:val="7C3A7C0B"/>
    <w:rsid w:val="7C5248E4"/>
    <w:rsid w:val="7C566698"/>
    <w:rsid w:val="7C5866A3"/>
    <w:rsid w:val="7D7406BB"/>
    <w:rsid w:val="7DAA5057"/>
    <w:rsid w:val="7DE94331"/>
    <w:rsid w:val="7F446A19"/>
    <w:rsid w:val="7F7452B9"/>
    <w:rsid w:val="7FFBF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16378</Words>
  <Characters>22947</Characters>
  <Lines>217</Lines>
  <Paragraphs>61</Paragraphs>
  <TotalTime>1</TotalTime>
  <ScaleCrop>false</ScaleCrop>
  <LinksUpToDate>false</LinksUpToDate>
  <CharactersWithSpaces>25634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2025-07-02T05:55:12Z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