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pacing w:before="0" w:beforeAutospacing="0" w:after="0" w:afterAutospacing="0" w:line="594" w:lineRule="exact"/>
        <w:jc w:val="center"/>
        <w:textAlignment w:val="auto"/>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垫江县砚台镇人民政府</w:t>
      </w:r>
      <w:r>
        <w:rPr>
          <w:rFonts w:ascii="方正小标宋_GBK" w:hAnsi="方正小标宋_GBK" w:eastAsia="方正小标宋_GBK" w:cs="方正小标宋_GBK"/>
          <w:sz w:val="44"/>
          <w:szCs w:val="44"/>
          <w:shd w:val="clear" w:color="auto" w:fill="FFFFFF"/>
        </w:rPr>
        <w:t>2023年度决算</w:t>
      </w:r>
    </w:p>
    <w:p>
      <w:pPr>
        <w:pStyle w:val="6"/>
        <w:keepNext w:val="0"/>
        <w:keepLines w:val="0"/>
        <w:pageBreakBefore w:val="0"/>
        <w:widowControl/>
        <w:kinsoku/>
        <w:wordWrap/>
        <w:overflowPunct/>
        <w:topLinePunct w:val="0"/>
        <w:autoSpaceDE/>
        <w:autoSpaceDN/>
        <w:bidi w:val="0"/>
        <w:adjustRightInd/>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黑体" w:hAnsi="黑体" w:eastAsia="黑体" w:cs="黑体"/>
          <w:b w:val="0"/>
          <w:bCs/>
          <w:sz w:val="32"/>
          <w:szCs w:val="32"/>
        </w:rPr>
      </w:pPr>
      <w:r>
        <w:rPr>
          <w:rStyle w:val="10"/>
          <w:rFonts w:ascii="黑体" w:hAnsi="黑体" w:eastAsia="黑体" w:cs="黑体"/>
          <w:b w:val="0"/>
          <w:bCs/>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94" w:lineRule="exact"/>
        <w:ind w:firstLine="420"/>
        <w:textAlignment w:val="auto"/>
        <w:rPr>
          <w:rFonts w:hint="default" w:ascii="方正仿宋_GBK" w:hAnsi="方正仿宋_GBK" w:eastAsia="方正仿宋_GBK" w:cs="方正仿宋_GBK"/>
          <w:b w:val="0"/>
          <w:bCs/>
          <w:sz w:val="32"/>
          <w:szCs w:val="32"/>
        </w:rPr>
      </w:pPr>
      <w:r>
        <w:rPr>
          <w:rStyle w:val="10"/>
          <w:rFonts w:ascii="楷体" w:hAnsi="楷体" w:eastAsia="楷体" w:cs="楷体"/>
          <w:b w:val="0"/>
          <w:bCs/>
          <w:sz w:val="32"/>
          <w:szCs w:val="32"/>
          <w:shd w:val="clear" w:color="auto" w:fill="FFFFFF"/>
        </w:rPr>
        <w:t>（一）职能职责</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党委、政府综合办事机构10个。具体设置及主要</w:t>
      </w:r>
      <w:bookmarkStart w:id="0" w:name="_GoBack"/>
      <w:bookmarkEnd w:id="0"/>
      <w:r>
        <w:rPr>
          <w:rFonts w:ascii="方正仿宋_GBK" w:hAnsi="方正仿宋_GBK" w:eastAsia="方正仿宋_GBK" w:cs="方正仿宋_GBK"/>
          <w:sz w:val="32"/>
          <w:szCs w:val="32"/>
          <w:shd w:val="clear" w:color="auto" w:fill="FFFFFF"/>
        </w:rPr>
        <w:t>职责分别是：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党政办公室。负责纪检、武装、政务公开等工作。负责机关文秘、会务、档案、保密、后勤服务等工作。负责牵头协调办理人大代表和政协委员的议案、提案、建议、意见。完成党委、政府交办的其他工作。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党群工作办公室。负责党的建设、组织、宣传、统战、民宗侨台、机构编制、人事、绩效管理、群团、党务公开等相关工作。负责镇公共服务中心和村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社区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便民服务中心的监督和管理等工作。完成党委、政府交办的其他工作。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3</w:t>
      </w:r>
      <w:r>
        <w:rPr>
          <w:rFonts w:hint="eastAsia" w:ascii="方正仿宋_GBK" w:hAnsi="方正仿宋_GBK" w:eastAsia="方正仿宋_GBK" w:cs="方正仿宋_GBK"/>
          <w:sz w:val="32"/>
          <w:szCs w:val="32"/>
          <w:shd w:val="clear" w:color="auto" w:fill="FFFFFF"/>
          <w:lang w:eastAsia="zh-CN"/>
        </w:rPr>
        <w:t>）人民代表办公室</w:t>
      </w:r>
      <w:r>
        <w:rPr>
          <w:rFonts w:ascii="方正仿宋_GBK" w:hAnsi="方正仿宋_GBK" w:eastAsia="方正仿宋_GBK" w:cs="方正仿宋_GBK"/>
          <w:sz w:val="32"/>
          <w:szCs w:val="32"/>
          <w:shd w:val="clear" w:color="auto" w:fill="FFFFFF"/>
        </w:rPr>
        <w:t>。负责镇人民代表大会、主席团履行法定职权的具体工作。组织人大代表视察、调研、评议等工作。完成党委、人大主席团交办的其他工作。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4</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经济发展办公室</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挂统计办公室、农村经营管理办公室、扶贫开发办公室牌子</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。承担促进镇、村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社区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济发展职责。负责拟订辖区经济发展整体规划并组织实施。负责农、林、牧、渔、工业、商贸物流、旅游等产业的规划与指导工作。负责农村市场、商业网点的规划和指导工作。负责招商引资、科技普及、统计与普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经济、人口、农业</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5</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财政办公室。贯彻财经方针政策，执行财政法规、财经制度。负责财政收支、预决算、总会计、惠农资金兑付、财政资金监督检查、绩效评价、农村财务管理等工作。负责机关财务管理、国有资产管理。负责机关、所属事业单位及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社区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财务内部审计及其他专项审计等工作。完成党委、政府交办的其他工作。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6</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民政和社会事务办公室</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挂卫生健康办公室牌子</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居</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务公开相关工作。负责指导村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社区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委员会基层民主政治建设、基层政权和社会建设。负责居委会、村委会民政工作人员和社会保障员的业务指导等工作。负责留守儿童和妇女、老人关爱服务等工作。完成党委、政府交办的其他工作。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7</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8</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居</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9</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10</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5个相当于行政正股级财政全额拨款公益一类事业单位。具体设置及主要职责分别是：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农业服务中心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宗旨：推广先进农业技术，促进农业发展。</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文化服务中心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宗旨：组织群众文化活动，繁荣文化旅游事业。</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3</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劳动就业和社会保障服务所</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宗旨：为辖区劳动就业和社会保障提供服务。</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4</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退役军人服务站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宗旨：为退役军人提供服务。</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主要职责：负责退役军人来访接待、政策咨询、就业指导、帮扶救助、权益保障、法制服务等工作。负责军队转业干部、复员干部、退役士兵</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士官</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和自主择业退役军人服务管理、待遇保障等工作。组织开展退役军人教育培训、优待抚恤等工作，负责拥军优属工作。负责烈士及退役军人荣誉奖励申报及开展纪念活动等工作。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5</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综合行政执法大队</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宗旨：弘扬法治精神，建设法治政府、法治社会。</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主要职责：负责配合综合行政执法办公室做好有关农林水利、规划建设、卫生健康、市容环卫、环境保护、文化旅游、民政管理、消防等方面的执法工作。</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pacing w:before="0" w:beforeAutospacing="0" w:after="0" w:afterAutospacing="0" w:line="594" w:lineRule="exact"/>
        <w:ind w:firstLine="420"/>
        <w:textAlignment w:val="auto"/>
        <w:rPr>
          <w:rStyle w:val="10"/>
          <w:rFonts w:hint="default" w:ascii="楷体" w:hAnsi="楷体" w:eastAsia="楷体" w:cs="楷体"/>
          <w:b w:val="0"/>
          <w:bCs/>
          <w:sz w:val="32"/>
          <w:szCs w:val="32"/>
          <w:shd w:val="clear" w:color="auto" w:fill="FFFFFF"/>
        </w:rPr>
      </w:pPr>
      <w:r>
        <w:rPr>
          <w:rStyle w:val="10"/>
          <w:rFonts w:ascii="楷体" w:hAnsi="楷体" w:eastAsia="楷体" w:cs="楷体"/>
          <w:b w:val="0"/>
          <w:bCs/>
          <w:sz w:val="32"/>
          <w:szCs w:val="32"/>
          <w:shd w:val="clear" w:color="auto" w:fill="FFFFFF"/>
        </w:rPr>
        <w:t>机构设置</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党委、政府综合办事机构10个：党政办公室、党群工作办公室、</w:t>
      </w:r>
      <w:r>
        <w:rPr>
          <w:rFonts w:hint="eastAsia" w:ascii="方正仿宋_GBK" w:hAnsi="方正仿宋_GBK" w:eastAsia="方正仿宋_GBK" w:cs="方正仿宋_GBK"/>
          <w:sz w:val="32"/>
          <w:szCs w:val="32"/>
          <w:shd w:val="clear" w:color="auto" w:fill="FFFFFF"/>
          <w:lang w:eastAsia="zh-CN"/>
        </w:rPr>
        <w:t>人民代表办公室</w:t>
      </w:r>
      <w:r>
        <w:rPr>
          <w:rFonts w:ascii="方正仿宋_GBK" w:hAnsi="方正仿宋_GBK" w:eastAsia="方正仿宋_GBK" w:cs="方正仿宋_GBK"/>
          <w:sz w:val="32"/>
          <w:szCs w:val="32"/>
          <w:shd w:val="clear" w:color="auto" w:fill="FFFFFF"/>
        </w:rPr>
        <w:t>、经济发展办公室、财政办公室、民政和社会事务办公室、平安建设办公室、规划建设管理环保办公室、应急管理办公室、综合行政执法办公室；5个相当于行政正股级财政全额拨款公益一类事业单位：农业服务中心、文化服务中心、劳动就业和社会保障服务所、退役军人服务站、综合行政执法大队。</w:t>
      </w:r>
    </w:p>
    <w:p>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Autospacing="0" w:line="594" w:lineRule="exact"/>
        <w:ind w:firstLine="640" w:firstLineChars="200"/>
        <w:textAlignment w:val="auto"/>
        <w:rPr>
          <w:rStyle w:val="10"/>
          <w:rFonts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部门决算情况说明</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Autospacing="0" w:line="594" w:lineRule="exact"/>
        <w:ind w:firstLine="642" w:firstLineChars="200"/>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2023年度收入总计4237.97万元，支出总计</w:t>
      </w:r>
      <w:r>
        <w:rPr>
          <w:rFonts w:ascii="方正仿宋_GBK" w:hAnsi="方正仿宋_GBK" w:eastAsia="方正仿宋_GBK" w:cs="方正仿宋_GBK"/>
          <w:sz w:val="32"/>
          <w:szCs w:val="32"/>
        </w:rPr>
        <w:t>4237.97</w:t>
      </w:r>
      <w:r>
        <w:rPr>
          <w:rFonts w:ascii="方正仿宋_GBK" w:hAnsi="方正仿宋_GBK" w:eastAsia="方正仿宋_GBK" w:cs="方正仿宋_GBK"/>
          <w:sz w:val="32"/>
          <w:szCs w:val="32"/>
          <w:shd w:val="clear" w:color="auto" w:fill="FFFFFF"/>
        </w:rPr>
        <w:t>万元。收支较上年决算数增加1133.67万元，增长36.52%，主要原因是上年项目收支较少，本年度项目收支增多。</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2023年度收入合计4199.45万元，较上年决算数增加1344.21万元，增长47.08%，主要原因是项目收入增多。其中：财政拨款收入</w:t>
      </w:r>
      <w:r>
        <w:rPr>
          <w:rFonts w:ascii="方正仿宋_GBK" w:hAnsi="方正仿宋_GBK" w:eastAsia="方正仿宋_GBK" w:cs="方正仿宋_GBK"/>
          <w:sz w:val="32"/>
          <w:szCs w:val="32"/>
        </w:rPr>
        <w:t>4199.45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38.52</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4237.97</w:t>
      </w:r>
      <w:r>
        <w:rPr>
          <w:rFonts w:ascii="方正仿宋_GBK" w:hAnsi="方正仿宋_GBK" w:eastAsia="方正仿宋_GBK" w:cs="方正仿宋_GBK"/>
          <w:sz w:val="32"/>
          <w:szCs w:val="32"/>
          <w:shd w:val="clear" w:color="auto" w:fill="FFFFFF"/>
        </w:rPr>
        <w:t>万元，较上年决算数增加1133.67万元，增长36.52%，主要原因是项目支出增多。其中：基本支出</w:t>
      </w:r>
      <w:r>
        <w:rPr>
          <w:rFonts w:ascii="方正仿宋_GBK" w:hAnsi="方正仿宋_GBK" w:eastAsia="方正仿宋_GBK" w:cs="方正仿宋_GBK"/>
          <w:sz w:val="32"/>
          <w:szCs w:val="32"/>
        </w:rPr>
        <w:t>1907.56</w:t>
      </w:r>
      <w:r>
        <w:rPr>
          <w:rFonts w:ascii="方正仿宋_GBK" w:hAnsi="方正仿宋_GBK" w:eastAsia="方正仿宋_GBK" w:cs="方正仿宋_GBK"/>
          <w:sz w:val="32"/>
          <w:szCs w:val="32"/>
          <w:shd w:val="clear" w:color="auto" w:fill="FFFFFF"/>
        </w:rPr>
        <w:t>万元，占45.01%；项目支出</w:t>
      </w:r>
      <w:r>
        <w:rPr>
          <w:rFonts w:ascii="方正仿宋_GBK" w:hAnsi="方正仿宋_GBK" w:eastAsia="方正仿宋_GBK" w:cs="方正仿宋_GBK"/>
          <w:sz w:val="32"/>
          <w:szCs w:val="32"/>
        </w:rPr>
        <w:t>2330.41</w:t>
      </w:r>
      <w:r>
        <w:rPr>
          <w:rFonts w:ascii="方正仿宋_GBK" w:hAnsi="方正仿宋_GBK" w:eastAsia="方正仿宋_GBK" w:cs="方正仿宋_GBK"/>
          <w:sz w:val="32"/>
          <w:szCs w:val="32"/>
          <w:shd w:val="clear" w:color="auto" w:fill="FFFFFF"/>
        </w:rPr>
        <w:t>万元，占54.99%；经营支出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万元，较上年决算数无增减，主要原因是本年度无结转结余。</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640" w:firstLineChars="200"/>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2023年度财政拨款收、支总计4237.97万元。与2022年相比，财政拨款收、支总计各增加1133.67万元，增长36.52%。主要原因是上年项目收支较少，本年度项目收支增多。</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3295.42</w:t>
      </w:r>
      <w:r>
        <w:rPr>
          <w:rFonts w:ascii="方正仿宋_GBK" w:hAnsi="方正仿宋_GBK" w:eastAsia="方正仿宋_GBK" w:cs="方正仿宋_GBK"/>
          <w:sz w:val="32"/>
          <w:szCs w:val="32"/>
          <w:shd w:val="clear" w:color="auto" w:fill="FFFFFF"/>
        </w:rPr>
        <w:t>万元，较上年决算数增加465.16万元，增长16.44%。主要原因是项目收入增多。较年初预算数增加1216.28万元，增长58.50%。主要原因是人员调资，目标考核调增。此外，年初财政拨款结转和结余</w:t>
      </w:r>
      <w:r>
        <w:rPr>
          <w:rFonts w:ascii="方正仿宋_GBK" w:hAnsi="方正仿宋_GBK" w:eastAsia="方正仿宋_GBK" w:cs="方正仿宋_GBK"/>
          <w:sz w:val="32"/>
          <w:szCs w:val="32"/>
        </w:rPr>
        <w:t>38.52</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3333.94</w:t>
      </w:r>
      <w:r>
        <w:rPr>
          <w:rFonts w:ascii="方正仿宋_GBK" w:hAnsi="方正仿宋_GBK" w:eastAsia="方正仿宋_GBK" w:cs="方正仿宋_GBK"/>
          <w:sz w:val="32"/>
          <w:szCs w:val="32"/>
          <w:shd w:val="clear" w:color="auto" w:fill="FFFFFF"/>
        </w:rPr>
        <w:t>万元，较上年决算数增加254.61万元，增长8.27%。主要原因是项目支出增多。较年初预算数增加1254.80万元，增长60.35%。主要原因是人员调资，目标考核调增。</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万元，较上年决算数无增减，主要原因是本年度无结转结余。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1130.22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33.90</w:t>
      </w:r>
      <w:r>
        <w:rPr>
          <w:rFonts w:ascii="方正仿宋_GBK" w:hAnsi="方正仿宋_GBK" w:eastAsia="方正仿宋_GBK" w:cs="方正仿宋_GBK"/>
          <w:sz w:val="32"/>
          <w:szCs w:val="32"/>
          <w:shd w:val="clear" w:color="auto" w:fill="FFFFFF"/>
        </w:rPr>
        <w:t>%，较年初预算数增加410.97万元，增长57.14%，主要原因是人员工资性支出及办公支出增加。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15.10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0.45</w:t>
      </w:r>
      <w:r>
        <w:rPr>
          <w:rFonts w:ascii="方正仿宋_GBK" w:hAnsi="方正仿宋_GBK" w:eastAsia="方正仿宋_GBK" w:cs="方正仿宋_GBK"/>
          <w:sz w:val="32"/>
          <w:szCs w:val="32"/>
          <w:shd w:val="clear" w:color="auto" w:fill="FFFFFF"/>
        </w:rPr>
        <w:t>%，较年初预算数增加15.10万元，增长100.00%，主要原因是聘请第三方公司专家服务费、劝导员巡逻员等工资性支出增加。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78.50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2.35</w:t>
      </w:r>
      <w:r>
        <w:rPr>
          <w:rFonts w:ascii="方正仿宋_GBK" w:hAnsi="方正仿宋_GBK" w:eastAsia="方正仿宋_GBK" w:cs="方正仿宋_GBK"/>
          <w:sz w:val="32"/>
          <w:szCs w:val="32"/>
          <w:shd w:val="clear" w:color="auto" w:fill="FFFFFF"/>
        </w:rPr>
        <w:t>%，较年初预算数增加8.43万元，增长12.03%，主要原因是人员保险、基础绩效等工资性支出、办公支出增多。</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402.49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12.07</w:t>
      </w:r>
      <w:r>
        <w:rPr>
          <w:rFonts w:ascii="方正仿宋_GBK" w:hAnsi="方正仿宋_GBK" w:eastAsia="方正仿宋_GBK" w:cs="方正仿宋_GBK"/>
          <w:sz w:val="32"/>
          <w:szCs w:val="32"/>
          <w:shd w:val="clear" w:color="auto" w:fill="FFFFFF"/>
        </w:rPr>
        <w:t>%，较年初预算数增加66.98万元，增长19.96%，主要原因是人员工资性支出及办公支出增加。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64.31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1.93</w:t>
      </w:r>
      <w:r>
        <w:rPr>
          <w:rFonts w:ascii="方正仿宋_GBK" w:hAnsi="方正仿宋_GBK" w:eastAsia="方正仿宋_GBK" w:cs="方正仿宋_GBK"/>
          <w:sz w:val="32"/>
          <w:szCs w:val="32"/>
          <w:shd w:val="clear" w:color="auto" w:fill="FFFFFF"/>
        </w:rPr>
        <w:t>%，较年初预算数增加16.17万元，增长33.59%，主要原因是行政单位医疗支出增加。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（6）城乡社区支出</w:t>
      </w:r>
      <w:r>
        <w:rPr>
          <w:rFonts w:ascii="方正仿宋_GBK" w:hAnsi="方正仿宋_GBK" w:eastAsia="方正仿宋_GBK" w:cs="方正仿宋_GBK"/>
          <w:sz w:val="32"/>
          <w:szCs w:val="32"/>
        </w:rPr>
        <w:t>210.80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6.32</w:t>
      </w:r>
      <w:r>
        <w:rPr>
          <w:rFonts w:ascii="方正仿宋_GBK" w:hAnsi="方正仿宋_GBK" w:eastAsia="方正仿宋_GBK" w:cs="方正仿宋_GBK"/>
          <w:sz w:val="32"/>
          <w:szCs w:val="32"/>
          <w:shd w:val="clear" w:color="auto" w:fill="FFFFFF"/>
        </w:rPr>
        <w:t>%，较年初预算数增加62.78万元，增长42.41%，主要原因是基础设施建设支出增加。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（7）农林水支出</w:t>
      </w:r>
      <w:r>
        <w:rPr>
          <w:rFonts w:ascii="方正仿宋_GBK" w:hAnsi="方正仿宋_GBK" w:eastAsia="方正仿宋_GBK" w:cs="方正仿宋_GBK"/>
          <w:sz w:val="32"/>
          <w:szCs w:val="32"/>
        </w:rPr>
        <w:t>983.26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29.49</w:t>
      </w:r>
      <w:r>
        <w:rPr>
          <w:rFonts w:ascii="方正仿宋_GBK" w:hAnsi="方正仿宋_GBK" w:eastAsia="方正仿宋_GBK" w:cs="方正仿宋_GBK"/>
          <w:sz w:val="32"/>
          <w:szCs w:val="32"/>
          <w:shd w:val="clear" w:color="auto" w:fill="FFFFFF"/>
        </w:rPr>
        <w:t>%，较年初预算数增加350.90万元，增长55.49%，主要原因是一事一议、农村综合改革转移支付等项目支出增加。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（8）交通运输支出</w:t>
      </w:r>
      <w:r>
        <w:rPr>
          <w:rFonts w:ascii="方正仿宋_GBK" w:hAnsi="方正仿宋_GBK" w:eastAsia="方正仿宋_GBK" w:cs="方正仿宋_GBK"/>
          <w:sz w:val="32"/>
          <w:szCs w:val="32"/>
        </w:rPr>
        <w:t>288.33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8.65</w:t>
      </w:r>
      <w:r>
        <w:rPr>
          <w:rFonts w:ascii="方正仿宋_GBK" w:hAnsi="方正仿宋_GBK" w:eastAsia="方正仿宋_GBK" w:cs="方正仿宋_GBK"/>
          <w:sz w:val="32"/>
          <w:szCs w:val="32"/>
          <w:shd w:val="clear" w:color="auto" w:fill="FFFFFF"/>
        </w:rPr>
        <w:t>%，较年初预算数增加288.33万元，增长100.00%，主要原因是公路硬化工程支出、养护支出、环保费用、危桥支出增加。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（9）资源勘探信息等支出</w:t>
      </w:r>
      <w:r>
        <w:rPr>
          <w:rFonts w:ascii="方正仿宋_GBK" w:hAnsi="方正仿宋_GBK" w:eastAsia="方正仿宋_GBK" w:cs="方正仿宋_GBK"/>
          <w:sz w:val="32"/>
          <w:szCs w:val="32"/>
        </w:rPr>
        <w:t>45.20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1.36</w:t>
      </w:r>
      <w:r>
        <w:rPr>
          <w:rFonts w:ascii="方正仿宋_GBK" w:hAnsi="方正仿宋_GBK" w:eastAsia="方正仿宋_GBK" w:cs="方正仿宋_GBK"/>
          <w:sz w:val="32"/>
          <w:szCs w:val="32"/>
          <w:shd w:val="clear" w:color="auto" w:fill="FFFFFF"/>
        </w:rPr>
        <w:t>%，较年初预算数无增减，主要原因是支持中小企业发展和管理支出增加。</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rPr>
        <w:t>住房保障支出103.24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3.10</w:t>
      </w:r>
      <w:r>
        <w:rPr>
          <w:rFonts w:ascii="方正仿宋_GBK" w:hAnsi="方正仿宋_GBK" w:eastAsia="方正仿宋_GBK" w:cs="方正仿宋_GBK"/>
          <w:sz w:val="32"/>
          <w:szCs w:val="32"/>
          <w:shd w:val="clear" w:color="auto" w:fill="FFFFFF"/>
        </w:rPr>
        <w:t>%，较年初预算数增加24.66万元，增长31.38%，主要原因是人员增加、住房公积金基数正常调增。</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灾害防治及应急管理支出12.50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0.37</w:t>
      </w:r>
      <w:r>
        <w:rPr>
          <w:rFonts w:ascii="方正仿宋_GBK" w:hAnsi="方正仿宋_GBK" w:eastAsia="方正仿宋_GBK" w:cs="方正仿宋_GBK"/>
          <w:sz w:val="32"/>
          <w:szCs w:val="32"/>
          <w:shd w:val="clear" w:color="auto" w:fill="FFFFFF"/>
        </w:rPr>
        <w:t>%，较年初预算数增加10.50万元，增长525.00%，主要原因是冬春救助资金，搬迁安置补助等支出增加。</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1907.56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1732.74</w:t>
      </w:r>
      <w:r>
        <w:rPr>
          <w:rFonts w:ascii="方正仿宋_GBK" w:hAnsi="方正仿宋_GBK" w:eastAsia="方正仿宋_GBK" w:cs="方正仿宋_GBK"/>
          <w:sz w:val="32"/>
          <w:szCs w:val="32"/>
          <w:shd w:val="clear" w:color="auto" w:fill="FFFFFF"/>
        </w:rPr>
        <w:t>万元，较上年决算数增加265.15万元，增长18.07%，主要原因是人员增多以及人员薪级晋升和晋级晋档等人员经费正常增加。人员经费用途主要包括基本工资、津贴补贴、奖金、社会保障缴费。公用经费</w:t>
      </w:r>
      <w:r>
        <w:rPr>
          <w:rFonts w:ascii="方正仿宋_GBK" w:hAnsi="方正仿宋_GBK" w:eastAsia="方正仿宋_GBK" w:cs="方正仿宋_GBK"/>
          <w:sz w:val="32"/>
          <w:szCs w:val="32"/>
        </w:rPr>
        <w:t>174.81</w:t>
      </w:r>
      <w:r>
        <w:rPr>
          <w:rFonts w:ascii="方正仿宋_GBK" w:hAnsi="方正仿宋_GBK" w:eastAsia="方正仿宋_GBK" w:cs="方正仿宋_GBK"/>
          <w:sz w:val="32"/>
          <w:szCs w:val="32"/>
          <w:shd w:val="clear" w:color="auto" w:fill="FFFFFF"/>
        </w:rPr>
        <w:t>万元，较上年决算数减少170.26万元，下降49.34%，主要原因是严控三公经费支出，坚决落实政府过紧日子的要求。公用经费用途主要包括办公费、印刷费、咨询费、手续费、车辆维修维护。</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903.99</w:t>
      </w:r>
      <w:r>
        <w:rPr>
          <w:rFonts w:ascii="方正仿宋_GBK" w:hAnsi="方正仿宋_GBK" w:eastAsia="方正仿宋_GBK" w:cs="方正仿宋_GBK"/>
          <w:sz w:val="32"/>
          <w:szCs w:val="32"/>
          <w:shd w:val="clear" w:color="auto" w:fill="FFFFFF"/>
        </w:rPr>
        <w:t>万元，较上年决算数增加879.01万元，增长3518.86%，主要原因是国有土地使用权出让收入安排的支出、彩票公益金安排的支出都有所增加。本年支出</w:t>
      </w:r>
      <w:r>
        <w:rPr>
          <w:rFonts w:ascii="方正仿宋_GBK" w:hAnsi="方正仿宋_GBK" w:eastAsia="方正仿宋_GBK" w:cs="方正仿宋_GBK"/>
          <w:sz w:val="32"/>
          <w:szCs w:val="32"/>
        </w:rPr>
        <w:t>903.99</w:t>
      </w:r>
      <w:r>
        <w:rPr>
          <w:rFonts w:ascii="方正仿宋_GBK" w:hAnsi="方正仿宋_GBK" w:eastAsia="方正仿宋_GBK" w:cs="方正仿宋_GBK"/>
          <w:sz w:val="32"/>
          <w:szCs w:val="32"/>
          <w:shd w:val="clear" w:color="auto" w:fill="FFFFFF"/>
        </w:rPr>
        <w:t>万元，较上年决算数增加879.01万元，增长3518.86%，主要原因是国有土地使用权出让收入安排的支出、彩票公益金安排的支出都有所增加。</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2023年度国有资本经营预算财政拨本年支出</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万元，主要用途用于国有企业退休人员社会化管理补助经费。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三、“三公”经费情况说明</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640" w:firstLineChars="200"/>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5.33</w:t>
      </w:r>
      <w:r>
        <w:rPr>
          <w:rFonts w:ascii="方正仿宋_GBK" w:hAnsi="方正仿宋_GBK" w:eastAsia="方正仿宋_GBK" w:cs="方正仿宋_GBK"/>
          <w:sz w:val="32"/>
          <w:szCs w:val="32"/>
          <w:shd w:val="clear" w:color="auto" w:fill="FFFFFF"/>
        </w:rPr>
        <w:t>万元，较年初预算数增加2.33万元，增长77.67%，主要原因是公务接待、市政巡逻车的日常维护和消防车的运行、日常维护支出增加。较上年支出数减少6.74万元，下降55.84%，主要原因是严控三公经费支出，坚决落实政府过紧日子的要求。</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招商引资等。费用支出较年初预算数无增减，主要原因是本部门2023年度因公出国（境）经费与上年持平。较上年支出数无增减，主要原因是本部门2023年度因公出国（境）经费与上年持平。</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因公出行、安全生产检查、招商引资、财政业务检查等工作所需公务车购置费用。费用支出较年初预算数无增减，主要原因是本部门2023年度公务车购置费与上年持平。较上年支出数无增减，主要原因是本部门2023年度公务车购置费与上年持平。</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0.95</w:t>
      </w:r>
      <w:r>
        <w:rPr>
          <w:rFonts w:ascii="方正仿宋_GBK" w:hAnsi="方正仿宋_GBK" w:eastAsia="方正仿宋_GBK" w:cs="方正仿宋_GBK"/>
          <w:sz w:val="32"/>
          <w:szCs w:val="32"/>
          <w:shd w:val="clear" w:color="auto" w:fill="FFFFFF"/>
        </w:rPr>
        <w:t>万元，主要用于因公出行、安全生产检查、招商引资、财政业务检查等工作所需车辆的燃料费、维修费、过桥过路费、保险费等。费用支出较年初预算数减少0.05万元，下降5.00%，主要原因是因公出行、安全生产检查、招商引资、财政业务检查等工作所需车辆的燃料费、维修费、过桥过路费、保险费支出减少。较上年支出数减少6.53万元，下降87.30%，主要原因是因公出行、安全生产检查、招商引资、财政业务检查等工作所需车辆的燃料费、维修费、过桥过路费、保险费支出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4.38</w:t>
      </w:r>
      <w:r>
        <w:rPr>
          <w:rFonts w:ascii="方正仿宋_GBK" w:hAnsi="方正仿宋_GBK" w:eastAsia="方正仿宋_GBK" w:cs="方正仿宋_GBK"/>
          <w:sz w:val="32"/>
          <w:szCs w:val="32"/>
          <w:shd w:val="clear" w:color="auto" w:fill="FFFFFF"/>
        </w:rPr>
        <w:t>万元，主要用于接待上级各部门到我单位学习、调研工作，接受相关部门检查指导工作以及招商引资发生的接待支出。费用支出较年初预算数增加2.38万元，增长119.00%，主要原因是招商引资力度加大。较上年支出数减少0.21万元，下降4.58%，主要原因是接待次数、标准等有所下降。</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230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190.57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0.47</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594" w:lineRule="exact"/>
        <w:ind w:firstLine="640" w:firstLineChars="200"/>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ascii="黑体" w:hAnsi="黑体" w:eastAsia="黑体" w:cs="黑体"/>
          <w:b w:val="0"/>
          <w:bCs w:val="0"/>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4.30</w:t>
      </w:r>
      <w:r>
        <w:rPr>
          <w:rFonts w:ascii="方正仿宋_GBK" w:hAnsi="方正仿宋_GBK" w:eastAsia="方正仿宋_GBK" w:cs="方正仿宋_GBK"/>
          <w:sz w:val="32"/>
          <w:szCs w:val="32"/>
          <w:shd w:val="clear" w:color="auto" w:fill="FFFFFF"/>
        </w:rPr>
        <w:t>万元，较上年决算数减少1.14万元，下降20.96%，主要原因是本年度减少会议费开支。本年度培训费支出</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万元，较上年决算数减少0.36万元，下降57.14%，主要原因是本年度减少培训费开支。</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122.46</w:t>
      </w:r>
      <w:r>
        <w:rPr>
          <w:rFonts w:ascii="方正仿宋_GBK" w:hAnsi="方正仿宋_GBK" w:eastAsia="方正仿宋_GBK" w:cs="方正仿宋_GBK"/>
          <w:sz w:val="32"/>
          <w:szCs w:val="32"/>
          <w:shd w:val="clear" w:color="auto" w:fill="FFFFFF"/>
        </w:rPr>
        <w:t>万元，机关运行经费主要用于开支基本工资、津贴补贴、奖金、社会保障缴费及基本运转机关运行经费。机关运行经费较上年支出数减少184.98万元，下降60.17%，主要原因是除人员经费外，控制公用经费开支。</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%。2023年度我部门未发生政府采购事项，无相关经费支出。</w:t>
      </w:r>
    </w:p>
    <w:p>
      <w:pPr>
        <w:pStyle w:val="6"/>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Autospacing="0" w:line="594" w:lineRule="exact"/>
        <w:ind w:firstLine="640" w:firstLineChars="200"/>
        <w:textAlignment w:val="auto"/>
        <w:rPr>
          <w:rStyle w:val="10"/>
          <w:rFonts w:hint="default" w:ascii="黑体" w:hAnsi="黑体" w:eastAsia="黑体" w:cs="黑体"/>
          <w:b w:val="0"/>
          <w:bCs w:val="0"/>
          <w:sz w:val="32"/>
          <w:szCs w:val="32"/>
          <w:shd w:val="clear" w:color="auto" w:fill="FFFFFF"/>
        </w:rPr>
      </w:pPr>
      <w:r>
        <w:rPr>
          <w:rStyle w:val="10"/>
          <w:rFonts w:ascii="黑体" w:hAnsi="黑体" w:eastAsia="黑体" w:cs="黑体"/>
          <w:b w:val="0"/>
          <w:bCs w:val="0"/>
          <w:sz w:val="32"/>
          <w:szCs w:val="32"/>
          <w:shd w:val="clear" w:color="auto" w:fill="FFFFFF"/>
        </w:rPr>
        <w:t>预算绩效管理情况说明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（一）部门自评情况</w:t>
      </w:r>
    </w:p>
    <w:p>
      <w:pPr>
        <w:pStyle w:val="12"/>
        <w:keepNext w:val="0"/>
        <w:keepLines w:val="0"/>
        <w:pageBreakBefore w:val="0"/>
        <w:widowControl/>
        <w:kinsoku/>
        <w:wordWrap/>
        <w:overflowPunct/>
        <w:topLinePunct w:val="0"/>
        <w:autoSpaceDE w:val="0"/>
        <w:autoSpaceDN/>
        <w:bidi w:val="0"/>
        <w:adjustRightInd/>
        <w:spacing w:before="0" w:beforeAutospacing="0" w:afterAutospacing="0" w:line="594" w:lineRule="exact"/>
        <w:ind w:firstLine="640" w:firstLineChars="200"/>
        <w:textAlignment w:val="auto"/>
        <w:rPr>
          <w:rFonts w:ascii="方正仿宋_GBK" w:hAnsi="方正仿宋_GBK" w:eastAsia="方正仿宋_GBK" w:cs="方正仿宋_GBK"/>
          <w:sz w:val="32"/>
          <w:szCs w:val="32"/>
          <w:highlight w:val="yellow"/>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根据预算绩效管理要求，我部门对部门整体和66个二级项目开展了绩效自评，涉及财政拨款项目支出资金2335.13万元。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31" w:type="dxa"/>
            <w:tcBorders>
              <w:top w:val="nil"/>
              <w:left w:val="nil"/>
              <w:bottom w:val="nil"/>
              <w:right w:val="nil"/>
            </w:tcBorders>
          </w:tcPr>
          <w:tbl>
            <w:tblPr>
              <w:tblStyle w:val="7"/>
              <w:tblW w:w="8310" w:type="dxa"/>
              <w:tblInd w:w="0" w:type="dxa"/>
              <w:tblLayout w:type="fixed"/>
              <w:tblCellMar>
                <w:top w:w="0" w:type="dxa"/>
                <w:left w:w="108" w:type="dxa"/>
                <w:bottom w:w="0" w:type="dxa"/>
                <w:right w:w="108" w:type="dxa"/>
              </w:tblCellMar>
            </w:tblPr>
            <w:tblGrid>
              <w:gridCol w:w="1563"/>
              <w:gridCol w:w="746"/>
              <w:gridCol w:w="737"/>
              <w:gridCol w:w="739"/>
              <w:gridCol w:w="694"/>
              <w:gridCol w:w="621"/>
              <w:gridCol w:w="703"/>
              <w:gridCol w:w="700"/>
              <w:gridCol w:w="516"/>
              <w:gridCol w:w="665"/>
              <w:gridCol w:w="626"/>
            </w:tblGrid>
            <w:tr>
              <w:trPr>
                <w:trHeight w:val="619" w:hRule="atLeast"/>
              </w:trPr>
              <w:tc>
                <w:tcPr>
                  <w:tcW w:w="83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40"/>
                      <w:szCs w:val="40"/>
                    </w:rPr>
                  </w:pPr>
                  <w:r>
                    <w:rPr>
                      <w:rFonts w:hint="eastAsia" w:ascii="方正仿宋_GBK" w:hAnsi="方正仿宋_GBK" w:eastAsia="方正仿宋_GBK" w:cs="方正仿宋_GBK"/>
                      <w:b/>
                      <w:bCs/>
                      <w:color w:val="000000"/>
                      <w:sz w:val="40"/>
                      <w:szCs w:val="40"/>
                      <w:lang w:bidi="ar"/>
                    </w:rPr>
                    <w:t>2023年度部门整体绩效自评表</w:t>
                  </w:r>
                </w:p>
              </w:tc>
            </w:tr>
            <w:tr>
              <w:tblPrEx>
                <w:tblCellMar>
                  <w:top w:w="0" w:type="dxa"/>
                  <w:left w:w="108" w:type="dxa"/>
                  <w:bottom w:w="0" w:type="dxa"/>
                  <w:right w:w="108" w:type="dxa"/>
                </w:tblCellMar>
              </w:tblPrEx>
              <w:trPr>
                <w:trHeight w:val="500" w:hRule="atLeast"/>
              </w:trPr>
              <w:tc>
                <w:tcPr>
                  <w:tcW w:w="83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b/>
                      <w:bCs/>
                      <w:color w:val="DA3232"/>
                      <w:sz w:val="22"/>
                      <w:szCs w:val="22"/>
                    </w:rPr>
                  </w:pPr>
                  <w:r>
                    <w:rPr>
                      <w:rFonts w:hint="eastAsia" w:ascii="方正仿宋_GBK" w:hAnsi="方正仿宋_GBK" w:eastAsia="方正仿宋_GBK" w:cs="方正仿宋_GBK"/>
                      <w:b/>
                      <w:bCs/>
                      <w:color w:val="DA3232"/>
                      <w:sz w:val="22"/>
                      <w:szCs w:val="22"/>
                      <w:lang w:bidi="ar"/>
                    </w:rPr>
                    <w:t>状态：绩效审核已审</w:t>
                  </w:r>
                </w:p>
              </w:tc>
            </w:tr>
            <w:tr>
              <w:tblPrEx>
                <w:tblCellMar>
                  <w:top w:w="0" w:type="dxa"/>
                  <w:left w:w="108" w:type="dxa"/>
                  <w:bottom w:w="0" w:type="dxa"/>
                  <w:right w:w="108" w:type="dxa"/>
                </w:tblCellMar>
              </w:tblPrEx>
              <w:trPr>
                <w:trHeight w:val="1478"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项目名称：</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垫江县砚台镇人民政府整体监控</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项目编码：</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50023100023P000079</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自评总分：</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100.00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方正仿宋_GBK" w:hAnsi="方正仿宋_GBK" w:eastAsia="方正仿宋_GBK" w:cs="方正仿宋_GBK"/>
                      <w:b/>
                      <w:bCs/>
                      <w:color w:val="000000"/>
                      <w:sz w:val="22"/>
                      <w:szCs w:val="22"/>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149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项目主管部门：</w:t>
                  </w:r>
                </w:p>
              </w:tc>
              <w:tc>
                <w:tcPr>
                  <w:tcW w:w="14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719-垫江县砚台镇人民政府</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财政归口处室：</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014-会计管理核算中心</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部门联系人：</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汪兴东</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联系电话：</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方正仿宋_GBK" w:hAnsi="方正仿宋_GBK" w:eastAsia="方正仿宋_GBK" w:cs="方正仿宋_GBK"/>
                      <w:color w:val="000000"/>
                      <w:sz w:val="22"/>
                      <w:szCs w:val="22"/>
                      <w:lang w:val="en-US" w:eastAsia="zh-CN"/>
                    </w:rPr>
                  </w:pPr>
                  <w:r>
                    <w:rPr>
                      <w:rFonts w:hint="eastAsia" w:ascii="方正仿宋_GBK" w:hAnsi="方正仿宋_GBK" w:eastAsia="方正仿宋_GBK" w:cs="方正仿宋_GBK"/>
                      <w:color w:val="000000"/>
                      <w:sz w:val="22"/>
                      <w:szCs w:val="22"/>
                      <w:lang w:val="en-US" w:eastAsia="zh-CN" w:bidi="ar"/>
                    </w:rPr>
                    <w:t>023-74588755</w:t>
                  </w:r>
                </w:p>
              </w:tc>
            </w:tr>
            <w:tr>
              <w:tblPrEx>
                <w:tblCellMar>
                  <w:top w:w="0" w:type="dxa"/>
                  <w:left w:w="108" w:type="dxa"/>
                  <w:bottom w:w="0" w:type="dxa"/>
                  <w:right w:w="108" w:type="dxa"/>
                </w:tblCellMar>
              </w:tblPrEx>
              <w:trPr>
                <w:trHeight w:val="600" w:hRule="atLeast"/>
              </w:trPr>
              <w:tc>
                <w:tcPr>
                  <w:tcW w:w="83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资金情况</w:t>
                  </w:r>
                </w:p>
              </w:tc>
            </w:tr>
            <w:tr>
              <w:tblPrEx>
                <w:tblCellMar>
                  <w:top w:w="0" w:type="dxa"/>
                  <w:left w:w="108" w:type="dxa"/>
                  <w:bottom w:w="0" w:type="dxa"/>
                  <w:right w:w="108" w:type="dxa"/>
                </w:tblCellMar>
              </w:tblPrEx>
              <w:trPr>
                <w:trHeight w:val="500" w:hRule="atLeast"/>
              </w:trPr>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年初预算数</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全年（调整）预算数</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全年执行数</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执行率权重</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执行率得分</w:t>
                  </w: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年度总金额</w:t>
                  </w:r>
                </w:p>
              </w:tc>
              <w:tc>
                <w:tcPr>
                  <w:tcW w:w="746"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23,693,809.14 </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42,379,673.33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42,379,673.33 </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其中：财政拨款</w:t>
                  </w:r>
                </w:p>
              </w:tc>
              <w:tc>
                <w:tcPr>
                  <w:tcW w:w="746"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23,693,809.14 </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42,379,673.33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42,379,673.33 </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10.00 </w:t>
                  </w: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一般公共预算</w:t>
                  </w:r>
                </w:p>
              </w:tc>
              <w:tc>
                <w:tcPr>
                  <w:tcW w:w="746"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1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22,142,475.14 </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33,339,369.83 </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33,339,369.83 </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600" w:hRule="atLeast"/>
              </w:trPr>
              <w:tc>
                <w:tcPr>
                  <w:tcW w:w="83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绩效目标</w:t>
                  </w:r>
                </w:p>
              </w:tc>
            </w:tr>
            <w:tr>
              <w:tblPrEx>
                <w:tblCellMar>
                  <w:top w:w="0" w:type="dxa"/>
                  <w:left w:w="108" w:type="dxa"/>
                  <w:bottom w:w="0" w:type="dxa"/>
                  <w:right w:w="108" w:type="dxa"/>
                </w:tblCellMar>
              </w:tblPrEx>
              <w:trPr>
                <w:trHeight w:val="500" w:hRule="atLeast"/>
              </w:trPr>
              <w:tc>
                <w:tcPr>
                  <w:tcW w:w="37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年初绩效目标</w:t>
                  </w:r>
                </w:p>
              </w:tc>
              <w:tc>
                <w:tcPr>
                  <w:tcW w:w="27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全年（调整）绩效目标</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全年目标实际完成情况</w:t>
                  </w:r>
                </w:p>
              </w:tc>
            </w:tr>
            <w:tr>
              <w:tblPrEx>
                <w:tblCellMar>
                  <w:top w:w="0" w:type="dxa"/>
                  <w:left w:w="108" w:type="dxa"/>
                  <w:bottom w:w="0" w:type="dxa"/>
                  <w:right w:w="108" w:type="dxa"/>
                </w:tblCellMar>
              </w:tblPrEx>
              <w:trPr>
                <w:trHeight w:val="1600" w:hRule="atLeast"/>
              </w:trPr>
              <w:tc>
                <w:tcPr>
                  <w:tcW w:w="3785"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垫江县砚台镇人民政府2023年认真贯彻落实县委县政府的相关政策，廖伦中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c>
                <w:tcPr>
                  <w:tcW w:w="2718"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方正仿宋_GBK" w:hAnsi="方正仿宋_GBK" w:eastAsia="方正仿宋_GBK" w:cs="方正仿宋_GBK"/>
                      <w:color w:val="000000"/>
                      <w:sz w:val="22"/>
                      <w:szCs w:val="22"/>
                    </w:rPr>
                  </w:pP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垫江县砚台镇人民政府2023年认真贯彻落实县委县政府的相关政策，廖伦中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r>
            <w:tr>
              <w:tblPrEx>
                <w:tblCellMar>
                  <w:top w:w="0" w:type="dxa"/>
                  <w:left w:w="108" w:type="dxa"/>
                  <w:bottom w:w="0" w:type="dxa"/>
                  <w:right w:w="108" w:type="dxa"/>
                </w:tblCellMar>
              </w:tblPrEx>
              <w:trPr>
                <w:trHeight w:val="600" w:hRule="atLeast"/>
              </w:trPr>
              <w:tc>
                <w:tcPr>
                  <w:tcW w:w="83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绩效指标</w:t>
                  </w:r>
                </w:p>
              </w:tc>
            </w:tr>
            <w:tr>
              <w:tblPrEx>
                <w:tblCellMar>
                  <w:top w:w="0" w:type="dxa"/>
                  <w:left w:w="108" w:type="dxa"/>
                  <w:bottom w:w="0" w:type="dxa"/>
                  <w:right w:w="108" w:type="dxa"/>
                </w:tblCellMar>
              </w:tblPrEx>
              <w:trPr>
                <w:trHeight w:val="145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指标名称</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计量单位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指标性质</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指标值</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全年完成值</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偏离度（%）</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得分系数（%）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指标权重</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指标得分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是否核心指标</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说明</w:t>
                  </w: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城区绿化面积</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平方米</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6000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6000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党建培训人次</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次</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1230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1230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到市、进京非访、集访次数</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次</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较大森林火险发生次数</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次</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生活垃圾处理量</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吨</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5500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5500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优抚、民政、计生等困难群众补助人数</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次</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882</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882</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重大安全事故发生次数</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次</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农村卫生厕所改厕覆盖率</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80.55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80.55</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辖区农民人均纯收入增长量</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12.6</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12.6</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一般公共预算收入完成率</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全年预算支出执行率</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三季度预算执行进度</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预决算按时公开率</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社区网格员覆盖率</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辖区河道水质</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类</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应公开的</w:t>
                  </w:r>
                  <w:r>
                    <w:rPr>
                      <w:rFonts w:hint="eastAsia" w:ascii="方正仿宋_GBK" w:hAnsi="方正仿宋_GBK" w:eastAsia="方正仿宋_GBK" w:cs="方正仿宋_GBK"/>
                      <w:color w:val="000000"/>
                      <w:sz w:val="22"/>
                      <w:szCs w:val="22"/>
                      <w:lang w:eastAsia="zh-CN" w:bidi="ar"/>
                    </w:rPr>
                    <w:t>政务公开</w:t>
                  </w:r>
                  <w:r>
                    <w:rPr>
                      <w:rFonts w:hint="eastAsia" w:ascii="方正仿宋_GBK" w:hAnsi="方正仿宋_GBK" w:eastAsia="方正仿宋_GBK" w:cs="方正仿宋_GBK"/>
                      <w:color w:val="000000"/>
                      <w:sz w:val="22"/>
                      <w:szCs w:val="22"/>
                      <w:lang w:bidi="ar"/>
                    </w:rPr>
                    <w:t>率</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征兵完成率</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9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辖区群众满意度</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w:t>
                  </w:r>
                  <w:r>
                    <w:rPr>
                      <w:rFonts w:hint="eastAsia" w:ascii="方正仿宋_GBK" w:hAnsi="方正仿宋_GBK" w:eastAsia="方正仿宋_GBK" w:cs="方正仿宋_GBK"/>
                      <w:color w:val="000000"/>
                      <w:sz w:val="22"/>
                      <w:szCs w:val="22"/>
                      <w:lang w:val="en-US" w:eastAsia="zh-CN" w:bidi="ar"/>
                    </w:rPr>
                    <w:t>0</w:t>
                  </w:r>
                  <w:r>
                    <w:rPr>
                      <w:rFonts w:hint="eastAsia" w:ascii="方正仿宋_GBK" w:hAnsi="方正仿宋_GBK" w:eastAsia="方正仿宋_GBK" w:cs="方正仿宋_GBK"/>
                      <w:color w:val="000000"/>
                      <w:sz w:val="22"/>
                      <w:szCs w:val="22"/>
                      <w:lang w:bidi="ar"/>
                    </w:rPr>
                    <w:t>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辖区干部满意率</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否</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r>
          </w:tbl>
          <w:p>
            <w:pPr>
              <w:pStyle w:val="12"/>
              <w:widowControl w:val="0"/>
              <w:autoSpaceDE w:val="0"/>
              <w:spacing w:before="0" w:beforeAutospacing="0" w:line="600" w:lineRule="exact"/>
              <w:jc w:val="both"/>
              <w:rPr>
                <w:rFonts w:hint="eastAsia" w:ascii="方正仿宋_GBK" w:hAnsi="方正仿宋_GBK" w:eastAsia="方正仿宋_GBK" w:cs="方正仿宋_GBK"/>
                <w:sz w:val="28"/>
                <w:szCs w:val="28"/>
                <w:shd w:val="clear" w:color="auto" w:fill="FFFFFF"/>
                <w:lang w:bidi="ar"/>
              </w:rPr>
            </w:pPr>
          </w:p>
        </w:tc>
      </w:tr>
    </w:tbl>
    <w:tbl>
      <w:tblPr>
        <w:tblStyle w:val="7"/>
        <w:tblpPr w:leftFromText="180" w:rightFromText="180" w:vertAnchor="text" w:horzAnchor="page" w:tblpX="1571" w:tblpY="186"/>
        <w:tblOverlap w:val="never"/>
        <w:tblW w:w="9018" w:type="dxa"/>
        <w:tblInd w:w="0" w:type="dxa"/>
        <w:tblLayout w:type="autofit"/>
        <w:tblCellMar>
          <w:top w:w="0" w:type="dxa"/>
          <w:left w:w="108" w:type="dxa"/>
          <w:bottom w:w="0" w:type="dxa"/>
          <w:right w:w="108" w:type="dxa"/>
        </w:tblCellMar>
      </w:tblPr>
      <w:tblGrid>
        <w:gridCol w:w="758"/>
        <w:gridCol w:w="800"/>
        <w:gridCol w:w="800"/>
        <w:gridCol w:w="759"/>
        <w:gridCol w:w="1104"/>
        <w:gridCol w:w="1183"/>
        <w:gridCol w:w="721"/>
        <w:gridCol w:w="582"/>
        <w:gridCol w:w="582"/>
        <w:gridCol w:w="682"/>
        <w:gridCol w:w="1268"/>
      </w:tblGrid>
      <w:tr>
        <w:tblPrEx>
          <w:tblCellMar>
            <w:top w:w="0" w:type="dxa"/>
            <w:left w:w="108" w:type="dxa"/>
            <w:bottom w:w="0" w:type="dxa"/>
            <w:right w:w="108" w:type="dxa"/>
          </w:tblCellMar>
        </w:tblPrEx>
        <w:trPr>
          <w:trHeight w:val="800" w:hRule="atLeast"/>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40"/>
                <w:szCs w:val="40"/>
              </w:rPr>
            </w:pPr>
            <w:r>
              <w:rPr>
                <w:rFonts w:hint="eastAsia" w:ascii="方正仿宋_GBK" w:hAnsi="方正仿宋_GBK" w:eastAsia="方正仿宋_GBK" w:cs="方正仿宋_GBK"/>
                <w:b/>
                <w:bCs/>
                <w:color w:val="000000"/>
                <w:sz w:val="40"/>
                <w:szCs w:val="40"/>
                <w:lang w:bidi="ar"/>
              </w:rPr>
              <w:t>2023年度二级项目绩效自评表</w:t>
            </w:r>
          </w:p>
        </w:tc>
      </w:tr>
      <w:tr>
        <w:tblPrEx>
          <w:tblCellMar>
            <w:top w:w="0" w:type="dxa"/>
            <w:left w:w="108" w:type="dxa"/>
            <w:bottom w:w="0" w:type="dxa"/>
            <w:right w:w="108" w:type="dxa"/>
          </w:tblCellMar>
        </w:tblPrEx>
        <w:trPr>
          <w:trHeight w:val="500" w:hRule="atLeast"/>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b/>
                <w:bCs/>
                <w:color w:val="DA3232"/>
                <w:sz w:val="22"/>
                <w:szCs w:val="22"/>
              </w:rPr>
            </w:pPr>
            <w:r>
              <w:rPr>
                <w:rFonts w:hint="eastAsia" w:ascii="方正仿宋_GBK" w:hAnsi="方正仿宋_GBK" w:eastAsia="方正仿宋_GBK" w:cs="方正仿宋_GBK"/>
                <w:b/>
                <w:bCs/>
                <w:color w:val="DA3232"/>
                <w:sz w:val="22"/>
                <w:szCs w:val="22"/>
                <w:lang w:bidi="ar"/>
              </w:rPr>
              <w:t>状态：绩效审核已审</w:t>
            </w: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项目名称：</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村（社区）便民服务中心建设经费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项目编码：</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50023122T000000118203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自评总分：</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b/>
                <w:bCs/>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项目主管部门：</w:t>
            </w:r>
          </w:p>
        </w:tc>
        <w:tc>
          <w:tcPr>
            <w:tcW w:w="18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719-垫江县砚台镇人民政府</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财政归口处室：</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014-会计管理核算中心</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部门联系人：</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刘军</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联系电话：</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val="en-US" w:eastAsia="zh-CN" w:bidi="ar"/>
              </w:rPr>
              <w:t>023-74588755</w:t>
            </w:r>
          </w:p>
        </w:tc>
      </w:tr>
      <w:tr>
        <w:tblPrEx>
          <w:tblCellMar>
            <w:top w:w="0" w:type="dxa"/>
            <w:left w:w="108" w:type="dxa"/>
            <w:bottom w:w="0" w:type="dxa"/>
            <w:right w:w="108" w:type="dxa"/>
          </w:tblCellMar>
        </w:tblPrEx>
        <w:trPr>
          <w:trHeight w:val="600" w:hRule="atLeast"/>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资金情况</w:t>
            </w:r>
          </w:p>
        </w:tc>
      </w:tr>
      <w:tr>
        <w:tblPrEx>
          <w:tblCellMar>
            <w:top w:w="0" w:type="dxa"/>
            <w:left w:w="108" w:type="dxa"/>
            <w:bottom w:w="0" w:type="dxa"/>
            <w:right w:w="108" w:type="dxa"/>
          </w:tblCellMar>
        </w:tblPrEx>
        <w:trPr>
          <w:trHeight w:val="500" w:hRule="atLeast"/>
        </w:trPr>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年初预算数</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全年（调整）预算数</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全年执行数</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执行率权重</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执行率得分</w:t>
            </w: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年度总金额</w:t>
            </w:r>
          </w:p>
        </w:tc>
        <w:tc>
          <w:tcPr>
            <w:tcW w:w="949"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949"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898"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0.00 </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50,000.00 </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50,000.00 </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其中：财政拨款</w:t>
            </w:r>
          </w:p>
        </w:tc>
        <w:tc>
          <w:tcPr>
            <w:tcW w:w="949"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949"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898"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0.00 </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50,000.00 </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50,000.00 </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10.00 </w:t>
            </w: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一般公共预算</w:t>
            </w:r>
          </w:p>
        </w:tc>
        <w:tc>
          <w:tcPr>
            <w:tcW w:w="949"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949"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898" w:type="dxa"/>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0.00 </w:t>
            </w:r>
          </w:p>
        </w:tc>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50,000.00 </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50,000.00 </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600" w:hRule="atLeast"/>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绩效目标</w:t>
            </w:r>
          </w:p>
        </w:tc>
      </w:tr>
      <w:tr>
        <w:tblPrEx>
          <w:tblCellMar>
            <w:top w:w="0" w:type="dxa"/>
            <w:left w:w="108" w:type="dxa"/>
            <w:bottom w:w="0" w:type="dxa"/>
            <w:right w:w="108" w:type="dxa"/>
          </w:tblCellMar>
        </w:tblPrEx>
        <w:trPr>
          <w:trHeight w:val="1523" w:hRule="atLeast"/>
        </w:trPr>
        <w:tc>
          <w:tcPr>
            <w:tcW w:w="36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年初绩效目标</w:t>
            </w:r>
          </w:p>
        </w:tc>
        <w:tc>
          <w:tcPr>
            <w:tcW w:w="29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全年（调整）绩效目标</w:t>
            </w:r>
          </w:p>
        </w:tc>
        <w:tc>
          <w:tcPr>
            <w:tcW w:w="24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全年目标实际完成情况</w:t>
            </w:r>
          </w:p>
        </w:tc>
      </w:tr>
      <w:tr>
        <w:tblPrEx>
          <w:tblCellMar>
            <w:top w:w="0" w:type="dxa"/>
            <w:left w:w="108" w:type="dxa"/>
            <w:bottom w:w="0" w:type="dxa"/>
            <w:right w:w="108" w:type="dxa"/>
          </w:tblCellMar>
        </w:tblPrEx>
        <w:trPr>
          <w:trHeight w:val="1799" w:hRule="atLeast"/>
        </w:trPr>
        <w:tc>
          <w:tcPr>
            <w:tcW w:w="3693"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做好村（社区）便民服务中心建设</w:t>
            </w:r>
          </w:p>
        </w:tc>
        <w:tc>
          <w:tcPr>
            <w:tcW w:w="2917"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做好村（社区）便民服务中心建设</w:t>
            </w:r>
          </w:p>
        </w:tc>
        <w:tc>
          <w:tcPr>
            <w:tcW w:w="2408"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做好村（社区）便民服务中心建设</w:t>
            </w:r>
          </w:p>
        </w:tc>
      </w:tr>
      <w:tr>
        <w:tblPrEx>
          <w:tblCellMar>
            <w:top w:w="0" w:type="dxa"/>
            <w:left w:w="108" w:type="dxa"/>
            <w:bottom w:w="0" w:type="dxa"/>
            <w:right w:w="108" w:type="dxa"/>
          </w:tblCellMar>
        </w:tblPrEx>
        <w:trPr>
          <w:trHeight w:val="600" w:hRule="atLeast"/>
        </w:trPr>
        <w:tc>
          <w:tcPr>
            <w:tcW w:w="90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绩效指标</w:t>
            </w: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指标名称</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计量单位</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指标性质</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指标值</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全年完成值</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偏离度（%）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得分系数（%）</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指标权重</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指标得分</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是否核心指标</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说明</w:t>
            </w: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村（社区）数</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16</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出现问题数</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未出现较大问题</w:t>
            </w: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资金及时支付率</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社会效益</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定性</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良好</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服务对象满意度</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r>
    </w:tbl>
    <w:p>
      <w:pPr>
        <w:pStyle w:val="12"/>
        <w:keepNext w:val="0"/>
        <w:keepLines w:val="0"/>
        <w:pageBreakBefore w:val="0"/>
        <w:widowControl/>
        <w:kinsoku/>
        <w:wordWrap/>
        <w:overflowPunct/>
        <w:topLinePunct w:val="0"/>
        <w:autoSpaceDE w:val="0"/>
        <w:autoSpaceDN/>
        <w:bidi w:val="0"/>
        <w:adjustRightInd/>
        <w:snapToGrid/>
        <w:spacing w:before="0" w:beforeAutospacing="0" w:line="300" w:lineRule="exact"/>
        <w:textAlignment w:val="auto"/>
        <w:rPr>
          <w:rFonts w:hint="eastAsia" w:ascii="方正仿宋_GBK" w:hAnsi="方正仿宋_GBK" w:eastAsia="方正仿宋_GBK" w:cs="方正仿宋_GBK"/>
          <w:sz w:val="28"/>
          <w:szCs w:val="28"/>
          <w:shd w:val="clear" w:color="auto" w:fill="FFFFFF"/>
          <w:lang w:bidi="ar"/>
        </w:rPr>
      </w:pPr>
    </w:p>
    <w:tbl>
      <w:tblPr>
        <w:tblStyle w:val="7"/>
        <w:tblpPr w:leftFromText="180" w:rightFromText="180" w:vertAnchor="text" w:horzAnchor="page" w:tblpX="1571" w:tblpY="465"/>
        <w:tblOverlap w:val="never"/>
        <w:tblW w:w="9239" w:type="dxa"/>
        <w:tblInd w:w="0" w:type="dxa"/>
        <w:tblLayout w:type="autofit"/>
        <w:tblCellMar>
          <w:top w:w="0" w:type="dxa"/>
          <w:left w:w="108" w:type="dxa"/>
          <w:bottom w:w="0" w:type="dxa"/>
          <w:right w:w="108" w:type="dxa"/>
        </w:tblCellMar>
      </w:tblPr>
      <w:tblGrid>
        <w:gridCol w:w="614"/>
        <w:gridCol w:w="630"/>
        <w:gridCol w:w="630"/>
        <w:gridCol w:w="673"/>
        <w:gridCol w:w="1069"/>
        <w:gridCol w:w="1461"/>
        <w:gridCol w:w="780"/>
        <w:gridCol w:w="731"/>
        <w:gridCol w:w="585"/>
        <w:gridCol w:w="659"/>
        <w:gridCol w:w="1407"/>
      </w:tblGrid>
      <w:tr>
        <w:tblPrEx>
          <w:tblCellMar>
            <w:top w:w="0" w:type="dxa"/>
            <w:left w:w="108" w:type="dxa"/>
            <w:bottom w:w="0" w:type="dxa"/>
            <w:right w:w="108" w:type="dxa"/>
          </w:tblCellMar>
        </w:tblPrEx>
        <w:trPr>
          <w:trHeight w:val="8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40"/>
                <w:szCs w:val="40"/>
              </w:rPr>
            </w:pPr>
            <w:r>
              <w:rPr>
                <w:rFonts w:hint="eastAsia" w:ascii="方正仿宋_GBK" w:hAnsi="方正仿宋_GBK" w:eastAsia="方正仿宋_GBK" w:cs="方正仿宋_GBK"/>
                <w:b/>
                <w:bCs/>
                <w:color w:val="000000"/>
                <w:sz w:val="40"/>
                <w:szCs w:val="40"/>
                <w:lang w:bidi="ar"/>
              </w:rPr>
              <w:t>2023年度二级项目绩效自评表</w:t>
            </w:r>
          </w:p>
        </w:tc>
      </w:tr>
      <w:tr>
        <w:tblPrEx>
          <w:tblCellMar>
            <w:top w:w="0" w:type="dxa"/>
            <w:left w:w="108" w:type="dxa"/>
            <w:bottom w:w="0" w:type="dxa"/>
            <w:right w:w="108" w:type="dxa"/>
          </w:tblCellMar>
        </w:tblPrEx>
        <w:trPr>
          <w:trHeight w:val="5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eastAsia" w:ascii="方正仿宋_GBK" w:hAnsi="方正仿宋_GBK" w:eastAsia="方正仿宋_GBK" w:cs="方正仿宋_GBK"/>
                <w:b/>
                <w:bCs/>
                <w:color w:val="DA3232"/>
                <w:sz w:val="22"/>
                <w:szCs w:val="22"/>
              </w:rPr>
            </w:pPr>
            <w:r>
              <w:rPr>
                <w:rFonts w:hint="eastAsia" w:ascii="方正仿宋_GBK" w:hAnsi="方正仿宋_GBK" w:eastAsia="方正仿宋_GBK" w:cs="方正仿宋_GBK"/>
                <w:b/>
                <w:bCs/>
                <w:color w:val="DA3232"/>
                <w:sz w:val="22"/>
                <w:szCs w:val="22"/>
                <w:lang w:bidi="ar"/>
              </w:rPr>
              <w:t>状态：绩效审核已审</w:t>
            </w:r>
          </w:p>
        </w:tc>
      </w:tr>
      <w:tr>
        <w:tblPrEx>
          <w:tblCellMar>
            <w:top w:w="0" w:type="dxa"/>
            <w:left w:w="108" w:type="dxa"/>
            <w:bottom w:w="0" w:type="dxa"/>
            <w:right w:w="108" w:type="dxa"/>
          </w:tblCellMar>
        </w:tblPrEx>
        <w:trPr>
          <w:trHeight w:val="1383"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项目名称：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公共图书馆、美术馆、文化馆（站）免费开发补助资金</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项目编码：</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50023122T000002041093</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自评总分：</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方正仿宋_GBK" w:hAnsi="方正仿宋_GBK" w:eastAsia="方正仿宋_GBK" w:cs="方正仿宋_GBK"/>
                <w:b/>
                <w:bCs/>
                <w:color w:val="000000"/>
                <w:sz w:val="22"/>
                <w:szCs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color w:val="000000"/>
                <w:sz w:val="22"/>
                <w:szCs w:val="22"/>
              </w:rPr>
            </w:pPr>
          </w:p>
        </w:tc>
      </w:tr>
      <w:tr>
        <w:trPr>
          <w:trHeight w:val="1624"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项目主管部门：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719-垫江县砚台镇人民政府</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财政归口处室：</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014-会计管理核算中心</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部门联系人：</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孙灵艳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联系电话：</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val="en-US" w:eastAsia="zh-CN" w:bidi="ar"/>
              </w:rPr>
              <w:t>023-74588755</w:t>
            </w:r>
          </w:p>
        </w:tc>
      </w:tr>
      <w:tr>
        <w:tblPrEx>
          <w:tblCellMar>
            <w:top w:w="0" w:type="dxa"/>
            <w:left w:w="108" w:type="dxa"/>
            <w:bottom w:w="0" w:type="dxa"/>
            <w:right w:w="108" w:type="dxa"/>
          </w:tblCellMar>
        </w:tblPrEx>
        <w:trPr>
          <w:trHeight w:val="6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资金情况</w:t>
            </w:r>
          </w:p>
        </w:tc>
      </w:tr>
      <w:tr>
        <w:tblPrEx>
          <w:tblCellMar>
            <w:top w:w="0" w:type="dxa"/>
            <w:left w:w="108" w:type="dxa"/>
            <w:bottom w:w="0" w:type="dxa"/>
            <w:right w:w="108" w:type="dxa"/>
          </w:tblCellMar>
        </w:tblPrEx>
        <w:trPr>
          <w:trHeight w:val="50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年初预算数</w:t>
            </w:r>
          </w:p>
        </w:tc>
        <w:tc>
          <w:tcPr>
            <w:tcW w:w="25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全年（调整）预算数</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全年执行数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执行率权重</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执行率得分</w:t>
            </w:r>
          </w:p>
        </w:tc>
      </w:tr>
      <w:tr>
        <w:tblPrEx>
          <w:tblCellMar>
            <w:top w:w="0" w:type="dxa"/>
            <w:left w:w="108" w:type="dxa"/>
            <w:bottom w:w="0" w:type="dxa"/>
            <w:right w:w="108" w:type="dxa"/>
          </w:tblCellMar>
        </w:tblPrEx>
        <w:trPr>
          <w:trHeight w:val="50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年度总金额</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30,000.00 </w:t>
            </w:r>
          </w:p>
        </w:tc>
        <w:tc>
          <w:tcPr>
            <w:tcW w:w="10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45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21,200.00 </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21,200.00 </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color w:val="000000"/>
                <w:sz w:val="22"/>
                <w:szCs w:val="22"/>
              </w:rPr>
            </w:pPr>
          </w:p>
        </w:tc>
      </w:tr>
      <w:tr>
        <w:trPr>
          <w:trHeight w:val="50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其中：财政拨款</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30,000.00 </w:t>
            </w:r>
          </w:p>
        </w:tc>
        <w:tc>
          <w:tcPr>
            <w:tcW w:w="10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45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21,200.00 </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21,200.00 </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220" w:firstLineChars="10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10.00 </w:t>
            </w:r>
          </w:p>
        </w:tc>
      </w:tr>
      <w:tr>
        <w:tblPrEx>
          <w:tblCellMar>
            <w:top w:w="0" w:type="dxa"/>
            <w:left w:w="108" w:type="dxa"/>
            <w:bottom w:w="0" w:type="dxa"/>
            <w:right w:w="108" w:type="dxa"/>
          </w:tblCellMar>
        </w:tblPrEx>
        <w:trPr>
          <w:trHeight w:val="500" w:hRule="atLeast"/>
        </w:trPr>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一般公共预算</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30,000.00 </w:t>
            </w:r>
          </w:p>
        </w:tc>
        <w:tc>
          <w:tcPr>
            <w:tcW w:w="10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45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21,200.00 </w:t>
            </w:r>
          </w:p>
        </w:tc>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21,200.00 </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方正仿宋_GBK" w:hAnsi="方正仿宋_GBK" w:eastAsia="方正仿宋_GBK" w:cs="方正仿宋_GBK"/>
                <w:color w:val="000000"/>
                <w:sz w:val="22"/>
                <w:szCs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6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绩效目标</w:t>
            </w:r>
          </w:p>
        </w:tc>
      </w:tr>
      <w:tr>
        <w:tblPrEx>
          <w:tblCellMar>
            <w:top w:w="0" w:type="dxa"/>
            <w:left w:w="108" w:type="dxa"/>
            <w:bottom w:w="0" w:type="dxa"/>
            <w:right w:w="108" w:type="dxa"/>
          </w:tblCellMar>
        </w:tblPrEx>
        <w:trPr>
          <w:trHeight w:val="500" w:hRule="atLeast"/>
        </w:trPr>
        <w:tc>
          <w:tcPr>
            <w:tcW w:w="25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年初绩效目标</w:t>
            </w:r>
          </w:p>
        </w:tc>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全年（调整）绩效目标</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全年目标实际完成情况</w:t>
            </w:r>
          </w:p>
        </w:tc>
      </w:tr>
      <w:tr>
        <w:trPr>
          <w:trHeight w:val="1600" w:hRule="atLeast"/>
        </w:trPr>
        <w:tc>
          <w:tcPr>
            <w:tcW w:w="2598"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做好免费开放工作</w:t>
            </w:r>
          </w:p>
        </w:tc>
        <w:tc>
          <w:tcPr>
            <w:tcW w:w="4018"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做好免费开放工作</w:t>
            </w:r>
          </w:p>
        </w:tc>
        <w:tc>
          <w:tcPr>
            <w:tcW w:w="2623"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做好免费开放工作</w:t>
            </w:r>
          </w:p>
        </w:tc>
      </w:tr>
      <w:tr>
        <w:tblPrEx>
          <w:tblCellMar>
            <w:top w:w="0" w:type="dxa"/>
            <w:left w:w="108" w:type="dxa"/>
            <w:bottom w:w="0" w:type="dxa"/>
            <w:right w:w="108" w:type="dxa"/>
          </w:tblCellMar>
        </w:tblPrEx>
        <w:trPr>
          <w:trHeight w:val="600" w:hRule="atLeast"/>
        </w:trPr>
        <w:tc>
          <w:tcPr>
            <w:tcW w:w="923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b/>
                <w:bCs/>
                <w:color w:val="808080"/>
                <w:sz w:val="28"/>
                <w:szCs w:val="28"/>
              </w:rPr>
            </w:pPr>
            <w:r>
              <w:rPr>
                <w:rFonts w:hint="eastAsia" w:ascii="方正仿宋_GBK" w:hAnsi="方正仿宋_GBK" w:eastAsia="方正仿宋_GBK" w:cs="方正仿宋_GBK"/>
                <w:b/>
                <w:bCs/>
                <w:color w:val="808080"/>
                <w:sz w:val="28"/>
                <w:szCs w:val="28"/>
                <w:lang w:bidi="ar"/>
              </w:rPr>
              <w:t>绩效指标</w:t>
            </w:r>
          </w:p>
        </w:tc>
      </w:tr>
      <w:tr>
        <w:tblPrEx>
          <w:tblCellMar>
            <w:top w:w="0" w:type="dxa"/>
            <w:left w:w="108" w:type="dxa"/>
            <w:bottom w:w="0" w:type="dxa"/>
            <w:right w:w="108" w:type="dxa"/>
          </w:tblCellMar>
        </w:tblPrEx>
        <w:trPr>
          <w:trHeight w:val="5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指标名称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计量单位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指标性质</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指标值</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全年完成值</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偏离度（%）</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得分系数（%）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指标权重</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指标得分</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是否核心指标</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sz w:val="22"/>
                <w:szCs w:val="22"/>
                <w:lang w:bidi="ar"/>
              </w:rPr>
              <w:t>说明</w:t>
            </w:r>
          </w:p>
        </w:tc>
      </w:tr>
      <w:tr>
        <w:tblPrEx>
          <w:tblCellMar>
            <w:top w:w="0" w:type="dxa"/>
            <w:left w:w="108" w:type="dxa"/>
            <w:bottom w:w="0" w:type="dxa"/>
            <w:right w:w="108" w:type="dxa"/>
          </w:tblCellMar>
        </w:tblPrEx>
        <w:trPr>
          <w:trHeight w:val="2274"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涉及村（社区）数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r>
      <w:tr>
        <w:trPr>
          <w:trHeight w:val="2254"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出现大的问题数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未出现较大问题</w:t>
            </w:r>
          </w:p>
        </w:tc>
      </w:tr>
      <w:tr>
        <w:tblPrEx>
          <w:tblCellMar>
            <w:top w:w="0" w:type="dxa"/>
            <w:left w:w="108" w:type="dxa"/>
            <w:bottom w:w="0" w:type="dxa"/>
            <w:right w:w="108" w:type="dxa"/>
          </w:tblCellMar>
        </w:tblPrEx>
        <w:trPr>
          <w:trHeight w:val="5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资金及时支付率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94" w:lineRule="exact"/>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社会效益</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定性</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良好</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服务对象满意度</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90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color w:val="000000"/>
                <w:sz w:val="22"/>
                <w:szCs w:val="22"/>
              </w:rPr>
            </w:pPr>
          </w:p>
        </w:tc>
      </w:tr>
    </w:tbl>
    <w:p>
      <w:pPr>
        <w:pStyle w:val="11"/>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94" w:lineRule="exact"/>
        <w:ind w:left="0" w:firstLine="640" w:firstLineChars="200"/>
        <w:textAlignment w:val="auto"/>
        <w:rPr>
          <w:rFonts w:hint="eastAsia" w:ascii="方正楷体_GBK" w:hAnsi="方正楷体_GBK" w:eastAsia="方正楷体_GBK" w:cs="方正楷体_GBK"/>
          <w:b w:val="0"/>
          <w:bCs w:val="0"/>
          <w:sz w:val="32"/>
          <w:szCs w:val="32"/>
          <w:shd w:val="clear" w:color="auto" w:fill="FFFFFF"/>
          <w:lang w:bidi="ar"/>
        </w:rPr>
      </w:pPr>
      <w:r>
        <w:rPr>
          <w:rFonts w:hint="eastAsia" w:ascii="方正楷体_GBK" w:hAnsi="方正楷体_GBK" w:eastAsia="方正楷体_GBK" w:cs="方正楷体_GBK"/>
          <w:b w:val="0"/>
          <w:bCs w:val="0"/>
          <w:sz w:val="32"/>
          <w:szCs w:val="32"/>
          <w:shd w:val="clear" w:color="auto" w:fill="FFFFFF"/>
          <w:lang w:eastAsia="zh-CN" w:bidi="ar"/>
        </w:rPr>
        <w:t>（二）</w:t>
      </w:r>
      <w:r>
        <w:rPr>
          <w:rFonts w:hint="eastAsia" w:ascii="方正楷体_GBK" w:hAnsi="方正楷体_GBK" w:eastAsia="方正楷体_GBK" w:cs="方正楷体_GBK"/>
          <w:b w:val="0"/>
          <w:bCs w:val="0"/>
          <w:sz w:val="32"/>
          <w:szCs w:val="32"/>
          <w:shd w:val="clear" w:color="auto" w:fill="FFFFFF"/>
          <w:lang w:bidi="ar"/>
        </w:rPr>
        <w:t>部门绩效评价情况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320" w:firstLineChars="100"/>
        <w:textAlignment w:val="auto"/>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我部门未组织开展绩效评价。</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ascii="楷体" w:hAnsi="楷体" w:eastAsia="楷体" w:cs="楷体"/>
          <w:b w:val="0"/>
          <w:bCs w:val="0"/>
          <w:sz w:val="32"/>
          <w:szCs w:val="32"/>
          <w:shd w:val="clear" w:color="auto" w:fill="FFFFFF"/>
          <w:lang w:bidi="ar"/>
        </w:rPr>
      </w:pPr>
      <w:r>
        <w:rPr>
          <w:rFonts w:hint="eastAsia" w:ascii="楷体" w:hAnsi="楷体" w:eastAsia="楷体" w:cs="楷体"/>
          <w:b w:val="0"/>
          <w:bCs w:val="0"/>
          <w:sz w:val="32"/>
          <w:szCs w:val="32"/>
          <w:shd w:val="clear" w:color="auto" w:fill="FFFFFF"/>
          <w:lang w:bidi="ar"/>
        </w:rPr>
        <w:t>（三）财政绩效评价情况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320" w:firstLineChars="100"/>
        <w:textAlignment w:val="auto"/>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县财政局未委托第三方对我部门开展绩效评价。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Style w:val="10"/>
          <w:rFonts w:hint="default" w:ascii="方正仿宋_GBK" w:hAnsi="方正仿宋_GBK" w:eastAsia="方正仿宋_GBK" w:cs="方正仿宋_GBK"/>
          <w:b w:val="0"/>
          <w:bCs w:val="0"/>
          <w:sz w:val="32"/>
          <w:szCs w:val="32"/>
          <w:shd w:val="clear" w:color="auto" w:fill="FFFFFF"/>
        </w:rPr>
      </w:pPr>
      <w:r>
        <w:rPr>
          <w:rStyle w:val="10"/>
          <w:rFonts w:ascii="方正仿宋_GBK" w:hAnsi="方正仿宋_GBK" w:eastAsia="方正仿宋_GBK" w:cs="方正仿宋_GBK"/>
          <w:b w:val="0"/>
          <w:bCs w:val="0"/>
          <w:sz w:val="32"/>
          <w:szCs w:val="32"/>
          <w:shd w:val="clear" w:color="auto" w:fill="FFFFFF"/>
        </w:rPr>
        <w:t xml:space="preserve">  </w:t>
      </w:r>
      <w:r>
        <w:rPr>
          <w:rStyle w:val="10"/>
          <w:rFonts w:ascii="黑体" w:hAnsi="黑体" w:eastAsia="黑体" w:cs="黑体"/>
          <w:b w:val="0"/>
          <w:bCs w:val="0"/>
          <w:sz w:val="32"/>
          <w:szCs w:val="32"/>
          <w:shd w:val="clear" w:color="auto" w:fill="FFFFFF"/>
        </w:rPr>
        <w:t>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val="0"/>
          <w:bCs w:val="0"/>
          <w:sz w:val="32"/>
          <w:szCs w:val="32"/>
          <w:shd w:val="clear" w:color="auto" w:fill="FFFFFF"/>
          <w:lang w:bidi="ar"/>
        </w:rPr>
        <w:t> </w:t>
      </w:r>
      <w:r>
        <w:rPr>
          <w:rFonts w:ascii="楷体" w:hAnsi="楷体" w:eastAsia="楷体" w:cs="楷体"/>
          <w:b w:val="0"/>
          <w:bCs w:val="0"/>
          <w:sz w:val="32"/>
          <w:szCs w:val="32"/>
          <w:shd w:val="clear" w:color="auto" w:fill="FFFFFF"/>
          <w:lang w:bidi="ar"/>
        </w:rPr>
        <w:t>（一）财政拨款收入：</w:t>
      </w:r>
      <w:r>
        <w:rPr>
          <w:rFonts w:ascii="方正仿宋_GBK" w:hAnsi="方正仿宋_GBK" w:eastAsia="方正仿宋_GBK" w:cs="方正仿宋_GBK"/>
          <w:b w:val="0"/>
          <w:bCs w:val="0"/>
          <w:sz w:val="32"/>
          <w:szCs w:val="32"/>
          <w:shd w:val="clear" w:color="auto" w:fill="FFFFFF"/>
        </w:rPr>
        <w:t>指本年度从本级财政部门取得的财政</w:t>
      </w:r>
      <w:r>
        <w:rPr>
          <w:rFonts w:ascii="方正仿宋_GBK" w:hAnsi="方正仿宋_GBK" w:eastAsia="方正仿宋_GBK" w:cs="方正仿宋_GBK"/>
          <w:sz w:val="32"/>
          <w:szCs w:val="32"/>
          <w:shd w:val="clear" w:color="auto" w:fill="FFFFFF"/>
        </w:rPr>
        <w:t>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（二）事业收入</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（三）经营收入</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（四）其他收入</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b w:val="0"/>
          <w:bCs/>
          <w:sz w:val="32"/>
          <w:szCs w:val="32"/>
          <w:shd w:val="clear" w:color="auto" w:fill="FFFFFF"/>
        </w:rPr>
        <w:t>（五）使用非财政拨款结余</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（六）年初结转和结余</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（七）结余分配</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（八）年末结转和结余</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（九）基本支出</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（十）项目支出</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（十一）经营支出</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（十二）“三公”经费</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（十三）机关运行经费</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为保障行政单位（含参照公务员法</w:t>
      </w:r>
      <w:r>
        <w:rPr>
          <w:rFonts w:ascii="方正仿宋_GBK" w:hAnsi="方正仿宋_GBK" w:eastAsia="方正仿宋_GBK" w:cs="方正仿宋_GBK"/>
          <w:sz w:val="32"/>
          <w:szCs w:val="32"/>
          <w:shd w:val="clear" w:color="auto" w:fill="FFFFFF"/>
        </w:rPr>
        <w:t>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（十四）工资福利支出（支出经济分类科目类级）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反映单</w:t>
      </w:r>
      <w:r>
        <w:rPr>
          <w:rFonts w:ascii="方正仿宋_GBK" w:hAnsi="方正仿宋_GBK" w:eastAsia="方正仿宋_GBK" w:cs="方正仿宋_GBK"/>
          <w:sz w:val="32"/>
          <w:szCs w:val="32"/>
          <w:shd w:val="clear" w:color="auto" w:fill="FFFFFF"/>
        </w:rPr>
        <w:t>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（十五）商品和服务支出（支出经济分类科目类级）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w:t>
      </w:r>
      <w:r>
        <w:rPr>
          <w:rFonts w:ascii="方正仿宋_GBK" w:hAnsi="方正仿宋_GBK" w:eastAsia="方正仿宋_GBK" w:cs="方正仿宋_GBK"/>
          <w:sz w:val="32"/>
          <w:szCs w:val="32"/>
          <w:shd w:val="clear" w:color="auto" w:fill="FFFFFF"/>
        </w:rPr>
        <w:t>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b w:val="0"/>
          <w:bCs/>
          <w:sz w:val="32"/>
          <w:szCs w:val="32"/>
          <w:shd w:val="clear" w:color="auto" w:fill="FFFFFF"/>
        </w:rPr>
        <w:t> （十六）对个人和家庭的补助（支出经济分类科目类级）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bCs/>
          <w:sz w:val="32"/>
          <w:szCs w:val="32"/>
          <w:shd w:val="clear" w:color="auto" w:fill="FFFFFF"/>
        </w:rPr>
        <w:t> </w:t>
      </w:r>
      <w:r>
        <w:rPr>
          <w:rStyle w:val="10"/>
          <w:rFonts w:ascii="楷体" w:hAnsi="楷体" w:eastAsia="楷体" w:cs="楷体"/>
          <w:b w:val="0"/>
          <w:bCs/>
          <w:sz w:val="32"/>
          <w:szCs w:val="32"/>
          <w:shd w:val="clear" w:color="auto" w:fill="FFFFFF"/>
        </w:rPr>
        <w:t>（十七）其他资本性支出（支出经济分类科目类级）</w:t>
      </w:r>
      <w:r>
        <w:rPr>
          <w:rFonts w:ascii="楷体" w:hAnsi="楷体" w:eastAsia="楷体" w:cs="楷体"/>
          <w:b w:val="0"/>
          <w:bCs/>
          <w:sz w:val="32"/>
          <w:szCs w:val="32"/>
          <w:shd w:val="clear" w:color="auto" w:fill="FFFFFF"/>
        </w:rPr>
        <w:t>：</w:t>
      </w:r>
      <w:r>
        <w:rPr>
          <w:rFonts w:ascii="方正仿宋_GBK" w:hAnsi="方正仿宋_GBK" w:eastAsia="方正仿宋_GBK" w:cs="方正仿宋_GBK"/>
          <w:b w:val="0"/>
          <w:bCs/>
          <w:sz w:val="32"/>
          <w:szCs w:val="32"/>
          <w:shd w:val="clear" w:color="auto" w:fill="FFFFFF"/>
        </w:rPr>
        <w:t>反映</w:t>
      </w:r>
      <w:r>
        <w:rPr>
          <w:rFonts w:ascii="方正仿宋_GBK" w:hAnsi="方正仿宋_GBK" w:eastAsia="方正仿宋_GBK" w:cs="方正仿宋_GBK"/>
          <w:sz w:val="32"/>
          <w:szCs w:val="32"/>
          <w:shd w:val="clear" w:color="auto" w:fill="FFFFFF"/>
        </w:rPr>
        <w:t>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Style w:val="10"/>
          <w:rFonts w:hint="default" w:ascii="方正仿宋_GBK" w:hAnsi="方正仿宋_GBK" w:eastAsia="方正仿宋_GBK" w:cs="方正仿宋_GBK"/>
          <w:b w:val="0"/>
          <w:bCs/>
          <w:sz w:val="32"/>
          <w:szCs w:val="32"/>
          <w:shd w:val="clear" w:color="auto" w:fill="FFFFFF"/>
        </w:rPr>
      </w:pPr>
      <w:r>
        <w:rPr>
          <w:rStyle w:val="10"/>
          <w:rFonts w:ascii="黑体" w:hAnsi="黑体" w:eastAsia="黑体" w:cs="黑体"/>
          <w:b w:val="0"/>
          <w:bCs/>
          <w:sz w:val="32"/>
          <w:szCs w:val="32"/>
          <w:shd w:val="clear" w:color="auto" w:fill="FFFFFF"/>
        </w:rPr>
        <w:t>七、决算公开联系方式及信息反馈渠道</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firstLine="640" w:firstLineChars="200"/>
        <w:textAlignment w:val="auto"/>
        <w:rPr>
          <w:rStyle w:val="10"/>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本部门决算公开信息反馈和联系方式：</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firstLine="640" w:firstLineChars="200"/>
        <w:textAlignment w:val="auto"/>
        <w:rPr>
          <w:rStyle w:val="10"/>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包老师023-74588755</w:t>
      </w:r>
    </w:p>
    <w:p>
      <w:pPr>
        <w:pStyle w:val="11"/>
        <w:keepNext w:val="0"/>
        <w:keepLines w:val="0"/>
        <w:pageBreakBefore w:val="0"/>
        <w:widowControl/>
        <w:kinsoku/>
        <w:wordWrap/>
        <w:overflowPunct/>
        <w:topLinePunct w:val="0"/>
        <w:autoSpaceDE w:val="0"/>
        <w:autoSpaceDN/>
        <w:bidi w:val="0"/>
        <w:adjustRightInd/>
        <w:snapToGrid/>
        <w:ind w:firstLine="642" w:firstLineChars="200"/>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p>
      <w:pPr>
        <w:rPr>
          <w:rFonts w:hint="eastAsia" w:ascii="方正仿宋_GBK" w:hAnsi="方正仿宋_GBK" w:eastAsia="方正仿宋_GBK" w:cs="方正仿宋_GBK"/>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trPr>
          <w:trHeight w:val="565" w:hRule="atLeast"/>
        </w:trPr>
        <w:tc>
          <w:tcPr>
            <w:tcW w:w="22292" w:type="dxa"/>
            <w:gridSpan w:val="4"/>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收入支出决算总表</w:t>
            </w:r>
          </w:p>
        </w:tc>
      </w:tr>
      <w:tr>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81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公开01表</w:t>
            </w:r>
          </w:p>
        </w:tc>
      </w:tr>
      <w:tr>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rPr>
              <w:t>公开部门：垫江县砚台镇人民政府</w:t>
            </w: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381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支出</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3,295.42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1,130.22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903.99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15.10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78.50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402.49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64.31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1,011.48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983.26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288.33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45.20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103.24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12.50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103.31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4,199.45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4,237.97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38.52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4,237.97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4,237.97 </w:t>
            </w:r>
          </w:p>
        </w:tc>
      </w:tr>
    </w:tbl>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备注：1.本表反映部门本年度的总收支和年末结转结余情况。</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 xml:space="preserve">      2.本套报表金额单位转换时可能存在尾数误差。</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rPr>
        <w:br w:type="textWrapping"/>
      </w:r>
    </w:p>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br w:type="page"/>
      </w:r>
    </w:p>
    <w:p>
      <w:pPr>
        <w:rPr>
          <w:rFonts w:hint="eastAsia" w:ascii="方正仿宋_GBK" w:hAnsi="方正仿宋_GBK" w:eastAsia="方正仿宋_GBK" w:cs="方正仿宋_GBK"/>
          <w:sz w:val="21"/>
          <w:szCs w:val="21"/>
          <w:lang w:bidi="ar"/>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rPr>
          <w:trHeight w:val="641" w:hRule="atLeast"/>
        </w:trPr>
        <w:tc>
          <w:tcPr>
            <w:tcW w:w="22220"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rPr>
              <w:t>公开部门：垫江县砚台镇人民政府</w:t>
            </w: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3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3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4,199.45 </w:t>
            </w:r>
          </w:p>
        </w:tc>
        <w:tc>
          <w:tcPr>
            <w:tcW w:w="23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4,199.45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1,130.22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1,130.22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148.21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148.21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794.03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794.03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632.80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632.80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161.22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161.22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2010507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11.94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11.94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2013202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统战事务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2013402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2013816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2040299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78.50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78.50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78.50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78.50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2070109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群众文化</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76.38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76.38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2070199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399.61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399.61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88.06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88.06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2080150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88.06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88.06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233.72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233.72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114.33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114.33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47.53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47.53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退役安置</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其他退役安置支出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24.60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24.60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24.60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24.60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残疾人就业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47.00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47.00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2082850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38.52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38.52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2082899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8.48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8.48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2100410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61.13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61.13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41.80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41.80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1,011.48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1,011.48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128.58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城管执法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128.58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128.58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小城镇基础设施建设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27.22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27.22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800.68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800.68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963.53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963.53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180.49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180.49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158.19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158.19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2130135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18.30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18.30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2130148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渔业发展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753.74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753.74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520.74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520.74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63.11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63.11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公路建设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车辆购置税支出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209.31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209.31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209.31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209.31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2150899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87.79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87.79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87.79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87.79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国有资本经营预算支出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解决历史遗留问题及改革成本支出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2230105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国有企业退休人员社会化管理补助支出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2240601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地质灾害防治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2240703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582"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2296099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用于其他社会公益事业的彩票公益金支出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103.31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103.31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bl>
    <w:p>
      <w:pPr>
        <w:ind w:left="630" w:hanging="630" w:hangingChars="300"/>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备注：1.本表反映部门本年度取得的各项收入情况。</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2.本套报表金额单位转换时可能存在尾数误差。</w:t>
      </w:r>
    </w:p>
    <w:p>
      <w:pPr>
        <w:ind w:left="630" w:hanging="630" w:hangingChars="300"/>
        <w:rPr>
          <w:rFonts w:hint="eastAsia" w:ascii="方正仿宋_GBK" w:hAnsi="方正仿宋_GBK" w:eastAsia="方正仿宋_GBK" w:cs="方正仿宋_GBK"/>
          <w:sz w:val="21"/>
          <w:szCs w:val="21"/>
          <w:lang w:bidi="ar"/>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rPr>
          <w:trHeight w:val="654" w:hRule="atLeast"/>
        </w:trPr>
        <w:tc>
          <w:tcPr>
            <w:tcW w:w="2218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支出决算表</w:t>
            </w:r>
          </w:p>
        </w:tc>
      </w:tr>
      <w:tr>
        <w:trPr>
          <w:trHeight w:val="342" w:hRule="atLeast"/>
        </w:trPr>
        <w:tc>
          <w:tcPr>
            <w:tcW w:w="5610"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rPr>
              <w:t>公开部门</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 xml:space="preserve">垫江县砚台镇人民政府 </w:t>
            </w: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7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公开03表</w:t>
            </w:r>
          </w:p>
        </w:tc>
      </w:tr>
      <w:tr>
        <w:trPr>
          <w:trHeight w:val="342" w:hRule="atLeast"/>
        </w:trPr>
        <w:tc>
          <w:tcPr>
            <w:tcW w:w="5610"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7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对附属单位补助支出</w:t>
            </w:r>
          </w:p>
        </w:tc>
      </w:tr>
      <w:tr>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4,237.97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1,907.56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2,330.41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1,130.22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632.80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497.42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148.21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148.21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794.03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632.80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161.22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632.80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161.22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161.22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2010507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2013202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统战事务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2013402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2013816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2040299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78.50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76.38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78.50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76.38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2070109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群众文化</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76.38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76.38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2070199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402.49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360.30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42.19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2080150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88.06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233.72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233.72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114.33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114.33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47.53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47.53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71.86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退役安置</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其他退役安置支出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24.60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24.60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24.60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24.60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残疾人就业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49.88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38.52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2082850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38.52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38.52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2082899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64.31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61.13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2100410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61.13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61.13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41.80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41.80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1,011.48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882.90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城管执法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128.58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128.58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小城镇基础设施建设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27.22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27.22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27.22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800.68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800.68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800.68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983.26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560.58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422.68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187.99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158.19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29.80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158.19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158.19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2130135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18.30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18.30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2130148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渔业发展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2130316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农村水利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19.30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753.74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402.39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351.35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520.74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402.39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118.35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288.33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288.33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79.02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公路建设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63.11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2140106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车辆购置税支出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209.31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2150899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45.20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15.45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87.79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87.79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国有资本经营预算支出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2230105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0.04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12.50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2240601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地质灾害防治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7.50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2240703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7.50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b/>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r>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2296099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用于其他社会公益事业的彩票公益金支出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103.31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21"/>
                <w:szCs w:val="21"/>
                <w:lang w:bidi="ar"/>
              </w:rPr>
              <w:t xml:space="preserve"> </w:t>
            </w:r>
          </w:p>
        </w:tc>
      </w:tr>
    </w:tbl>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bidi="ar"/>
        </w:rPr>
        <w:t>备注：1.本表反映部门本年度各项支出情况。</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 xml:space="preserve">      2.本套报表金额单位转换时可能存在尾数误差。</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rPr>
        <w:br w:type="textWrapping"/>
      </w:r>
    </w:p>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br w:type="page"/>
      </w:r>
    </w:p>
    <w:p>
      <w:pPr>
        <w:rPr>
          <w:rFonts w:hint="eastAsia" w:ascii="方正仿宋_GBK" w:hAnsi="方正仿宋_GBK" w:eastAsia="方正仿宋_GBK" w:cs="方正仿宋_GBK"/>
          <w:sz w:val="21"/>
          <w:szCs w:val="21"/>
          <w:lang w:bidi="ar"/>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rPr>
              <w:t>公开部门</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w:t>
            </w: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0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公开04表</w:t>
            </w:r>
          </w:p>
        </w:tc>
      </w:tr>
      <w:tr>
        <w:trPr>
          <w:trHeight w:val="90" w:hRule="atLeast"/>
        </w:trPr>
        <w:tc>
          <w:tcPr>
            <w:tcW w:w="6742"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30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3,295.42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1,130.22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1,130.22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903.99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15.10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15.10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78.50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78.50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402.49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402.49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64.31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64.31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1,011.48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210.80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800.68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983.26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983.26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288.33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288.33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45.20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45.20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103.24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103.24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12.50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12.50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103.31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103.31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4,199.45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4,237.97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3,333.94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903.99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38.52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38.52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4,237.97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4,237.97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3,333.94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903.99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0.04 </w:t>
            </w:r>
          </w:p>
        </w:tc>
      </w:tr>
    </w:tbl>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bidi="ar"/>
        </w:rPr>
        <w:t>备注：1.本表反映部门本年度一般公共预算财政拨款、政府性基金预算财政拨款及国有资本经营预算财政拨款的总收支和年末结转结余情况。</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 xml:space="preserve">      2.本套报表金额单位转换时可能存在尾数误差。</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rPr>
        <w:br w:type="textWrapping"/>
      </w:r>
    </w:p>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rPr>
          <w:trHeight w:val="510" w:hRule="atLeast"/>
        </w:trPr>
        <w:tc>
          <w:tcPr>
            <w:tcW w:w="2230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一般公共预算财政拨款支出决算表</w:t>
            </w:r>
          </w:p>
        </w:tc>
      </w:tr>
      <w:tr>
        <w:trPr>
          <w:trHeight w:val="255" w:hRule="atLeast"/>
        </w:trPr>
        <w:tc>
          <w:tcPr>
            <w:tcW w:w="7845"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rPr>
              <w:t>公开部门</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w:t>
            </w: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48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公开05表</w:t>
            </w:r>
          </w:p>
        </w:tc>
      </w:tr>
      <w:tr>
        <w:trPr>
          <w:trHeight w:val="285" w:hRule="atLeast"/>
        </w:trPr>
        <w:tc>
          <w:tcPr>
            <w:tcW w:w="7845"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8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w:t>
            </w:r>
          </w:p>
        </w:tc>
      </w:tr>
      <w:tr>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项目支出</w:t>
            </w:r>
          </w:p>
        </w:tc>
      </w:tr>
      <w:tr>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3,333.94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1,907.56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1,426.38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1,130.22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632.80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497.42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人大事务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154.28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154.28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148.21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148.21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代表工作</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4.57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4.57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其他人大事务支出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794.03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632.80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161.22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632.80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632.80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161.22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161.22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3.35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2010507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3.35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商贸事务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64.40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64.40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11.94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11.94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2011308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招商引资</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52.46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52.46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2.30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8.00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组织事务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10.10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2013202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10.10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统战事务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3.60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2013402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3.60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88.18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88.18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88.18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88.18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20138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2013816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15.10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公安</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7.15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2040299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7.15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7.95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7.95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2049999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7.95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7.95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78.50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76.38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2.12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78.50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76.38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2.12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2070109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群众文化</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76.38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76.38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2070199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2.12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402.49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360.30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42.19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88.06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88.06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2080150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88.06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88.06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233.72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233.72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114.33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114.33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47.53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47.53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71.86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71.86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退役安置</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0.40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2080999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其他退役安置支出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0.40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0.40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社会福利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24.60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24.60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2081006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养老服务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24.60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24.60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5.83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5.83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残疾人就业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2081199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4.83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49.88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38.52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11.36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2082850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38.52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38.52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2082899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11.36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11.36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64.31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61.13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3.18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1.12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2100410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1.12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0.13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0.13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0.13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0.13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61.13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61.13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41.80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41.80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19.32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19.32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21014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优抚对象医疗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1.93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1.93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2101401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优抚对象医疗补助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1.93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1.93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210.80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128.58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82.22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128.58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128.58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城管执法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128.58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128.58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城乡社区公共设施</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55.00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55.00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小城镇基础设施建设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55.00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55.00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27.22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27.22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27.22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27.22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983.26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560.58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422.68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187.99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158.19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29.80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158.19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158.19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2130135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农业资源保护修复与利用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18.30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18.30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2130148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渔业发展</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10.00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21.78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21.78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森林资源培育</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21.78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21.78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水利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0.45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2130316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农村水利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0.45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19.30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19.30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19.30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19.30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21307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753.74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402.39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351.35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233.00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233.00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2130705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520.74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402.39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118.35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288.33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288.33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79.02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79.02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公路建设</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63.11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63.11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2140106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公路养护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15.91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15.91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车辆购置税支出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209.31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209.31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2140601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车辆购置税用于公路等基础设施建设支出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209.31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209.31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45.20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45.20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21508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45.20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45.20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2150899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45.20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45.20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87.79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15.45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15.45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15.45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15.45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87.79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87.79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87.79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87.79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12.50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12.50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应急管理事务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3.00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应急救援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3.00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自然灾害防治</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2.00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2240601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地质灾害防治</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2.00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22407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7.50 </w:t>
            </w:r>
          </w:p>
        </w:tc>
      </w:tr>
      <w:tr>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2240703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7.50 </w:t>
            </w:r>
          </w:p>
        </w:tc>
      </w:tr>
    </w:tbl>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bidi="ar"/>
        </w:rPr>
        <w:t>备注：1.本表反映部门本年度一般公共预算财政拨款支出情况。</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 xml:space="preserve">      2.本套报表金额单位转换时可能存在尾数误差。</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rPr>
        <w:br w:type="textWrapping"/>
      </w:r>
    </w:p>
    <w:p>
      <w:pPr>
        <w:ind w:firstLine="630" w:firstLineChars="3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rPr>
              <w:t>公开部门</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w:t>
            </w: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4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公开06表</w:t>
            </w:r>
          </w:p>
        </w:tc>
      </w:tr>
      <w:tr>
        <w:trPr>
          <w:trHeight w:val="302" w:hRule="atLeast"/>
        </w:trPr>
        <w:tc>
          <w:tcPr>
            <w:tcW w:w="4784"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公用经费</w:t>
            </w:r>
          </w:p>
        </w:tc>
      </w:tr>
      <w:tr>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1,258.50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174.81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236.37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21.25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134.65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5.45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239.11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296.47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1.81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114.33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14.70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47.53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30.60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61.13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13.58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48.82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89.39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8.84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17.10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474.25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4.38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468.45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5.80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16.53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0.30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0.95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28.72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1.30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1,732.74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 xml:space="preserve">174.81 </w:t>
            </w:r>
          </w:p>
        </w:tc>
      </w:tr>
    </w:tbl>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bidi="ar"/>
        </w:rPr>
        <w:t>备注：1.本表反映部门本年度一般公共预算财政拨款基本支出明细情况。</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 xml:space="preserve">      2.本套报表金额单位转换时可能存在尾数误差。</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rPr>
        <w:br w:type="textWrapping"/>
      </w:r>
    </w:p>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rPr>
              <w:t>公开部门</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w:t>
            </w: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26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26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903.99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903.99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903.99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城乡社区支出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21208</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国有土地使用权出让收入安排的支出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800.68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2120899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800.68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800.68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103.31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2296099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用于其他社会公益事业的彩票公益金支出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103.31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103.31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 </w:t>
            </w:r>
          </w:p>
        </w:tc>
      </w:tr>
    </w:tbl>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bidi="ar"/>
        </w:rPr>
        <w:t>备注：1.本表反映部门本年度政府性基金预算财政拨款收入支出及结转和结余情况。</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 xml:space="preserve">      2.本套报表金额单位转换时可能存在尾数误差。</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rPr>
        <w:br w:type="textWrapping"/>
      </w:r>
    </w:p>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rPr>
          <w:trHeight w:val="650" w:hRule="atLeast"/>
        </w:trPr>
        <w:tc>
          <w:tcPr>
            <w:tcW w:w="2222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国有资本经营预算财政拨款支出决算表</w:t>
            </w:r>
          </w:p>
        </w:tc>
      </w:tr>
      <w:tr>
        <w:trPr>
          <w:trHeight w:val="332" w:hRule="atLeast"/>
        </w:trPr>
        <w:tc>
          <w:tcPr>
            <w:tcW w:w="7149" w:type="dxa"/>
            <w:gridSpan w:val="2"/>
            <w:vMerge w:val="restart"/>
            <w:tcBorders>
              <w:top w:val="nil"/>
              <w:left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rPr>
              <w:t>公开部门</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w:t>
            </w: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491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公开08表</w:t>
            </w:r>
          </w:p>
        </w:tc>
      </w:tr>
      <w:tr>
        <w:trPr>
          <w:trHeight w:val="332" w:hRule="atLeast"/>
        </w:trPr>
        <w:tc>
          <w:tcPr>
            <w:tcW w:w="7149" w:type="dxa"/>
            <w:gridSpan w:val="2"/>
            <w:vMerge w:val="continue"/>
            <w:tcBorders>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491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本年支出</w:t>
            </w:r>
          </w:p>
        </w:tc>
      </w:tr>
      <w:tr>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项目支出</w:t>
            </w:r>
          </w:p>
        </w:tc>
      </w:tr>
      <w:tr>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方正仿宋_GBK" w:hAnsi="方正仿宋_GBK" w:eastAsia="方正仿宋_GBK" w:cs="方正仿宋_GBK"/>
                <w:b/>
                <w:color w:val="000000"/>
                <w:sz w:val="22"/>
                <w:szCs w:val="22"/>
              </w:rPr>
            </w:pPr>
          </w:p>
        </w:tc>
      </w:tr>
      <w:tr>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0.04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bCs/>
                <w:color w:val="000000"/>
                <w:sz w:val="21"/>
                <w:szCs w:val="21"/>
                <w:lang w:bidi="ar"/>
              </w:rPr>
              <w:t xml:space="preserve">0.04 </w:t>
            </w:r>
          </w:p>
        </w:tc>
      </w:tr>
      <w:tr>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w:t>
            </w:r>
          </w:p>
        </w:tc>
        <w:tc>
          <w:tcPr>
            <w:tcW w:w="4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国有资本经营预算支出</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0.04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0.04 </w:t>
            </w:r>
          </w:p>
        </w:tc>
      </w:tr>
      <w:tr>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22301</w:t>
            </w:r>
          </w:p>
        </w:tc>
        <w:tc>
          <w:tcPr>
            <w:tcW w:w="4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b/>
                <w:color w:val="000000"/>
                <w:sz w:val="21"/>
                <w:szCs w:val="21"/>
                <w:lang w:bidi="ar"/>
              </w:rPr>
              <w:t>解决历史遗留问题及改革成本支出</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0.04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1"/>
                <w:szCs w:val="21"/>
                <w:lang w:bidi="ar"/>
              </w:rPr>
              <w:t xml:space="preserve">0.04 </w:t>
            </w:r>
          </w:p>
        </w:tc>
      </w:tr>
      <w:tr>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2230105</w:t>
            </w:r>
          </w:p>
        </w:tc>
        <w:tc>
          <w:tcPr>
            <w:tcW w:w="4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1"/>
                <w:szCs w:val="21"/>
                <w:lang w:bidi="ar"/>
              </w:rPr>
              <w:t>国有企业退休人员社会化管理补助支出</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0.04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方正仿宋_GBK" w:hAnsi="方正仿宋_GBK" w:eastAsia="方正仿宋_GBK" w:cs="方正仿宋_GBK"/>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color w:val="000000"/>
                <w:sz w:val="21"/>
                <w:szCs w:val="21"/>
                <w:lang w:bidi="ar"/>
              </w:rPr>
              <w:t xml:space="preserve">0.04 </w:t>
            </w:r>
          </w:p>
        </w:tc>
      </w:tr>
    </w:tbl>
    <w:p>
      <w:pPr>
        <w:rPr>
          <w:rFonts w:hint="eastAsia" w:ascii="方正仿宋_GBK" w:hAnsi="方正仿宋_GBK" w:eastAsia="方正仿宋_GBK" w:cs="方正仿宋_GBK"/>
          <w:sz w:val="21"/>
          <w:szCs w:val="21"/>
          <w:lang w:bidi="ar"/>
        </w:rPr>
      </w:pPr>
      <w:r>
        <w:rPr>
          <w:rFonts w:hint="eastAsia" w:ascii="方正仿宋_GBK" w:hAnsi="方正仿宋_GBK" w:eastAsia="方正仿宋_GBK" w:cs="方正仿宋_GBK"/>
          <w:sz w:val="21"/>
          <w:szCs w:val="21"/>
          <w:lang w:bidi="ar"/>
        </w:rPr>
        <w:t>备注：1.本表反映部门本年度国有资本经营预算财政拨款支出情况。</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 xml:space="preserve">      2.本套报表金额单位转换时可能存在尾数误差。</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rPr>
        <w:br w:type="textWrapping"/>
      </w:r>
    </w:p>
    <w:p>
      <w:pP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eastAsia" w:ascii="方正仿宋_GBK" w:hAnsi="方正仿宋_GBK" w:eastAsia="方正仿宋_GBK" w:cs="方正仿宋_GBK"/>
                <w:b/>
                <w:color w:val="000000"/>
                <w:sz w:val="40"/>
                <w:szCs w:val="40"/>
              </w:rPr>
            </w:pPr>
            <w:r>
              <w:rPr>
                <w:rFonts w:hint="eastAsia" w:ascii="方正仿宋_GBK" w:hAnsi="方正仿宋_GBK" w:eastAsia="方正仿宋_GBK" w:cs="方正仿宋_GBK"/>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822" w:type="dxa"/>
            <w:tcBorders>
              <w:top w:val="nil"/>
              <w:left w:val="nil"/>
              <w:bottom w:val="nil"/>
              <w:right w:val="nil"/>
            </w:tcBorders>
            <w:shd w:val="clear" w:color="auto" w:fill="auto"/>
            <w:tcMar>
              <w:top w:w="15" w:type="dxa"/>
              <w:left w:w="15" w:type="dxa"/>
              <w:right w:w="15" w:type="dxa"/>
            </w:tcMar>
            <w:vAlign w:val="bottom"/>
          </w:tcPr>
          <w:p>
            <w:pPr>
              <w:jc w:val="center"/>
              <w:rPr>
                <w:rFonts w:hint="eastAsia" w:ascii="方正仿宋_GBK" w:hAnsi="方正仿宋_GBK" w:eastAsia="方正仿宋_GBK" w:cs="方正仿宋_GBK"/>
                <w:color w:val="000000"/>
                <w:sz w:val="20"/>
                <w:szCs w:val="20"/>
              </w:rPr>
            </w:pPr>
          </w:p>
        </w:tc>
        <w:tc>
          <w:tcPr>
            <w:tcW w:w="3281" w:type="dxa"/>
            <w:tcBorders>
              <w:top w:val="nil"/>
              <w:left w:val="nil"/>
              <w:bottom w:val="nil"/>
              <w:right w:val="nil"/>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c>
          <w:tcPr>
            <w:tcW w:w="6581" w:type="dxa"/>
            <w:tcBorders>
              <w:top w:val="nil"/>
              <w:left w:val="nil"/>
              <w:bottom w:val="nil"/>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0"/>
                <w:szCs w:val="20"/>
              </w:rPr>
            </w:pPr>
          </w:p>
        </w:tc>
        <w:tc>
          <w:tcPr>
            <w:tcW w:w="332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single" w:color="auto" w:sz="4" w:space="0"/>
              <w:right w:val="nil"/>
            </w:tcBorders>
            <w:shd w:val="clear" w:color="auto" w:fill="auto"/>
            <w:tcMar>
              <w:top w:w="15" w:type="dxa"/>
              <w:left w:w="15" w:type="dxa"/>
              <w:right w:w="15" w:type="dxa"/>
            </w:tcMar>
            <w:vAlign w:val="bottom"/>
          </w:tcPr>
          <w:p>
            <w:pPr>
              <w:textAlignment w:val="bottom"/>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rPr>
              <w:t>公开部门</w:t>
            </w:r>
            <w:r>
              <w:rPr>
                <w:rFonts w:hint="eastAsia" w:ascii="方正仿宋_GBK" w:hAnsi="方正仿宋_GBK" w:eastAsia="方正仿宋_GBK" w:cs="方正仿宋_GBK"/>
                <w:color w:val="000000"/>
                <w:lang w:bidi="ar"/>
              </w:rPr>
              <w:t xml:space="preserve">： </w:t>
            </w:r>
            <w:r>
              <w:rPr>
                <w:rFonts w:hint="eastAsia" w:ascii="方正仿宋_GBK" w:hAnsi="方正仿宋_GBK" w:eastAsia="方正仿宋_GBK" w:cs="方正仿宋_GBK"/>
                <w:color w:val="000000"/>
              </w:rPr>
              <w:t>垫江县砚台镇人民政府</w:t>
            </w:r>
          </w:p>
        </w:tc>
        <w:tc>
          <w:tcPr>
            <w:tcW w:w="3822" w:type="dxa"/>
            <w:tcBorders>
              <w:top w:val="nil"/>
              <w:left w:val="nil"/>
              <w:bottom w:val="single" w:color="auto" w:sz="4" w:space="0"/>
              <w:right w:val="nil"/>
            </w:tcBorders>
            <w:shd w:val="clear" w:color="auto" w:fill="auto"/>
            <w:tcMar>
              <w:top w:w="15" w:type="dxa"/>
              <w:left w:w="15" w:type="dxa"/>
              <w:right w:w="15" w:type="dxa"/>
            </w:tcMar>
            <w:vAlign w:val="bottom"/>
          </w:tcPr>
          <w:p>
            <w:pPr>
              <w:jc w:val="center"/>
              <w:rPr>
                <w:rFonts w:hint="eastAsia" w:ascii="方正仿宋_GBK" w:hAnsi="方正仿宋_GBK" w:eastAsia="方正仿宋_GBK" w:cs="方正仿宋_GBK"/>
                <w:color w:val="000000"/>
                <w:sz w:val="22"/>
                <w:szCs w:val="22"/>
              </w:rPr>
            </w:pPr>
          </w:p>
        </w:tc>
        <w:tc>
          <w:tcPr>
            <w:tcW w:w="3281" w:type="dxa"/>
            <w:tcBorders>
              <w:top w:val="nil"/>
              <w:left w:val="nil"/>
              <w:bottom w:val="single" w:color="auto" w:sz="4" w:space="0"/>
              <w:right w:val="nil"/>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2"/>
                <w:szCs w:val="22"/>
              </w:rPr>
            </w:pPr>
          </w:p>
        </w:tc>
        <w:tc>
          <w:tcPr>
            <w:tcW w:w="6581" w:type="dxa"/>
            <w:tcBorders>
              <w:top w:val="nil"/>
              <w:left w:val="nil"/>
              <w:bottom w:val="single" w:color="auto" w:sz="4" w:space="0"/>
              <w:right w:val="nil"/>
            </w:tcBorders>
            <w:shd w:val="clear" w:color="auto" w:fill="auto"/>
            <w:tcMar>
              <w:top w:w="15" w:type="dxa"/>
              <w:left w:w="15" w:type="dxa"/>
              <w:right w:w="15" w:type="dxa"/>
            </w:tcMar>
            <w:vAlign w:val="bottom"/>
          </w:tcPr>
          <w:p>
            <w:pPr>
              <w:rPr>
                <w:rFonts w:hint="eastAsia" w:ascii="方正仿宋_GBK" w:hAnsi="方正仿宋_GBK" w:eastAsia="方正仿宋_GBK" w:cs="方正仿宋_GBK"/>
                <w:color w:val="000000"/>
                <w:sz w:val="22"/>
                <w:szCs w:val="22"/>
              </w:rPr>
            </w:pPr>
          </w:p>
        </w:tc>
        <w:tc>
          <w:tcPr>
            <w:tcW w:w="3325" w:type="dxa"/>
            <w:tcBorders>
              <w:top w:val="nil"/>
              <w:left w:val="nil"/>
              <w:bottom w:val="single" w:color="auto" w:sz="4" w:space="0"/>
              <w:right w:val="nil"/>
            </w:tcBorders>
            <w:shd w:val="clear" w:color="auto" w:fill="auto"/>
            <w:tcMar>
              <w:top w:w="15" w:type="dxa"/>
              <w:left w:w="15" w:type="dxa"/>
              <w:right w:w="15" w:type="dxa"/>
            </w:tcMar>
            <w:vAlign w:val="bottom"/>
          </w:tcPr>
          <w:p>
            <w:pPr>
              <w:jc w:val="right"/>
              <w:textAlignment w:val="bottom"/>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lang w:bidi="ar"/>
              </w:rPr>
              <w:t>单位：</w:t>
            </w:r>
            <w:r>
              <w:rPr>
                <w:rFonts w:hint="eastAsia" w:ascii="方正仿宋_GBK" w:hAnsi="方正仿宋_GBK" w:eastAsia="方正仿宋_GBK" w:cs="方正仿宋_GBK"/>
              </w:rPr>
              <w:t>万元</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  目</w:t>
            </w:r>
          </w:p>
        </w:tc>
        <w:tc>
          <w:tcPr>
            <w:tcW w:w="3822"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预算数</w:t>
            </w:r>
          </w:p>
        </w:tc>
        <w:tc>
          <w:tcPr>
            <w:tcW w:w="32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项  目</w:t>
            </w:r>
          </w:p>
        </w:tc>
        <w:tc>
          <w:tcPr>
            <w:tcW w:w="3325"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jc w:val="center"/>
              <w:textAlignment w:val="center"/>
              <w:rPr>
                <w:rFonts w:hint="eastAsia" w:ascii="方正仿宋_GBK" w:hAnsi="方正仿宋_GBK" w:eastAsia="方正仿宋_GBK" w:cs="方正仿宋_GBK"/>
                <w:b/>
                <w:color w:val="000000"/>
                <w:sz w:val="22"/>
                <w:szCs w:val="22"/>
              </w:rPr>
            </w:pPr>
            <w:r>
              <w:rPr>
                <w:rFonts w:hint="eastAsia" w:ascii="方正仿宋_GBK" w:hAnsi="方正仿宋_GBK" w:eastAsia="方正仿宋_GBK" w:cs="方正仿宋_GBK"/>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一、“三公”经费支出</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四、机关运行经费</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122.46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（一）支出合计</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5.33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5.33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（一）行政单位</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122.46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1．因公出国（境）费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（二）参照公务员法管理事业单位</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2．公务用车购置及运行维护费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0.95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0.95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五、资产信息</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（1）公务用车购置费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（一）车辆数合计（辆）</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（2）公务用车运行维护费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0.95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0.95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1．副部（省）级及以上领导用车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3．公务接待费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4.38 </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4.38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2．主要领导干部用车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（1）国内接待费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4.38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3．机要通信用车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其中：外事接待费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4．应急保障用车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（2）国（境）外接待费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5．执法执勤用车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（二）相关统计数</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6．特种专业技术用车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1．因公出国（境）团组数（个）</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7．离退休干部用车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2．因公出国（境）人次数（人）</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8．其他用车</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3．公务用车购置数（辆）</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（二）单价100万元（含）以上设备（不含车辆）</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4．公务用车保有量（辆）</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2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六、政府采购支出信息</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5．国内公务接待批次（个）</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15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（一）政府采购支出合计</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其中：外事接待批次（个）</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1．政府采购货物支出</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6．国内公务接待人次（人）</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230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2．政府采购工程支出</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其中：外事接待人次（人）</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3．政府采购服务支出</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7．国（境）外公务接待批次（个）</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（二）政府采购授予中小企业合同金额</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8．国（境）外公务接待人次（人）</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 xml:space="preserve">        其中：授予小微企业合同金额</w:t>
            </w: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二、会议费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4.30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三、培训费</w:t>
            </w:r>
          </w:p>
        </w:tc>
        <w:tc>
          <w:tcPr>
            <w:tcW w:w="382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lang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ordWrap w:val="0"/>
              <w:jc w:val="right"/>
              <w:textAlignment w:val="bottom"/>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1"/>
                <w:szCs w:val="21"/>
                <w:lang w:bidi="ar"/>
              </w:rPr>
              <w:t xml:space="preserve">0.27 </w:t>
            </w:r>
          </w:p>
        </w:tc>
        <w:tc>
          <w:tcPr>
            <w:tcW w:w="658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rPr>
                <w:rFonts w:hint="eastAsia" w:ascii="方正仿宋_GBK" w:hAnsi="方正仿宋_GBK" w:eastAsia="方正仿宋_GBK" w:cs="方正仿宋_GBK"/>
                <w:color w:val="000000"/>
                <w:sz w:val="22"/>
                <w:szCs w:val="22"/>
              </w:rPr>
            </w:pPr>
          </w:p>
        </w:tc>
        <w:tc>
          <w:tcPr>
            <w:tcW w:w="3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jc w:val="right"/>
              <w:rPr>
                <w:rFonts w:hint="eastAsia" w:ascii="方正仿宋_GBK" w:hAnsi="方正仿宋_GBK" w:eastAsia="方正仿宋_GBK" w:cs="方正仿宋_GBK"/>
                <w:color w:val="000000"/>
                <w:sz w:val="20"/>
                <w:szCs w:val="20"/>
              </w:rPr>
            </w:pPr>
          </w:p>
        </w:tc>
      </w:tr>
    </w:tbl>
    <w:p>
      <w:pPr>
        <w:rPr>
          <w:rFonts w:hint="default" w:cs="宋体"/>
          <w:sz w:val="21"/>
          <w:szCs w:val="21"/>
        </w:rPr>
      </w:pPr>
      <w:r>
        <w:rPr>
          <w:rFonts w:hint="eastAsia" w:ascii="方正仿宋_GBK" w:hAnsi="方正仿宋_GBK" w:eastAsia="方正仿宋_GBK" w:cs="方正仿宋_GBK"/>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lang w:bidi="ar"/>
        </w:rPr>
        <w:t xml:space="preserve">      2.本套报表金额单位转换时可能存在尾数误差。</w:t>
      </w:r>
      <w:r>
        <w:rPr>
          <w:rFonts w:hint="eastAsia" w:ascii="方正仿宋_GBK" w:hAnsi="方正仿宋_GBK" w:eastAsia="方正仿宋_GBK" w:cs="方正仿宋_GBK"/>
          <w:sz w:val="21"/>
          <w:szCs w:val="21"/>
          <w:lang w:bidi="ar"/>
        </w:rPr>
        <w:br w:type="textWrapping"/>
      </w:r>
      <w:r>
        <w:rPr>
          <w:rFonts w:hint="eastAsia" w:ascii="方正仿宋_GBK" w:hAnsi="方正仿宋_GBK" w:eastAsia="方正仿宋_GBK" w:cs="方正仿宋_GBK"/>
          <w:sz w:val="21"/>
          <w:szCs w:val="21"/>
        </w:rPr>
        <w:br w:type="textWrapping"/>
      </w: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1"/>
        <w:autoSpaceDE w:val="0"/>
        <w:ind w:firstLine="0" w:firstLineChars="0"/>
        <w:rPr>
          <w:rFonts w:cs="宋体"/>
          <w:sz w:val="21"/>
          <w:szCs w:val="21"/>
        </w:rPr>
      </w:pPr>
    </w:p>
    <w:sectPr>
      <w:headerReference r:id="rId4" w:type="default"/>
      <w:footerReference r:id="rId5" w:type="default"/>
      <w:pgSz w:w="23811" w:h="16838" w:orient="landscape"/>
      <w:pgMar w:top="510"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abstractNum w:abstractNumId="1">
    <w:nsid w:val="DA4EF0DD"/>
    <w:multiLevelType w:val="singleLevel"/>
    <w:tmpl w:val="DA4EF0DD"/>
    <w:lvl w:ilvl="0" w:tentative="0">
      <w:start w:val="2"/>
      <w:numFmt w:val="chineseCounting"/>
      <w:suff w:val="nothing"/>
      <w:lvlText w:val="（%1）"/>
      <w:lvlJc w:val="left"/>
      <w:rPr>
        <w:rFonts w:hint="eastAsia"/>
      </w:rPr>
    </w:lvl>
  </w:abstractNum>
  <w:abstractNum w:abstractNumId="2">
    <w:nsid w:val="42181A69"/>
    <w:multiLevelType w:val="singleLevel"/>
    <w:tmpl w:val="42181A69"/>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OGY1MjcxNWU2YmIyNGEzOGFhYmNjOTZiYzdiMmUifQ=="/>
  </w:docVars>
  <w:rsids>
    <w:rsidRoot w:val="00B03CCD"/>
    <w:rsid w:val="002E5443"/>
    <w:rsid w:val="00550ABE"/>
    <w:rsid w:val="00754809"/>
    <w:rsid w:val="007B419D"/>
    <w:rsid w:val="00881EED"/>
    <w:rsid w:val="009B67B8"/>
    <w:rsid w:val="00A75F08"/>
    <w:rsid w:val="00B03CCD"/>
    <w:rsid w:val="00E76362"/>
    <w:rsid w:val="00F73F90"/>
    <w:rsid w:val="01474EBF"/>
    <w:rsid w:val="01F3521E"/>
    <w:rsid w:val="03557EA7"/>
    <w:rsid w:val="03B87EA0"/>
    <w:rsid w:val="03E3214F"/>
    <w:rsid w:val="044C50BA"/>
    <w:rsid w:val="05BC6D49"/>
    <w:rsid w:val="06194FF1"/>
    <w:rsid w:val="06A2550B"/>
    <w:rsid w:val="06F80EE2"/>
    <w:rsid w:val="07001CCA"/>
    <w:rsid w:val="075678DB"/>
    <w:rsid w:val="079D7CC7"/>
    <w:rsid w:val="08051BCA"/>
    <w:rsid w:val="086C12F4"/>
    <w:rsid w:val="08AF5C17"/>
    <w:rsid w:val="08BA052C"/>
    <w:rsid w:val="08DB07BA"/>
    <w:rsid w:val="0969353F"/>
    <w:rsid w:val="098305D0"/>
    <w:rsid w:val="098A0877"/>
    <w:rsid w:val="0A0E6962"/>
    <w:rsid w:val="0A5C4B69"/>
    <w:rsid w:val="0A86124A"/>
    <w:rsid w:val="0AB54CC0"/>
    <w:rsid w:val="0B9335CE"/>
    <w:rsid w:val="0C7927C4"/>
    <w:rsid w:val="0C9B098C"/>
    <w:rsid w:val="0CC06645"/>
    <w:rsid w:val="0D673E11"/>
    <w:rsid w:val="0DDA54E4"/>
    <w:rsid w:val="0E3A5F83"/>
    <w:rsid w:val="0E4F031D"/>
    <w:rsid w:val="0F836721"/>
    <w:rsid w:val="0F93442C"/>
    <w:rsid w:val="0FA25D96"/>
    <w:rsid w:val="107B59E5"/>
    <w:rsid w:val="10EC0126"/>
    <w:rsid w:val="10F70B9A"/>
    <w:rsid w:val="111445C7"/>
    <w:rsid w:val="114278C6"/>
    <w:rsid w:val="1158083A"/>
    <w:rsid w:val="11643A4B"/>
    <w:rsid w:val="11ED0F98"/>
    <w:rsid w:val="11F03528"/>
    <w:rsid w:val="12C921C4"/>
    <w:rsid w:val="13871C70"/>
    <w:rsid w:val="13931528"/>
    <w:rsid w:val="13A71CB4"/>
    <w:rsid w:val="13AF1D43"/>
    <w:rsid w:val="13CE1647"/>
    <w:rsid w:val="13FD55AB"/>
    <w:rsid w:val="14200702"/>
    <w:rsid w:val="163A6CEE"/>
    <w:rsid w:val="16CF3377"/>
    <w:rsid w:val="173708E3"/>
    <w:rsid w:val="17C374FC"/>
    <w:rsid w:val="18477A39"/>
    <w:rsid w:val="189079DC"/>
    <w:rsid w:val="189B0D0B"/>
    <w:rsid w:val="18B43F7C"/>
    <w:rsid w:val="194A1770"/>
    <w:rsid w:val="19B906A4"/>
    <w:rsid w:val="1B440441"/>
    <w:rsid w:val="1B6F15B6"/>
    <w:rsid w:val="1BAA2EDC"/>
    <w:rsid w:val="1C5C0973"/>
    <w:rsid w:val="1CA55E64"/>
    <w:rsid w:val="1D014A01"/>
    <w:rsid w:val="1D022362"/>
    <w:rsid w:val="1D1B04B0"/>
    <w:rsid w:val="1DBD6767"/>
    <w:rsid w:val="1DC52125"/>
    <w:rsid w:val="1DD26311"/>
    <w:rsid w:val="1E374ACB"/>
    <w:rsid w:val="1ECF0A66"/>
    <w:rsid w:val="1EF67CA4"/>
    <w:rsid w:val="1EF71AAE"/>
    <w:rsid w:val="1F020D3A"/>
    <w:rsid w:val="1F2C5189"/>
    <w:rsid w:val="1F4B0B02"/>
    <w:rsid w:val="1FBB35CD"/>
    <w:rsid w:val="1FCD26AF"/>
    <w:rsid w:val="20642787"/>
    <w:rsid w:val="2100373F"/>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FC02334"/>
    <w:rsid w:val="2FCA4B37"/>
    <w:rsid w:val="2FE029D7"/>
    <w:rsid w:val="2FF06E00"/>
    <w:rsid w:val="30562E26"/>
    <w:rsid w:val="30586FEC"/>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513D6"/>
    <w:rsid w:val="3C653658"/>
    <w:rsid w:val="3C6A5B02"/>
    <w:rsid w:val="3D2757A1"/>
    <w:rsid w:val="3D3D4FC4"/>
    <w:rsid w:val="3DDF3AB1"/>
    <w:rsid w:val="3E1D0952"/>
    <w:rsid w:val="3E42660A"/>
    <w:rsid w:val="3E7555B1"/>
    <w:rsid w:val="3E787ED9"/>
    <w:rsid w:val="3EEC37F3"/>
    <w:rsid w:val="3F032E93"/>
    <w:rsid w:val="3F0527E5"/>
    <w:rsid w:val="3F694D83"/>
    <w:rsid w:val="3F885DCC"/>
    <w:rsid w:val="3FCD675E"/>
    <w:rsid w:val="3FF7F274"/>
    <w:rsid w:val="4004000C"/>
    <w:rsid w:val="411B6CE5"/>
    <w:rsid w:val="412070D7"/>
    <w:rsid w:val="41314E40"/>
    <w:rsid w:val="41E0734B"/>
    <w:rsid w:val="426554D0"/>
    <w:rsid w:val="426C1EA8"/>
    <w:rsid w:val="42736402"/>
    <w:rsid w:val="42E86A87"/>
    <w:rsid w:val="43307B09"/>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380B36"/>
    <w:rsid w:val="4A6F6675"/>
    <w:rsid w:val="4B135857"/>
    <w:rsid w:val="4B7951CB"/>
    <w:rsid w:val="4B7C315C"/>
    <w:rsid w:val="4DAC4ACA"/>
    <w:rsid w:val="4DBE01D2"/>
    <w:rsid w:val="4DD23507"/>
    <w:rsid w:val="4F0C6BA3"/>
    <w:rsid w:val="4F186D58"/>
    <w:rsid w:val="4FCB6460"/>
    <w:rsid w:val="4FEA65B7"/>
    <w:rsid w:val="50F06B6E"/>
    <w:rsid w:val="52234D33"/>
    <w:rsid w:val="522F6E0C"/>
    <w:rsid w:val="52463BA1"/>
    <w:rsid w:val="52974D1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7A6A7A"/>
    <w:rsid w:val="56FF7E9E"/>
    <w:rsid w:val="578867FC"/>
    <w:rsid w:val="5842572D"/>
    <w:rsid w:val="5A3B59D6"/>
    <w:rsid w:val="5AD134D8"/>
    <w:rsid w:val="5C263CE4"/>
    <w:rsid w:val="5C5D2777"/>
    <w:rsid w:val="5CF66BF3"/>
    <w:rsid w:val="5D290C69"/>
    <w:rsid w:val="5F2D4A41"/>
    <w:rsid w:val="60911000"/>
    <w:rsid w:val="60C74F6C"/>
    <w:rsid w:val="60F41210"/>
    <w:rsid w:val="61025A59"/>
    <w:rsid w:val="613D5BBC"/>
    <w:rsid w:val="61536C39"/>
    <w:rsid w:val="61BB2E77"/>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36731C"/>
    <w:rsid w:val="67924660"/>
    <w:rsid w:val="68407834"/>
    <w:rsid w:val="6883293E"/>
    <w:rsid w:val="688412AD"/>
    <w:rsid w:val="68EB1B71"/>
    <w:rsid w:val="69475C96"/>
    <w:rsid w:val="6AAD2300"/>
    <w:rsid w:val="6B474EF5"/>
    <w:rsid w:val="6BBF53FD"/>
    <w:rsid w:val="6BFF176A"/>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A184DE7"/>
    <w:rsid w:val="7A403486"/>
    <w:rsid w:val="7B420052"/>
    <w:rsid w:val="7B861484"/>
    <w:rsid w:val="7BD06A28"/>
    <w:rsid w:val="7C3A7C0B"/>
    <w:rsid w:val="7C5248E4"/>
    <w:rsid w:val="7C566698"/>
    <w:rsid w:val="7C5866A3"/>
    <w:rsid w:val="7D7406BB"/>
    <w:rsid w:val="7DAA5057"/>
    <w:rsid w:val="7DE94331"/>
    <w:rsid w:val="7F446A19"/>
    <w:rsid w:val="7F7452B9"/>
    <w:rsid w:val="7FFBF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16378</Words>
  <Characters>22947</Characters>
  <Lines>217</Lines>
  <Paragraphs>61</Paragraphs>
  <TotalTime>4</TotalTime>
  <ScaleCrop>false</ScaleCrop>
  <LinksUpToDate>false</LinksUpToDate>
  <CharactersWithSpaces>25634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user</cp:lastModifiedBy>
  <dcterms:modified xsi:type="dcterms:W3CDTF">2025-09-18T15:35:10Z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ies>
</file>