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spacing w:before="0" w:beforeAutospacing="0" w:after="0" w:afterAutospacing="0" w:line="594" w:lineRule="exact"/>
        <w:jc w:val="center"/>
        <w:textAlignment w:val="auto"/>
        <w:rPr>
          <w:rFonts w:hint="default" w:ascii="方正小标宋_GBK" w:hAnsi="方正小标宋_GBK" w:eastAsia="方正小标宋_GBK" w:cs="方正小标宋_GBK"/>
          <w:sz w:val="44"/>
          <w:szCs w:val="44"/>
        </w:rPr>
      </w:pPr>
      <w:bookmarkStart w:id="0" w:name="_GoBack"/>
      <w:bookmarkEnd w:id="0"/>
      <w:r>
        <w:rPr>
          <w:rFonts w:ascii="方正小标宋_GBK" w:hAnsi="方正小标宋_GBK" w:eastAsia="方正小标宋_GBK" w:cs="方正小标宋_GBK"/>
          <w:sz w:val="44"/>
          <w:szCs w:val="44"/>
        </w:rPr>
        <w:t>垫江县砚台镇人民政府（本级）2023年度决算公开说明</w:t>
      </w:r>
    </w:p>
    <w:p>
      <w:pPr>
        <w:pStyle w:val="6"/>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0"/>
          <w:rFonts w:ascii="黑体" w:hAnsi="黑体" w:eastAsia="黑体" w:cs="黑体"/>
          <w:b w:val="0"/>
          <w:bCs/>
          <w:sz w:val="32"/>
          <w:szCs w:val="32"/>
          <w:shd w:val="clear" w:color="auto" w:fill="FFFFFF"/>
        </w:rPr>
      </w:pPr>
      <w:r>
        <w:rPr>
          <w:rStyle w:val="10"/>
          <w:rFonts w:ascii="黑体" w:hAnsi="黑体" w:eastAsia="黑体" w:cs="黑体"/>
          <w:b w:val="0"/>
          <w:bCs/>
          <w:sz w:val="32"/>
          <w:szCs w:val="32"/>
          <w:shd w:val="clear" w:color="auto" w:fill="FFFFFF"/>
        </w:rPr>
        <w:t>单位基本情况</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default" w:ascii="方正仿宋_GBK" w:hAnsi="方正仿宋_GBK" w:eastAsia="方正仿宋_GBK" w:cs="方正仿宋_GBK"/>
          <w:b w:val="0"/>
          <w:bCs/>
          <w:sz w:val="32"/>
          <w:szCs w:val="32"/>
        </w:rPr>
      </w:pPr>
      <w:r>
        <w:rPr>
          <w:rStyle w:val="10"/>
          <w:rFonts w:hint="eastAsia" w:ascii="楷体" w:hAnsi="楷体" w:eastAsia="楷体" w:cs="楷体"/>
          <w:b w:val="0"/>
          <w:bCs/>
          <w:sz w:val="32"/>
          <w:szCs w:val="32"/>
          <w:shd w:val="clear" w:color="auto" w:fill="FFFFFF"/>
          <w:lang w:val="en-US" w:eastAsia="zh-CN"/>
        </w:rPr>
        <w:t>(</w:t>
      </w:r>
      <w:r>
        <w:rPr>
          <w:rStyle w:val="10"/>
          <w:rFonts w:ascii="楷体" w:hAnsi="楷体" w:eastAsia="楷体" w:cs="楷体"/>
          <w:b w:val="0"/>
          <w:bCs/>
          <w:sz w:val="32"/>
          <w:szCs w:val="32"/>
          <w:shd w:val="clear" w:color="auto" w:fill="FFFFFF"/>
        </w:rPr>
        <w:t>一</w:t>
      </w:r>
      <w:r>
        <w:rPr>
          <w:rStyle w:val="10"/>
          <w:rFonts w:hint="eastAsia" w:ascii="楷体" w:hAnsi="楷体" w:eastAsia="楷体" w:cs="楷体"/>
          <w:b w:val="0"/>
          <w:bCs/>
          <w:sz w:val="32"/>
          <w:szCs w:val="32"/>
          <w:shd w:val="clear" w:color="auto" w:fill="FFFFFF"/>
          <w:lang w:val="en-US" w:eastAsia="zh-CN"/>
        </w:rPr>
        <w:t>)</w:t>
      </w:r>
      <w:r>
        <w:rPr>
          <w:rStyle w:val="10"/>
          <w:rFonts w:ascii="楷体" w:hAnsi="楷体" w:eastAsia="楷体" w:cs="楷体"/>
          <w:b w:val="0"/>
          <w:bCs/>
          <w:sz w:val="32"/>
          <w:szCs w:val="32"/>
          <w:shd w:val="clear" w:color="auto" w:fill="FFFFFF"/>
        </w:rPr>
        <w:t>职能职责</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仿宋_GBK" w:hAnsi="方正仿宋_GBK" w:eastAsia="方正仿宋_GBK" w:cs="方正仿宋_GBK"/>
          <w:sz w:val="32"/>
        </w:rPr>
      </w:pPr>
      <w:r>
        <w:rPr>
          <w:rFonts w:ascii="方正仿宋_GBK" w:hAnsi="方正仿宋_GBK" w:eastAsia="方正仿宋_GBK" w:cs="方正仿宋_GBK"/>
          <w:sz w:val="32"/>
        </w:rPr>
        <w:t>1</w:t>
      </w:r>
      <w:r>
        <w:rPr>
          <w:rFonts w:hint="eastAsia" w:ascii="方正仿宋_GBK" w:hAnsi="方正仿宋_GBK" w:eastAsia="方正仿宋_GBK" w:cs="方正仿宋_GBK"/>
          <w:sz w:val="32"/>
          <w:lang w:val="en-US" w:eastAsia="zh-CN"/>
        </w:rPr>
        <w:t>.</w:t>
      </w:r>
      <w:r>
        <w:rPr>
          <w:rFonts w:ascii="方正仿宋_GBK" w:hAnsi="方正仿宋_GBK" w:eastAsia="方正仿宋_GBK" w:cs="方正仿宋_GBK"/>
          <w:sz w:val="32"/>
        </w:rPr>
        <w:t>党政办公室：负责机关文秘、会务、档案、保密、后勤服务和绩效管理等工作。负责牵头协调办理人大代表和政协委员的议案、提案、建议、意见。负责镇公共服务中心和村（社区）便民服务中心的监督和管理等工作。完成党委、政府交办的其他工作。</w:t>
      </w:r>
    </w:p>
    <w:p>
      <w:pPr>
        <w:spacing w:line="600" w:lineRule="exact"/>
        <w:ind w:firstLine="640" w:firstLineChars="200"/>
        <w:rPr>
          <w:rFonts w:hint="default" w:ascii="方正仿宋_GBK" w:hAnsi="方正仿宋_GBK" w:eastAsia="方正仿宋_GBK" w:cs="方正仿宋_GBK"/>
          <w:sz w:val="32"/>
        </w:rPr>
      </w:pPr>
      <w:r>
        <w:rPr>
          <w:rFonts w:ascii="方正仿宋_GBK" w:hAnsi="方正仿宋_GBK" w:eastAsia="方正仿宋_GBK" w:cs="方正仿宋_GBK"/>
          <w:sz w:val="32"/>
        </w:rPr>
        <w:t>2</w:t>
      </w:r>
      <w:r>
        <w:rPr>
          <w:rFonts w:hint="eastAsia" w:ascii="方正仿宋_GBK" w:hAnsi="方正仿宋_GBK" w:eastAsia="方正仿宋_GBK" w:cs="方正仿宋_GBK"/>
          <w:sz w:val="32"/>
          <w:lang w:val="en-US" w:eastAsia="zh-CN"/>
        </w:rPr>
        <w:t>.</w:t>
      </w:r>
      <w:r>
        <w:rPr>
          <w:rFonts w:ascii="方正仿宋_GBK" w:hAnsi="方正仿宋_GBK" w:eastAsia="方正仿宋_GBK" w:cs="方正仿宋_GBK"/>
          <w:sz w:val="32"/>
        </w:rPr>
        <w:t>党群工作办公室：负责党的建设、组织、宣传、统战、民宗侨台、机构编制、人事、群团、纪检、武装、政务公开、党务公开等工作。</w:t>
      </w:r>
    </w:p>
    <w:p>
      <w:pPr>
        <w:spacing w:line="600" w:lineRule="exact"/>
        <w:ind w:firstLine="640" w:firstLineChars="200"/>
        <w:rPr>
          <w:rFonts w:hint="default" w:ascii="方正仿宋_GBK" w:hAnsi="方正仿宋_GBK" w:eastAsia="方正仿宋_GBK" w:cs="方正仿宋_GBK"/>
          <w:sz w:val="32"/>
        </w:rPr>
      </w:pPr>
      <w:r>
        <w:rPr>
          <w:rFonts w:ascii="方正仿宋_GBK" w:hAnsi="方正仿宋_GBK" w:eastAsia="方正仿宋_GBK" w:cs="方正仿宋_GBK"/>
          <w:sz w:val="32"/>
        </w:rPr>
        <w:t>3</w:t>
      </w:r>
      <w:r>
        <w:rPr>
          <w:rFonts w:hint="eastAsia" w:ascii="方正仿宋_GBK" w:hAnsi="方正仿宋_GBK" w:eastAsia="方正仿宋_GBK" w:cs="方正仿宋_GBK"/>
          <w:sz w:val="32"/>
          <w:lang w:val="en-US" w:eastAsia="zh-CN"/>
        </w:rPr>
        <w:t>.</w:t>
      </w:r>
      <w:r>
        <w:rPr>
          <w:rFonts w:hint="eastAsia" w:ascii="方正仿宋_GBK" w:hAnsi="方正仿宋_GBK" w:eastAsia="方正仿宋_GBK" w:cs="方正仿宋_GBK"/>
          <w:sz w:val="32"/>
          <w:lang w:eastAsia="zh-CN"/>
        </w:rPr>
        <w:t>人大常委会办公室</w:t>
      </w:r>
      <w:r>
        <w:rPr>
          <w:rFonts w:ascii="方正仿宋_GBK" w:hAnsi="方正仿宋_GBK" w:eastAsia="方正仿宋_GBK" w:cs="方正仿宋_GBK"/>
          <w:sz w:val="32"/>
        </w:rPr>
        <w:t xml:space="preserve">：负责镇人民代表大会、主席团履行法定职权的具体工作。组织人大代表视察、调研、评议等工作。完成党委、人大主席团交办的其他工作。 </w:t>
      </w:r>
    </w:p>
    <w:p>
      <w:pPr>
        <w:spacing w:line="600" w:lineRule="exact"/>
        <w:ind w:firstLine="640" w:firstLineChars="200"/>
        <w:rPr>
          <w:rFonts w:hint="default" w:ascii="方正仿宋_GBK" w:hAnsi="方正仿宋_GBK" w:eastAsia="方正仿宋_GBK" w:cs="方正仿宋_GBK"/>
          <w:sz w:val="32"/>
        </w:rPr>
      </w:pPr>
      <w:r>
        <w:rPr>
          <w:rFonts w:ascii="方正仿宋_GBK" w:hAnsi="方正仿宋_GBK" w:eastAsia="方正仿宋_GBK" w:cs="方正仿宋_GBK"/>
          <w:sz w:val="32"/>
        </w:rPr>
        <w:t>4</w:t>
      </w:r>
      <w:r>
        <w:rPr>
          <w:rFonts w:hint="eastAsia" w:ascii="方正仿宋_GBK" w:hAnsi="方正仿宋_GBK" w:eastAsia="方正仿宋_GBK" w:cs="方正仿宋_GBK"/>
          <w:sz w:val="32"/>
          <w:lang w:val="en-US" w:eastAsia="zh-CN"/>
        </w:rPr>
        <w:t>.</w:t>
      </w:r>
      <w:r>
        <w:rPr>
          <w:rFonts w:ascii="方正仿宋_GBK" w:hAnsi="方正仿宋_GBK" w:eastAsia="方正仿宋_GBK" w:cs="方正仿宋_GBK"/>
          <w:sz w:val="32"/>
        </w:rPr>
        <w:t>经济发展办公室：承担促进镇、村（社区）经济发展职责。负责拟订辖区经济发展整体规划并组织实施。负责农、林、牧、渔、工业、商贸物流、旅游等产业的规划与指导工作。负责农村市场、商业网点的规划和指导工作。负责招商引资、科技普及、统计与普查（经济、人口、农业）等工作。负责指导监督农村集体资产、资源、资金等经营管理工作。贯彻落实促进非公经济发展的相关政策，为非公经济组织提供服务。负责劳务输出、移民安置等工作。负责扶贫开发、脱贫攻坚、精准扶贫、精准脱贫等相关工作。负责生产经营企业等方面的安全监管工作。负责农民负担等工作。完成党委、政府交办的其他工作。</w:t>
      </w:r>
    </w:p>
    <w:p>
      <w:pPr>
        <w:spacing w:line="600" w:lineRule="exact"/>
        <w:ind w:firstLine="640" w:firstLineChars="200"/>
        <w:rPr>
          <w:rFonts w:hint="default" w:ascii="方正仿宋_GBK" w:hAnsi="方正仿宋_GBK" w:eastAsia="方正仿宋_GBK" w:cs="方正仿宋_GBK"/>
          <w:sz w:val="32"/>
        </w:rPr>
      </w:pPr>
      <w:r>
        <w:rPr>
          <w:rFonts w:ascii="方正仿宋_GBK" w:hAnsi="方正仿宋_GBK" w:eastAsia="方正仿宋_GBK" w:cs="方正仿宋_GBK"/>
          <w:sz w:val="32"/>
        </w:rPr>
        <w:t>5</w:t>
      </w:r>
      <w:r>
        <w:rPr>
          <w:rFonts w:hint="eastAsia" w:ascii="方正仿宋_GBK" w:hAnsi="方正仿宋_GBK" w:eastAsia="方正仿宋_GBK" w:cs="方正仿宋_GBK"/>
          <w:sz w:val="32"/>
          <w:lang w:val="en-US" w:eastAsia="zh-CN"/>
        </w:rPr>
        <w:t>.</w:t>
      </w:r>
      <w:r>
        <w:rPr>
          <w:rFonts w:ascii="方正仿宋_GBK" w:hAnsi="方正仿宋_GBK" w:eastAsia="方正仿宋_GBK" w:cs="方正仿宋_GBK"/>
          <w:sz w:val="32"/>
        </w:rPr>
        <w:t>财政办公室：贯彻财经方针政策，执行财政法规、财经制度。负责财政收支、预决算、总会计、惠农资金兑付、财政资金监督检查、绩效评价、农村财务管理等工作。负责机关财务管理、国有资产管理。负责机关、所属事业单位及村（社区）财务内部审计及其他专项审计等工作。完成党委、政府交办的其他工作。</w:t>
      </w:r>
    </w:p>
    <w:p>
      <w:pPr>
        <w:spacing w:line="600" w:lineRule="exact"/>
        <w:ind w:firstLine="640" w:firstLineChars="200"/>
        <w:rPr>
          <w:rFonts w:hint="default" w:ascii="方正仿宋_GBK" w:hAnsi="方正仿宋_GBK" w:eastAsia="方正仿宋_GBK" w:cs="方正仿宋_GBK"/>
          <w:sz w:val="32"/>
        </w:rPr>
      </w:pPr>
      <w:r>
        <w:rPr>
          <w:rFonts w:ascii="方正仿宋_GBK" w:hAnsi="方正仿宋_GBK" w:eastAsia="方正仿宋_GBK" w:cs="方正仿宋_GBK"/>
          <w:sz w:val="32"/>
        </w:rPr>
        <w:t>6</w:t>
      </w:r>
      <w:r>
        <w:rPr>
          <w:rFonts w:hint="eastAsia" w:ascii="方正仿宋_GBK" w:hAnsi="方正仿宋_GBK" w:eastAsia="方正仿宋_GBK" w:cs="方正仿宋_GBK"/>
          <w:sz w:val="32"/>
          <w:lang w:val="en-US" w:eastAsia="zh-CN"/>
        </w:rPr>
        <w:t>.</w:t>
      </w:r>
      <w:r>
        <w:rPr>
          <w:rFonts w:ascii="方正仿宋_GBK" w:hAnsi="方正仿宋_GBK" w:eastAsia="方正仿宋_GBK" w:cs="方正仿宋_GBK"/>
          <w:sz w:val="32"/>
        </w:rPr>
        <w:t>民政和社会事务办公室：宣传贯彻执行民政、教育、卫生健康、文化体育、社会救助、残疾人事业、劳动就业、社会保障等法律、法规、规章、政策。负责牵头推动民政、教育、卫生健康、计生、文化体育、拥军优属、优抚、残疾人事业、老龄、社会保障、劳动就业等工作。负责救济、社会救助、殡葬管理等工作。负责审核城乡低保、医疗救助对象等工作。负责区划地名管理工作。负责指导监督村（居）务公开相关工作。负责指导村（社区）委员会基层民主政治建设、基层政权和社会建设。负责居委会、村委会民政工作人员和社会保障员的业务指导等工作。负责留守儿童和妇女、老人关爱服务等工作。完成党委、政府交办的其他工作。</w:t>
      </w:r>
    </w:p>
    <w:p>
      <w:pPr>
        <w:spacing w:line="600" w:lineRule="exact"/>
        <w:ind w:firstLine="640" w:firstLineChars="200"/>
        <w:rPr>
          <w:rFonts w:hint="default" w:ascii="方正仿宋_GBK" w:hAnsi="方正仿宋_GBK" w:eastAsia="方正仿宋_GBK" w:cs="方正仿宋_GBK"/>
          <w:sz w:val="32"/>
        </w:rPr>
      </w:pPr>
      <w:r>
        <w:rPr>
          <w:rFonts w:ascii="方正仿宋_GBK" w:hAnsi="方正仿宋_GBK" w:eastAsia="方正仿宋_GBK" w:cs="方正仿宋_GBK"/>
          <w:sz w:val="32"/>
        </w:rPr>
        <w:t>7</w:t>
      </w:r>
      <w:r>
        <w:rPr>
          <w:rFonts w:hint="eastAsia" w:ascii="方正仿宋_GBK" w:hAnsi="方正仿宋_GBK" w:eastAsia="方正仿宋_GBK" w:cs="方正仿宋_GBK"/>
          <w:sz w:val="32"/>
          <w:lang w:val="en-US" w:eastAsia="zh-CN"/>
        </w:rPr>
        <w:t>.</w:t>
      </w:r>
      <w:r>
        <w:rPr>
          <w:rFonts w:ascii="方正仿宋_GBK" w:hAnsi="方正仿宋_GBK" w:eastAsia="方正仿宋_GBK" w:cs="方正仿宋_GBK"/>
          <w:sz w:val="32"/>
        </w:rPr>
        <w:t>平安建设办公室：负责普法教育、防邪、禁毒、综治、信访、维稳等工作。负责基层民间矛盾纠纷调解工作。组织、指导、协调、检查、督促辖区内各基层组织和企事业单位的社会治安综合治理等工作。完成党委、政府交办的其他工作。</w:t>
      </w:r>
    </w:p>
    <w:p>
      <w:pPr>
        <w:spacing w:line="600" w:lineRule="exact"/>
        <w:ind w:firstLine="640" w:firstLineChars="200"/>
        <w:rPr>
          <w:rFonts w:hint="default" w:ascii="方正仿宋_GBK" w:hAnsi="方正仿宋_GBK" w:eastAsia="方正仿宋_GBK" w:cs="方正仿宋_GBK"/>
          <w:sz w:val="32"/>
        </w:rPr>
      </w:pPr>
      <w:r>
        <w:rPr>
          <w:rFonts w:ascii="方正仿宋_GBK" w:hAnsi="方正仿宋_GBK" w:eastAsia="方正仿宋_GBK" w:cs="方正仿宋_GBK"/>
          <w:sz w:val="32"/>
        </w:rPr>
        <w:t>8</w:t>
      </w:r>
      <w:r>
        <w:rPr>
          <w:rFonts w:hint="eastAsia" w:ascii="方正仿宋_GBK" w:hAnsi="方正仿宋_GBK" w:eastAsia="方正仿宋_GBK" w:cs="方正仿宋_GBK"/>
          <w:sz w:val="32"/>
          <w:lang w:val="en-US" w:eastAsia="zh-CN"/>
        </w:rPr>
        <w:t>.</w:t>
      </w:r>
      <w:r>
        <w:rPr>
          <w:rFonts w:ascii="方正仿宋_GBK" w:hAnsi="方正仿宋_GBK" w:eastAsia="方正仿宋_GBK" w:cs="方正仿宋_GBK"/>
          <w:sz w:val="32"/>
        </w:rPr>
        <w:t>规划建设管理环保办公室：负责承担辖区内规划、建设、市政、生态环境保护等综合管理职责。协助规划国土管理部门履行规划国土管理职能，负责在原宅基地上修建农房的建设规划许可，负责辖区内规划实施的监督检查。协助规划国土管理部门做好土地复垦、国土管理、耕地保护等工作。承担辖区内物业管理的监督指导等工作。负责市政园林、城镇管理等工作。指导各村（居）委、辖区内各单位开展环境卫生管理及公共设施维护管理工作。负责辖区内环境污染防治综合监管，开展生态环境保护宣传教育。负责生态保护红线监督管理工作。协助相关部门做好水、电、气、路等市政基础设施建设和设施维护工作。负责辖区内河道日常管护工作。负责辖区内农村公路的建设、养护工作，组织开展辖区内农村公路管理养护情况的巡查和考评。负责卫生改厕等工作。完成党委、政府交办的其他工作。</w:t>
      </w:r>
    </w:p>
    <w:p>
      <w:pPr>
        <w:spacing w:line="600" w:lineRule="exact"/>
        <w:ind w:firstLine="640" w:firstLineChars="200"/>
        <w:rPr>
          <w:rFonts w:hint="default" w:ascii="方正仿宋_GBK" w:hAnsi="方正仿宋_GBK" w:eastAsia="方正仿宋_GBK" w:cs="方正仿宋_GBK"/>
          <w:sz w:val="32"/>
        </w:rPr>
      </w:pPr>
      <w:r>
        <w:rPr>
          <w:rFonts w:ascii="方正仿宋_GBK" w:hAnsi="方正仿宋_GBK" w:eastAsia="方正仿宋_GBK" w:cs="方正仿宋_GBK"/>
          <w:sz w:val="32"/>
        </w:rPr>
        <w:t>9</w:t>
      </w:r>
      <w:r>
        <w:rPr>
          <w:rFonts w:hint="eastAsia" w:ascii="方正仿宋_GBK" w:hAnsi="方正仿宋_GBK" w:eastAsia="方正仿宋_GBK" w:cs="方正仿宋_GBK"/>
          <w:sz w:val="32"/>
          <w:lang w:val="en-US" w:eastAsia="zh-CN"/>
        </w:rPr>
        <w:t>.</w:t>
      </w:r>
      <w:r>
        <w:rPr>
          <w:rFonts w:ascii="方正仿宋_GBK" w:hAnsi="方正仿宋_GBK" w:eastAsia="方正仿宋_GBK" w:cs="方正仿宋_GBK"/>
          <w:sz w:val="32"/>
        </w:rPr>
        <w:t>应急管理办公室：负责火灾、水旱灾害、地质灾害等灾害防治工作。负责救灾等工作。负责消防管理工作。负责安全生产等工作。组织编制本辖区应急救援综合预案，并组织实施。承担辖区内安全生产综合监管，协助县级有关主管部门对煤矿、非煤矿山、危险化学品、烟花爆竹等行业领域生产经营单位进行安全生产和职业健康日常监管。负责辖区内农村道路、航运安全管理工作。承担法律法规授权或依法接受委托的其他行业领域的安全生产监管执法。完成党委、政府交办的其他工作。</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rPr>
      </w:pPr>
      <w:r>
        <w:rPr>
          <w:rFonts w:ascii="方正仿宋_GBK" w:hAnsi="方正仿宋_GBK" w:eastAsia="方正仿宋_GBK" w:cs="方正仿宋_GBK"/>
          <w:sz w:val="32"/>
        </w:rPr>
        <w:t>10</w:t>
      </w:r>
      <w:r>
        <w:rPr>
          <w:rFonts w:hint="eastAsia" w:ascii="方正仿宋_GBK" w:hAnsi="方正仿宋_GBK" w:eastAsia="方正仿宋_GBK" w:cs="方正仿宋_GBK"/>
          <w:sz w:val="32"/>
          <w:lang w:val="en-US" w:eastAsia="zh-CN"/>
        </w:rPr>
        <w:t>.</w:t>
      </w:r>
      <w:r>
        <w:rPr>
          <w:rFonts w:ascii="方正仿宋_GBK" w:hAnsi="方正仿宋_GBK" w:eastAsia="方正仿宋_GBK" w:cs="方正仿宋_GBK"/>
          <w:sz w:val="32"/>
        </w:rPr>
        <w:t>综合行政执法办公室：负责综合行政执法方面法律、法规和规章的宣传教育工作。集中行使依法授权或委托的农林水利、规划建设、环境保护、卫生健康、市容环卫、文化旅游、民政管理、消防等领域的行政执法权。负责综合行政执法文书的制作、发放、审核、回收及案卷管理工作。配合有关县级行政主管部门做好行政执法等工作。完成党委、政府交办的其他工作。</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640" w:firstLineChars="200"/>
        <w:textAlignment w:val="auto"/>
        <w:rPr>
          <w:rFonts w:hint="default" w:ascii="楷体" w:hAnsi="楷体" w:eastAsia="楷体" w:cs="楷体"/>
          <w:b w:val="0"/>
          <w:bCs/>
          <w:sz w:val="32"/>
          <w:szCs w:val="32"/>
        </w:rPr>
      </w:pPr>
      <w:r>
        <w:rPr>
          <w:rStyle w:val="10"/>
          <w:rFonts w:hint="eastAsia" w:ascii="楷体" w:hAnsi="楷体" w:eastAsia="楷体" w:cs="楷体"/>
          <w:b w:val="0"/>
          <w:bCs/>
          <w:sz w:val="32"/>
          <w:szCs w:val="32"/>
          <w:shd w:val="clear" w:color="auto" w:fill="FFFFFF"/>
          <w:lang w:val="en-US" w:eastAsia="zh-CN"/>
        </w:rPr>
        <w:t>（</w:t>
      </w:r>
      <w:r>
        <w:rPr>
          <w:rStyle w:val="10"/>
          <w:rFonts w:ascii="楷体" w:hAnsi="楷体" w:eastAsia="楷体" w:cs="楷体"/>
          <w:b w:val="0"/>
          <w:bCs/>
          <w:sz w:val="32"/>
          <w:szCs w:val="32"/>
          <w:shd w:val="clear" w:color="auto" w:fill="FFFFFF"/>
        </w:rPr>
        <w:t>二</w:t>
      </w:r>
      <w:r>
        <w:rPr>
          <w:rStyle w:val="10"/>
          <w:rFonts w:hint="eastAsia" w:ascii="楷体" w:hAnsi="楷体" w:eastAsia="楷体" w:cs="楷体"/>
          <w:b w:val="0"/>
          <w:bCs/>
          <w:sz w:val="32"/>
          <w:szCs w:val="32"/>
          <w:shd w:val="clear" w:color="auto" w:fill="FFFFFF"/>
          <w:lang w:val="en-US" w:eastAsia="zh-CN"/>
        </w:rPr>
        <w:t>)</w:t>
      </w:r>
      <w:r>
        <w:rPr>
          <w:rStyle w:val="10"/>
          <w:rFonts w:ascii="楷体" w:hAnsi="楷体" w:eastAsia="楷体" w:cs="楷体"/>
          <w:b w:val="0"/>
          <w:bCs/>
          <w:sz w:val="32"/>
          <w:szCs w:val="32"/>
          <w:shd w:val="clear" w:color="auto" w:fill="FFFFFF"/>
        </w:rPr>
        <w:t>机构设置</w:t>
      </w:r>
    </w:p>
    <w:p>
      <w:pPr>
        <w:keepNext w:val="0"/>
        <w:keepLines w:val="0"/>
        <w:pageBreakBefore w:val="0"/>
        <w:widowControl/>
        <w:kinsoku/>
        <w:wordWrap/>
        <w:overflowPunct/>
        <w:topLinePunct w:val="0"/>
        <w:autoSpaceDE/>
        <w:autoSpaceDN/>
        <w:bidi w:val="0"/>
        <w:adjustRightInd/>
        <w:snapToGrid/>
        <w:spacing w:beforeAutospacing="0" w:afterAutospacing="0" w:line="594" w:lineRule="exact"/>
        <w:ind w:firstLine="640" w:firstLineChars="200"/>
        <w:textAlignment w:val="auto"/>
        <w:rPr>
          <w:rFonts w:hint="default" w:ascii="方正仿宋_GBK" w:hAnsi="方正仿宋_GBK" w:eastAsia="方正仿宋_GBK" w:cs="方正仿宋_GBK"/>
          <w:sz w:val="32"/>
        </w:rPr>
      </w:pPr>
      <w:r>
        <w:rPr>
          <w:rFonts w:ascii="方正仿宋_GBK" w:hAnsi="方正仿宋_GBK" w:eastAsia="方正仿宋_GBK" w:cs="方正仿宋_GBK"/>
          <w:sz w:val="32"/>
        </w:rPr>
        <w:t>1.党委、政府综合办事机构10个：党政办公室、党群工作办公室、</w:t>
      </w:r>
      <w:r>
        <w:rPr>
          <w:rFonts w:hint="eastAsia" w:ascii="方正仿宋_GBK" w:hAnsi="方正仿宋_GBK" w:eastAsia="方正仿宋_GBK" w:cs="方正仿宋_GBK"/>
          <w:sz w:val="32"/>
          <w:lang w:eastAsia="zh-CN"/>
        </w:rPr>
        <w:t>人大常委会办公室</w:t>
      </w:r>
      <w:r>
        <w:rPr>
          <w:rFonts w:ascii="方正仿宋_GBK" w:hAnsi="方正仿宋_GBK" w:eastAsia="方正仿宋_GBK" w:cs="方正仿宋_GBK"/>
          <w:sz w:val="32"/>
        </w:rPr>
        <w:t>、经济发展办公室、财政办公室、民政和社会事务办公室、平安建设办公室、规划建设管理环保办公室、应急管理办公室、综合行政执法办公室。</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2.本单位2023年末在职职工29人。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0"/>
          <w:rFonts w:hint="default" w:ascii="黑体" w:hAnsi="黑体" w:eastAsia="黑体" w:cs="黑体"/>
          <w:b w:val="0"/>
          <w:bCs/>
          <w:sz w:val="32"/>
          <w:szCs w:val="32"/>
          <w:shd w:val="clear" w:color="auto" w:fill="FFFFFF"/>
        </w:rPr>
      </w:pPr>
      <w:r>
        <w:rPr>
          <w:rStyle w:val="10"/>
          <w:rFonts w:ascii="黑体" w:hAnsi="黑体" w:eastAsia="黑体" w:cs="黑体"/>
          <w:b w:val="0"/>
          <w:bCs/>
          <w:sz w:val="32"/>
          <w:szCs w:val="32"/>
          <w:shd w:val="clear" w:color="auto" w:fill="FFFFFF"/>
        </w:rPr>
        <w:t>二、部门决算情况说明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楷体" w:hAnsi="楷体" w:eastAsia="楷体" w:cs="楷体"/>
          <w:b w:val="0"/>
          <w:bCs w:val="0"/>
          <w:sz w:val="32"/>
          <w:szCs w:val="32"/>
          <w:shd w:val="clear" w:color="auto" w:fill="FFFFFF"/>
          <w:lang w:val="en-US" w:eastAsia="zh-CN" w:bidi="ar"/>
        </w:rPr>
      </w:pPr>
      <w:r>
        <w:rPr>
          <w:rFonts w:hint="eastAsia" w:ascii="楷体" w:hAnsi="楷体" w:eastAsia="楷体" w:cs="楷体"/>
          <w:b w:val="0"/>
          <w:bCs w:val="0"/>
          <w:sz w:val="32"/>
          <w:szCs w:val="32"/>
          <w:shd w:val="clear" w:color="auto" w:fill="FFFFFF"/>
          <w:lang w:val="en-US" w:eastAsia="zh-CN" w:bidi="ar"/>
        </w:rPr>
        <w:t>（一）收入支出决算总体情况说明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b/>
          <w:bCs/>
          <w:sz w:val="32"/>
          <w:szCs w:val="32"/>
          <w:shd w:val="clear" w:color="auto" w:fill="FFFFFF"/>
        </w:rPr>
        <w:t>1.总体情况。</w:t>
      </w:r>
      <w:r>
        <w:rPr>
          <w:rFonts w:ascii="方正仿宋_GBK" w:hAnsi="方正仿宋_GBK" w:eastAsia="方正仿宋_GBK" w:cs="方正仿宋_GBK"/>
          <w:sz w:val="32"/>
          <w:szCs w:val="32"/>
          <w:shd w:val="clear" w:color="auto" w:fill="FFFFFF"/>
        </w:rPr>
        <w:t>2023年度收入总计3630.84万元，支出总计</w:t>
      </w:r>
      <w:r>
        <w:rPr>
          <w:rFonts w:ascii="方正仿宋_GBK" w:hAnsi="方正仿宋_GBK" w:eastAsia="方正仿宋_GBK" w:cs="方正仿宋_GBK"/>
          <w:sz w:val="32"/>
          <w:szCs w:val="32"/>
        </w:rPr>
        <w:t>3630.84</w:t>
      </w:r>
      <w:r>
        <w:rPr>
          <w:rFonts w:ascii="方正仿宋_GBK" w:hAnsi="方正仿宋_GBK" w:eastAsia="方正仿宋_GBK" w:cs="方正仿宋_GBK"/>
          <w:sz w:val="32"/>
          <w:szCs w:val="32"/>
          <w:shd w:val="clear" w:color="auto" w:fill="FFFFFF"/>
        </w:rPr>
        <w:t>万元。收支较上年决算数增加526.54万元，增长16.96%，主要原因是上年项目收支较少，本年度项目收支增多。</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b/>
          <w:bCs/>
          <w:sz w:val="32"/>
          <w:szCs w:val="32"/>
          <w:shd w:val="clear" w:color="auto" w:fill="FFFFFF"/>
        </w:rPr>
        <w:t>2.收入情况。</w:t>
      </w:r>
      <w:r>
        <w:rPr>
          <w:rFonts w:ascii="方正仿宋_GBK" w:hAnsi="方正仿宋_GBK" w:eastAsia="方正仿宋_GBK" w:cs="方正仿宋_GBK"/>
          <w:sz w:val="32"/>
          <w:szCs w:val="32"/>
          <w:shd w:val="clear" w:color="auto" w:fill="FFFFFF"/>
        </w:rPr>
        <w:t>2023年度收入合计3592.33万元，较上年决算数增加737.09万元，增长25.82%，主要原因是项目收入增多。其中：财政拨款收入</w:t>
      </w:r>
      <w:r>
        <w:rPr>
          <w:rFonts w:ascii="方正仿宋_GBK" w:hAnsi="方正仿宋_GBK" w:eastAsia="方正仿宋_GBK" w:cs="方正仿宋_GBK"/>
          <w:sz w:val="32"/>
          <w:szCs w:val="32"/>
        </w:rPr>
        <w:t>3592.33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38.52</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2023年度支出合计</w:t>
      </w:r>
      <w:r>
        <w:rPr>
          <w:rFonts w:ascii="方正仿宋_GBK" w:hAnsi="方正仿宋_GBK" w:eastAsia="方正仿宋_GBK" w:cs="方正仿宋_GBK"/>
          <w:sz w:val="32"/>
          <w:szCs w:val="32"/>
        </w:rPr>
        <w:t>3630.84</w:t>
      </w:r>
      <w:r>
        <w:rPr>
          <w:rFonts w:ascii="方正仿宋_GBK" w:hAnsi="方正仿宋_GBK" w:eastAsia="方正仿宋_GBK" w:cs="方正仿宋_GBK"/>
          <w:sz w:val="32"/>
          <w:szCs w:val="32"/>
          <w:shd w:val="clear" w:color="auto" w:fill="FFFFFF"/>
        </w:rPr>
        <w:t>万元，较上年决算数增加526.54万元，增长16.96%，主要原因是项目支出增多。其中：基本支出</w:t>
      </w:r>
      <w:r>
        <w:rPr>
          <w:rFonts w:ascii="方正仿宋_GBK" w:hAnsi="方正仿宋_GBK" w:eastAsia="方正仿宋_GBK" w:cs="方正仿宋_GBK"/>
          <w:sz w:val="32"/>
          <w:szCs w:val="32"/>
        </w:rPr>
        <w:t>1300.43</w:t>
      </w:r>
      <w:r>
        <w:rPr>
          <w:rFonts w:ascii="方正仿宋_GBK" w:hAnsi="方正仿宋_GBK" w:eastAsia="方正仿宋_GBK" w:cs="方正仿宋_GBK"/>
          <w:sz w:val="32"/>
          <w:szCs w:val="32"/>
          <w:shd w:val="clear" w:color="auto" w:fill="FFFFFF"/>
        </w:rPr>
        <w:t>万元，占35.82%；项目支出</w:t>
      </w:r>
      <w:r>
        <w:rPr>
          <w:rFonts w:ascii="方正仿宋_GBK" w:hAnsi="方正仿宋_GBK" w:eastAsia="方正仿宋_GBK" w:cs="方正仿宋_GBK"/>
          <w:sz w:val="32"/>
          <w:szCs w:val="32"/>
        </w:rPr>
        <w:t>2330.41</w:t>
      </w:r>
      <w:r>
        <w:rPr>
          <w:rFonts w:ascii="方正仿宋_GBK" w:hAnsi="方正仿宋_GBK" w:eastAsia="方正仿宋_GBK" w:cs="方正仿宋_GBK"/>
          <w:sz w:val="32"/>
          <w:szCs w:val="32"/>
          <w:shd w:val="clear" w:color="auto" w:fill="FFFFFF"/>
        </w:rPr>
        <w:t>万元，占64.18%；经营支出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2023年度年末结转和结余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万元，较上年决算数无增减，主要原因是本年度无结转结余。</w:t>
      </w:r>
    </w:p>
    <w:p>
      <w:pPr>
        <w:pStyle w:val="11"/>
        <w:keepNext w:val="0"/>
        <w:keepLines w:val="0"/>
        <w:pageBreakBefore w:val="0"/>
        <w:widowControl/>
        <w:kinsoku/>
        <w:wordWrap/>
        <w:overflowPunct/>
        <w:topLinePunct w:val="0"/>
        <w:autoSpaceDE w:val="0"/>
        <w:autoSpaceDN/>
        <w:bidi w:val="0"/>
        <w:adjustRightInd/>
        <w:spacing w:line="594" w:lineRule="exact"/>
        <w:ind w:firstLine="643"/>
        <w:textAlignment w:val="auto"/>
        <w:rPr>
          <w:rFonts w:ascii="楷体" w:hAnsi="楷体" w:eastAsia="楷体" w:cs="楷体"/>
          <w:b w:val="0"/>
          <w:bCs w:val="0"/>
          <w:sz w:val="32"/>
          <w:szCs w:val="32"/>
          <w:shd w:val="clear" w:color="auto" w:fill="FFFFFF"/>
          <w:lang w:bidi="ar"/>
        </w:rPr>
      </w:pPr>
      <w:r>
        <w:rPr>
          <w:rFonts w:hint="eastAsia" w:ascii="楷体" w:hAnsi="楷体" w:eastAsia="楷体" w:cs="楷体"/>
          <w:b w:val="0"/>
          <w:bCs w:val="0"/>
          <w:sz w:val="32"/>
          <w:szCs w:val="32"/>
          <w:shd w:val="clear" w:color="auto" w:fill="FFFFFF"/>
          <w:lang w:bidi="ar"/>
        </w:rPr>
        <w:t>（二）财政拨款收入支出决算总体情况说明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2023年度财政拨款收、支总计3630.84万元。与2022年相比，财政拨款收、支总计各增加526.54万元，增长16.96%。主要原因是上年度项目收支较少，本年度项目收支增多。</w:t>
      </w:r>
    </w:p>
    <w:p>
      <w:pPr>
        <w:pStyle w:val="11"/>
        <w:keepNext w:val="0"/>
        <w:keepLines w:val="0"/>
        <w:pageBreakBefore w:val="0"/>
        <w:widowControl/>
        <w:kinsoku/>
        <w:wordWrap/>
        <w:overflowPunct/>
        <w:topLinePunct w:val="0"/>
        <w:autoSpaceDE w:val="0"/>
        <w:autoSpaceDN/>
        <w:bidi w:val="0"/>
        <w:adjustRightInd/>
        <w:snapToGrid/>
        <w:spacing w:line="594" w:lineRule="exact"/>
        <w:ind w:left="0" w:leftChars="0" w:firstLine="640" w:firstLineChars="200"/>
        <w:textAlignment w:val="auto"/>
        <w:rPr>
          <w:rFonts w:ascii="楷体" w:hAnsi="楷体" w:eastAsia="楷体" w:cs="楷体"/>
          <w:b w:val="0"/>
          <w:bCs w:val="0"/>
          <w:sz w:val="32"/>
          <w:szCs w:val="32"/>
          <w:shd w:val="clear" w:color="auto" w:fill="FFFFFF"/>
          <w:lang w:bidi="ar"/>
        </w:rPr>
      </w:pPr>
      <w:r>
        <w:rPr>
          <w:rFonts w:hint="eastAsia" w:ascii="楷体" w:hAnsi="楷体" w:eastAsia="楷体" w:cs="楷体"/>
          <w:b w:val="0"/>
          <w:bCs w:val="0"/>
          <w:sz w:val="32"/>
          <w:szCs w:val="32"/>
          <w:shd w:val="clear" w:color="auto" w:fill="FFFFFF"/>
          <w:lang w:bidi="ar"/>
        </w:rPr>
        <w:t>（三）一般公共预算财政拨款收入支出决算情况说明</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2023年度一般公共预算财政拨款收入</w:t>
      </w:r>
      <w:r>
        <w:rPr>
          <w:rFonts w:ascii="方正仿宋_GBK" w:hAnsi="方正仿宋_GBK" w:eastAsia="方正仿宋_GBK" w:cs="方正仿宋_GBK"/>
          <w:sz w:val="32"/>
          <w:szCs w:val="32"/>
        </w:rPr>
        <w:t>2688.30</w:t>
      </w:r>
      <w:r>
        <w:rPr>
          <w:rFonts w:ascii="方正仿宋_GBK" w:hAnsi="方正仿宋_GBK" w:eastAsia="方正仿宋_GBK" w:cs="方正仿宋_GBK"/>
          <w:sz w:val="32"/>
          <w:szCs w:val="32"/>
          <w:shd w:val="clear" w:color="auto" w:fill="FFFFFF"/>
        </w:rPr>
        <w:t>万元，较上年决算数减少141.96万元，下降5.02%。主要原因是项目收入减少。较年初预算数增加1136.94万元，增长73.29%。主要原因是人员调资，目标考核调增。此外，年初财政拨款结转和结余</w:t>
      </w:r>
      <w:r>
        <w:rPr>
          <w:rFonts w:ascii="方正仿宋_GBK" w:hAnsi="方正仿宋_GBK" w:eastAsia="方正仿宋_GBK" w:cs="方正仿宋_GBK"/>
          <w:sz w:val="32"/>
          <w:szCs w:val="32"/>
        </w:rPr>
        <w:t>38.52</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2023年度一般公共预算财政拨款支出</w:t>
      </w:r>
      <w:r>
        <w:rPr>
          <w:rFonts w:ascii="方正仿宋_GBK" w:hAnsi="方正仿宋_GBK" w:eastAsia="方正仿宋_GBK" w:cs="方正仿宋_GBK"/>
          <w:sz w:val="32"/>
          <w:szCs w:val="32"/>
        </w:rPr>
        <w:t>2726.81</w:t>
      </w:r>
      <w:r>
        <w:rPr>
          <w:rFonts w:ascii="方正仿宋_GBK" w:hAnsi="方正仿宋_GBK" w:eastAsia="方正仿宋_GBK" w:cs="方正仿宋_GBK"/>
          <w:sz w:val="32"/>
          <w:szCs w:val="32"/>
          <w:shd w:val="clear" w:color="auto" w:fill="FFFFFF"/>
        </w:rPr>
        <w:t>万元，较上年决算数减少352.52万元，下降11.45%。主要原因是项目支出减少。较年初预算数增加1175.45万元，增长75.77%。主要原因是人员调资，目标考核调增。</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2023年度年末一般公共预算财政拨款结转和结余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万元，较上年决算数无增减，主要原因是本年度无结转结余。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4.比较情况。</w:t>
      </w:r>
      <w:r>
        <w:rPr>
          <w:rFonts w:ascii="方正仿宋_GBK" w:hAnsi="方正仿宋_GBK" w:eastAsia="方正仿宋_GBK" w:cs="方正仿宋_GBK"/>
          <w:sz w:val="32"/>
          <w:szCs w:val="32"/>
          <w:shd w:val="clear" w:color="auto" w:fill="FFFFFF"/>
        </w:rPr>
        <w:t>本单位2023年度一般公共预算财政拨款支出主要用于以下几个方面：</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1130.22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41.45</w:t>
      </w:r>
      <w:r>
        <w:rPr>
          <w:rFonts w:ascii="方正仿宋_GBK" w:hAnsi="方正仿宋_GBK" w:eastAsia="方正仿宋_GBK" w:cs="方正仿宋_GBK"/>
          <w:sz w:val="32"/>
          <w:szCs w:val="32"/>
          <w:shd w:val="clear" w:color="auto" w:fill="FFFFFF"/>
        </w:rPr>
        <w:t>%，较年初预算数增加410.97万元，增长57.14%，主要原因是人员工资性支出及办公支出增加。</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）公共安全支出</w:t>
      </w:r>
      <w:r>
        <w:rPr>
          <w:rFonts w:ascii="方正仿宋_GBK" w:hAnsi="方正仿宋_GBK" w:eastAsia="方正仿宋_GBK" w:cs="方正仿宋_GBK"/>
          <w:sz w:val="32"/>
          <w:szCs w:val="32"/>
        </w:rPr>
        <w:t>15.10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0.55</w:t>
      </w:r>
      <w:r>
        <w:rPr>
          <w:rFonts w:ascii="方正仿宋_GBK" w:hAnsi="方正仿宋_GBK" w:eastAsia="方正仿宋_GBK" w:cs="方正仿宋_GBK"/>
          <w:sz w:val="32"/>
          <w:szCs w:val="32"/>
          <w:shd w:val="clear" w:color="auto" w:fill="FFFFFF"/>
        </w:rPr>
        <w:t>%，较年初预算数增加15.10万元，增长100.00%，主要原因是人员工资性支出及办公支出增加。</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（3）文化旅游体育与传媒支出</w:t>
      </w:r>
      <w:r>
        <w:rPr>
          <w:rFonts w:ascii="方正仿宋_GBK" w:hAnsi="方正仿宋_GBK" w:eastAsia="方正仿宋_GBK" w:cs="方正仿宋_GBK"/>
          <w:sz w:val="32"/>
          <w:szCs w:val="32"/>
        </w:rPr>
        <w:t>2.12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0.08</w:t>
      </w:r>
      <w:r>
        <w:rPr>
          <w:rFonts w:ascii="方正仿宋_GBK" w:hAnsi="方正仿宋_GBK" w:eastAsia="方正仿宋_GBK" w:cs="方正仿宋_GBK"/>
          <w:sz w:val="32"/>
          <w:szCs w:val="32"/>
          <w:shd w:val="clear" w:color="auto" w:fill="FFFFFF"/>
        </w:rPr>
        <w:t>%，较年初预算数增加2.12万元，增长100.00%，主要原因是商品和服务支出增加。</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（4）社会保障与就业支出</w:t>
      </w:r>
      <w:r>
        <w:rPr>
          <w:rFonts w:ascii="方正仿宋_GBK" w:hAnsi="方正仿宋_GBK" w:eastAsia="方正仿宋_GBK" w:cs="方正仿宋_GBK"/>
          <w:sz w:val="32"/>
          <w:szCs w:val="32"/>
        </w:rPr>
        <w:t>223.87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8.21</w:t>
      </w:r>
      <w:r>
        <w:rPr>
          <w:rFonts w:ascii="方正仿宋_GBK" w:hAnsi="方正仿宋_GBK" w:eastAsia="方正仿宋_GBK" w:cs="方正仿宋_GBK"/>
          <w:sz w:val="32"/>
          <w:szCs w:val="32"/>
          <w:shd w:val="clear" w:color="auto" w:fill="FFFFFF"/>
        </w:rPr>
        <w:t>%，较年初预算数增加59.20万元，增长35.95%，主要原因是人员工资性支出及办公支出增加。</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（5）卫生健康支出</w:t>
      </w:r>
      <w:r>
        <w:rPr>
          <w:rFonts w:ascii="方正仿宋_GBK" w:hAnsi="方正仿宋_GBK" w:eastAsia="方正仿宋_GBK" w:cs="方正仿宋_GBK"/>
          <w:sz w:val="32"/>
          <w:szCs w:val="32"/>
        </w:rPr>
        <w:t>44.98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1.65</w:t>
      </w:r>
      <w:r>
        <w:rPr>
          <w:rFonts w:ascii="方正仿宋_GBK" w:hAnsi="方正仿宋_GBK" w:eastAsia="方正仿宋_GBK" w:cs="方正仿宋_GBK"/>
          <w:sz w:val="32"/>
          <w:szCs w:val="32"/>
          <w:shd w:val="clear" w:color="auto" w:fill="FFFFFF"/>
        </w:rPr>
        <w:t>%，较年初预算数增加17.67万元，增长64.70%，主要原因是行政单位医疗支出增加。</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（6）城乡社区支出</w:t>
      </w:r>
      <w:r>
        <w:rPr>
          <w:rFonts w:ascii="方正仿宋_GBK" w:hAnsi="方正仿宋_GBK" w:eastAsia="方正仿宋_GBK" w:cs="方正仿宋_GBK"/>
          <w:sz w:val="32"/>
          <w:szCs w:val="32"/>
        </w:rPr>
        <w:t>82.22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3.02</w:t>
      </w:r>
      <w:r>
        <w:rPr>
          <w:rFonts w:ascii="方正仿宋_GBK" w:hAnsi="方正仿宋_GBK" w:eastAsia="方正仿宋_GBK" w:cs="方正仿宋_GBK"/>
          <w:sz w:val="32"/>
          <w:szCs w:val="32"/>
          <w:shd w:val="clear" w:color="auto" w:fill="FFFFFF"/>
        </w:rPr>
        <w:t>%，较年初预算数增加55.22万元，增长204.52%，主要原因是基础设施建设支出增加。</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（7）农林水支出</w:t>
      </w:r>
      <w:r>
        <w:rPr>
          <w:rFonts w:ascii="方正仿宋_GBK" w:hAnsi="方正仿宋_GBK" w:eastAsia="方正仿宋_GBK" w:cs="方正仿宋_GBK"/>
          <w:sz w:val="32"/>
          <w:szCs w:val="32"/>
        </w:rPr>
        <w:t>825.07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30.26</w:t>
      </w:r>
      <w:r>
        <w:rPr>
          <w:rFonts w:ascii="方正仿宋_GBK" w:hAnsi="方正仿宋_GBK" w:eastAsia="方正仿宋_GBK" w:cs="方正仿宋_GBK"/>
          <w:sz w:val="32"/>
          <w:szCs w:val="32"/>
          <w:shd w:val="clear" w:color="auto" w:fill="FFFFFF"/>
        </w:rPr>
        <w:t>%，较年初预算数增加312.74万元，增长61.04%，主要原因是一事一议、农村综合改革转移支付等项目支出增加。</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（8）交通运输支出</w:t>
      </w:r>
      <w:r>
        <w:rPr>
          <w:rFonts w:ascii="方正仿宋_GBK" w:hAnsi="方正仿宋_GBK" w:eastAsia="方正仿宋_GBK" w:cs="方正仿宋_GBK"/>
          <w:sz w:val="32"/>
          <w:szCs w:val="32"/>
        </w:rPr>
        <w:t>288.33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10.57</w:t>
      </w:r>
      <w:r>
        <w:rPr>
          <w:rFonts w:ascii="方正仿宋_GBK" w:hAnsi="方正仿宋_GBK" w:eastAsia="方正仿宋_GBK" w:cs="方正仿宋_GBK"/>
          <w:sz w:val="32"/>
          <w:szCs w:val="32"/>
          <w:shd w:val="clear" w:color="auto" w:fill="FFFFFF"/>
        </w:rPr>
        <w:t>%，较年初预算数增加288.33万元，增长100.00%，主要原因是项目预算调整增加。</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（9）资源勘探信息等支出</w:t>
      </w:r>
      <w:r>
        <w:rPr>
          <w:rFonts w:ascii="方正仿宋_GBK" w:hAnsi="方正仿宋_GBK" w:eastAsia="方正仿宋_GBK" w:cs="方正仿宋_GBK"/>
          <w:sz w:val="32"/>
          <w:szCs w:val="32"/>
        </w:rPr>
        <w:t>45.20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1.66</w:t>
      </w:r>
      <w:r>
        <w:rPr>
          <w:rFonts w:ascii="方正仿宋_GBK" w:hAnsi="方正仿宋_GBK" w:eastAsia="方正仿宋_GBK" w:cs="方正仿宋_GBK"/>
          <w:sz w:val="32"/>
          <w:szCs w:val="32"/>
          <w:shd w:val="clear" w:color="auto" w:fill="FFFFFF"/>
        </w:rPr>
        <w:t>%，较年初预算数无增减，主要原因是支持中小企业发展和管理支出增加。</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（10）</w:t>
      </w:r>
      <w:r>
        <w:rPr>
          <w:rFonts w:ascii="方正仿宋_GBK" w:hAnsi="方正仿宋_GBK" w:eastAsia="方正仿宋_GBK" w:cs="方正仿宋_GBK"/>
          <w:sz w:val="32"/>
          <w:szCs w:val="32"/>
        </w:rPr>
        <w:t>住房保障支出57.21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2.10</w:t>
      </w:r>
      <w:r>
        <w:rPr>
          <w:rFonts w:ascii="方正仿宋_GBK" w:hAnsi="方正仿宋_GBK" w:eastAsia="方正仿宋_GBK" w:cs="方正仿宋_GBK"/>
          <w:sz w:val="32"/>
          <w:szCs w:val="32"/>
          <w:shd w:val="clear" w:color="auto" w:fill="FFFFFF"/>
        </w:rPr>
        <w:t>%，较年初预算数增加3.62万元，增长6.75%，主要原因是住房公积金增加。</w:t>
      </w:r>
    </w:p>
    <w:p>
      <w:pPr>
        <w:keepNext w:val="0"/>
        <w:keepLines w:val="0"/>
        <w:pageBreakBefore w:val="0"/>
        <w:widowControl/>
        <w:kinsoku/>
        <w:wordWrap/>
        <w:overflowPunct/>
        <w:topLinePunct w:val="0"/>
        <w:autoSpaceDN/>
        <w:bidi w:val="0"/>
        <w:adjustRightInd/>
        <w:spacing w:line="594" w:lineRule="exact"/>
        <w:ind w:firstLine="640" w:firstLineChars="200"/>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（11）</w:t>
      </w:r>
      <w:r>
        <w:rPr>
          <w:rFonts w:ascii="方正仿宋_GBK" w:hAnsi="方正仿宋_GBK" w:eastAsia="方正仿宋_GBK" w:cs="方正仿宋_GBK"/>
          <w:sz w:val="32"/>
          <w:szCs w:val="32"/>
        </w:rPr>
        <w:t>灾害防治及应急管理支出12.50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0.46</w:t>
      </w:r>
      <w:r>
        <w:rPr>
          <w:rFonts w:ascii="方正仿宋_GBK" w:hAnsi="方正仿宋_GBK" w:eastAsia="方正仿宋_GBK" w:cs="方正仿宋_GBK"/>
          <w:sz w:val="32"/>
          <w:szCs w:val="32"/>
          <w:shd w:val="clear" w:color="auto" w:fill="FFFFFF"/>
        </w:rPr>
        <w:t>%，较年初预算数增加10.50万元，增长525.00%，主要原因是应急管理支出增加。</w:t>
      </w:r>
    </w:p>
    <w:p>
      <w:pPr>
        <w:pStyle w:val="11"/>
        <w:keepNext w:val="0"/>
        <w:keepLines w:val="0"/>
        <w:pageBreakBefore w:val="0"/>
        <w:widowControl/>
        <w:kinsoku/>
        <w:wordWrap/>
        <w:overflowPunct/>
        <w:topLinePunct w:val="0"/>
        <w:autoSpaceDE w:val="0"/>
        <w:autoSpaceDN/>
        <w:bidi w:val="0"/>
        <w:adjustRightInd/>
        <w:spacing w:line="594" w:lineRule="exact"/>
        <w:ind w:firstLine="643"/>
        <w:textAlignment w:val="auto"/>
        <w:rPr>
          <w:rFonts w:ascii="楷体" w:hAnsi="楷体" w:eastAsia="楷体" w:cs="楷体"/>
          <w:b w:val="0"/>
          <w:bCs w:val="0"/>
          <w:sz w:val="32"/>
          <w:szCs w:val="32"/>
          <w:shd w:val="clear" w:color="auto" w:fill="FFFFFF"/>
          <w:lang w:bidi="ar"/>
        </w:rPr>
      </w:pPr>
      <w:r>
        <w:rPr>
          <w:rFonts w:hint="eastAsia" w:ascii="楷体" w:hAnsi="楷体" w:eastAsia="楷体" w:cs="楷体"/>
          <w:b w:val="0"/>
          <w:bCs w:val="0"/>
          <w:sz w:val="32"/>
          <w:szCs w:val="32"/>
          <w:shd w:val="clear" w:color="auto" w:fill="FFFFFF"/>
          <w:lang w:bidi="ar"/>
        </w:rPr>
        <w:t>（四）一般公共预算财政拨款基本支出决算情况说明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2023年度一般公共财政拨款基本支出</w:t>
      </w:r>
      <w:r>
        <w:rPr>
          <w:rFonts w:ascii="方正仿宋_GBK" w:hAnsi="方正仿宋_GBK" w:eastAsia="方正仿宋_GBK" w:cs="方正仿宋_GBK"/>
          <w:sz w:val="32"/>
          <w:szCs w:val="32"/>
        </w:rPr>
        <w:t>1300.43</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1177.98</w:t>
      </w:r>
      <w:r>
        <w:rPr>
          <w:rFonts w:ascii="方正仿宋_GBK" w:hAnsi="方正仿宋_GBK" w:eastAsia="方正仿宋_GBK" w:cs="方正仿宋_GBK"/>
          <w:sz w:val="32"/>
          <w:szCs w:val="32"/>
          <w:shd w:val="clear" w:color="auto" w:fill="FFFFFF"/>
        </w:rPr>
        <w:t>万元，较上年决算数减少289.61万元，下降19.73%，主要原因是人员减少、人员经费正常减少。人员经费用途主要包括基本工资、津贴补贴、奖金、社会保障缴费。公用经费</w:t>
      </w:r>
      <w:r>
        <w:rPr>
          <w:rFonts w:ascii="方正仿宋_GBK" w:hAnsi="方正仿宋_GBK" w:eastAsia="方正仿宋_GBK" w:cs="方正仿宋_GBK"/>
          <w:sz w:val="32"/>
          <w:szCs w:val="32"/>
        </w:rPr>
        <w:t>122.46</w:t>
      </w:r>
      <w:r>
        <w:rPr>
          <w:rFonts w:ascii="方正仿宋_GBK" w:hAnsi="方正仿宋_GBK" w:eastAsia="方正仿宋_GBK" w:cs="方正仿宋_GBK"/>
          <w:sz w:val="32"/>
          <w:szCs w:val="32"/>
          <w:shd w:val="clear" w:color="auto" w:fill="FFFFFF"/>
        </w:rPr>
        <w:t>万元，较上年决算数减少222.61万元，下降64.51%，主要原因是严控三公经费支出，坚决落实政府过紧日子的要求。公用经费用途主要包括办公费、印刷费、咨询费、手续费、车辆维修维护。</w:t>
      </w:r>
    </w:p>
    <w:p>
      <w:pPr>
        <w:pStyle w:val="11"/>
        <w:keepNext w:val="0"/>
        <w:keepLines w:val="0"/>
        <w:pageBreakBefore w:val="0"/>
        <w:widowControl/>
        <w:kinsoku/>
        <w:wordWrap/>
        <w:overflowPunct/>
        <w:topLinePunct w:val="0"/>
        <w:autoSpaceDE w:val="0"/>
        <w:autoSpaceDN/>
        <w:bidi w:val="0"/>
        <w:adjustRightInd/>
        <w:snapToGrid/>
        <w:spacing w:line="594" w:lineRule="exact"/>
        <w:textAlignment w:val="auto"/>
        <w:rPr>
          <w:rFonts w:ascii="楷体" w:hAnsi="楷体" w:eastAsia="楷体" w:cs="楷体"/>
          <w:b w:val="0"/>
          <w:bCs w:val="0"/>
          <w:sz w:val="32"/>
          <w:szCs w:val="32"/>
          <w:shd w:val="clear" w:color="auto" w:fill="FFFFFF"/>
          <w:lang w:bidi="ar"/>
        </w:rPr>
      </w:pPr>
      <w:r>
        <w:rPr>
          <w:rFonts w:hint="eastAsia" w:ascii="楷体" w:hAnsi="楷体" w:eastAsia="楷体" w:cs="楷体"/>
          <w:b w:val="0"/>
          <w:bCs w:val="0"/>
          <w:sz w:val="32"/>
          <w:szCs w:val="32"/>
          <w:shd w:val="clear" w:color="auto" w:fill="FFFFFF"/>
          <w:lang w:bidi="ar"/>
        </w:rPr>
        <w:t>（五）政府性基金预算收支决算情况说明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903.99</w:t>
      </w:r>
      <w:r>
        <w:rPr>
          <w:rFonts w:ascii="方正仿宋_GBK" w:hAnsi="方正仿宋_GBK" w:eastAsia="方正仿宋_GBK" w:cs="方正仿宋_GBK"/>
          <w:sz w:val="32"/>
          <w:szCs w:val="32"/>
          <w:shd w:val="clear" w:color="auto" w:fill="FFFFFF"/>
        </w:rPr>
        <w:t>万元，较上年决算数增加879.01万元，增长3518.86%，主要原因是国有土地使用权出让收入安排的支出、彩票公益金安排的支出都有所增加。本年支出</w:t>
      </w:r>
      <w:r>
        <w:rPr>
          <w:rFonts w:ascii="方正仿宋_GBK" w:hAnsi="方正仿宋_GBK" w:eastAsia="方正仿宋_GBK" w:cs="方正仿宋_GBK"/>
          <w:sz w:val="32"/>
          <w:szCs w:val="32"/>
        </w:rPr>
        <w:t>903.99</w:t>
      </w:r>
      <w:r>
        <w:rPr>
          <w:rFonts w:ascii="方正仿宋_GBK" w:hAnsi="方正仿宋_GBK" w:eastAsia="方正仿宋_GBK" w:cs="方正仿宋_GBK"/>
          <w:sz w:val="32"/>
          <w:szCs w:val="32"/>
          <w:shd w:val="clear" w:color="auto" w:fill="FFFFFF"/>
        </w:rPr>
        <w:t>万元，较上年决算数增加879.01万元，增长3518.86%，主要原因是国有土地使用权出让收入安排的支出、彩票公益金安排的支出都有所增加。</w:t>
      </w:r>
    </w:p>
    <w:p>
      <w:pPr>
        <w:pStyle w:val="11"/>
        <w:autoSpaceDE w:val="0"/>
        <w:ind w:firstLine="643"/>
        <w:rPr>
          <w:rFonts w:ascii="楷体" w:hAnsi="楷体" w:eastAsia="楷体" w:cs="楷体"/>
          <w:b w:val="0"/>
          <w:bCs w:val="0"/>
          <w:sz w:val="32"/>
          <w:szCs w:val="32"/>
          <w:shd w:val="clear" w:color="auto" w:fill="FFFFFF"/>
          <w:lang w:bidi="ar"/>
        </w:rPr>
      </w:pPr>
      <w:r>
        <w:rPr>
          <w:rFonts w:hint="eastAsia" w:ascii="楷体" w:hAnsi="楷体" w:eastAsia="楷体" w:cs="楷体"/>
          <w:b w:val="0"/>
          <w:bCs w:val="0"/>
          <w:sz w:val="32"/>
          <w:szCs w:val="32"/>
          <w:shd w:val="clear" w:color="auto" w:fill="FFFFFF"/>
          <w:lang w:bidi="ar"/>
        </w:rPr>
        <w:t>（六）国有资本经营预算财政拨款支出决算情况说明</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2023年度国有资本经营预算财政拨本年支出</w:t>
      </w:r>
      <w:r>
        <w:rPr>
          <w:rFonts w:ascii="方正仿宋_GBK" w:hAnsi="方正仿宋_GBK" w:eastAsia="方正仿宋_GBK" w:cs="方正仿宋_GBK"/>
          <w:sz w:val="32"/>
          <w:szCs w:val="32"/>
        </w:rPr>
        <w:t>0.04</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0.04</w:t>
      </w:r>
      <w:r>
        <w:rPr>
          <w:rFonts w:ascii="方正仿宋_GBK" w:hAnsi="方正仿宋_GBK" w:eastAsia="方正仿宋_GBK" w:cs="方正仿宋_GBK"/>
          <w:sz w:val="32"/>
          <w:szCs w:val="32"/>
          <w:shd w:val="clear" w:color="auto" w:fill="FFFFFF"/>
        </w:rPr>
        <w:t>万元，主要用途用于国有企业退休人员社会化管理补助支出。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0"/>
          <w:rFonts w:hint="default" w:ascii="黑体" w:hAnsi="黑体" w:eastAsia="黑体" w:cs="黑体"/>
          <w:b w:val="0"/>
          <w:bCs/>
          <w:sz w:val="32"/>
          <w:szCs w:val="32"/>
          <w:shd w:val="clear" w:color="auto" w:fill="FFFFFF"/>
        </w:rPr>
      </w:pPr>
      <w:r>
        <w:rPr>
          <w:rStyle w:val="10"/>
          <w:rFonts w:ascii="黑体" w:hAnsi="黑体" w:eastAsia="黑体" w:cs="黑体"/>
          <w:b w:val="0"/>
          <w:bCs/>
          <w:sz w:val="32"/>
          <w:szCs w:val="32"/>
          <w:shd w:val="clear" w:color="auto" w:fill="FFFFFF"/>
        </w:rPr>
        <w:t>三、“三公”经费情况说明</w:t>
      </w:r>
    </w:p>
    <w:p>
      <w:pPr>
        <w:pStyle w:val="11"/>
        <w:keepNext w:val="0"/>
        <w:keepLines w:val="0"/>
        <w:pageBreakBefore w:val="0"/>
        <w:widowControl/>
        <w:kinsoku/>
        <w:wordWrap/>
        <w:overflowPunct/>
        <w:topLinePunct w:val="0"/>
        <w:autoSpaceDE w:val="0"/>
        <w:autoSpaceDN/>
        <w:bidi w:val="0"/>
        <w:adjustRightInd/>
        <w:spacing w:line="594" w:lineRule="exact"/>
        <w:ind w:firstLine="643"/>
        <w:textAlignment w:val="auto"/>
        <w:rPr>
          <w:rFonts w:ascii="楷体" w:hAnsi="楷体" w:eastAsia="楷体" w:cs="楷体"/>
          <w:b w:val="0"/>
          <w:bCs w:val="0"/>
          <w:sz w:val="32"/>
          <w:szCs w:val="32"/>
          <w:shd w:val="clear" w:color="auto" w:fill="FFFFFF"/>
          <w:lang w:bidi="ar"/>
        </w:rPr>
      </w:pPr>
      <w:r>
        <w:rPr>
          <w:rFonts w:hint="eastAsia" w:ascii="楷体" w:hAnsi="楷体" w:eastAsia="楷体" w:cs="楷体"/>
          <w:b w:val="0"/>
          <w:bCs w:val="0"/>
          <w:sz w:val="32"/>
          <w:szCs w:val="32"/>
          <w:shd w:val="clear" w:color="auto" w:fill="FFFFFF"/>
          <w:lang w:bidi="ar"/>
        </w:rPr>
        <w:t>（一）“三公”经费支出总体情况说明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2023年度“三公”经费支出共计</w:t>
      </w:r>
      <w:r>
        <w:rPr>
          <w:rFonts w:ascii="方正仿宋_GBK" w:hAnsi="方正仿宋_GBK" w:eastAsia="方正仿宋_GBK" w:cs="方正仿宋_GBK"/>
          <w:sz w:val="32"/>
          <w:szCs w:val="32"/>
        </w:rPr>
        <w:t>5.33</w:t>
      </w:r>
      <w:r>
        <w:rPr>
          <w:rFonts w:ascii="方正仿宋_GBK" w:hAnsi="方正仿宋_GBK" w:eastAsia="方正仿宋_GBK" w:cs="方正仿宋_GBK"/>
          <w:sz w:val="32"/>
          <w:szCs w:val="32"/>
          <w:shd w:val="clear" w:color="auto" w:fill="FFFFFF"/>
        </w:rPr>
        <w:t>万元，较年初预算数增加2.33万元，增长77.67%，主要原因是公务接待、市政巡逻车的日常维护和消防车的运行、日常维护支出增加。较上年支出数减少6.74万元，下降55.84%，主要原因是严控三公经费支出，坚决落实政府过紧日子的要求。</w:t>
      </w:r>
    </w:p>
    <w:p>
      <w:pPr>
        <w:pStyle w:val="11"/>
        <w:keepNext w:val="0"/>
        <w:keepLines w:val="0"/>
        <w:pageBreakBefore w:val="0"/>
        <w:widowControl/>
        <w:kinsoku/>
        <w:wordWrap/>
        <w:overflowPunct/>
        <w:topLinePunct w:val="0"/>
        <w:autoSpaceDE w:val="0"/>
        <w:autoSpaceDN/>
        <w:bidi w:val="0"/>
        <w:adjustRightInd/>
        <w:snapToGrid/>
        <w:spacing w:line="594" w:lineRule="exact"/>
        <w:ind w:firstLine="643"/>
        <w:textAlignment w:val="auto"/>
        <w:rPr>
          <w:rFonts w:ascii="楷体" w:hAnsi="楷体" w:eastAsia="楷体" w:cs="楷体"/>
          <w:b w:val="0"/>
          <w:bCs w:val="0"/>
          <w:sz w:val="32"/>
          <w:szCs w:val="32"/>
          <w:shd w:val="clear" w:color="auto" w:fill="FFFFFF"/>
          <w:lang w:bidi="ar"/>
        </w:rPr>
      </w:pPr>
      <w:r>
        <w:rPr>
          <w:rFonts w:hint="eastAsia" w:ascii="楷体" w:hAnsi="楷体" w:eastAsia="楷体" w:cs="楷体"/>
          <w:b w:val="0"/>
          <w:bCs w:val="0"/>
          <w:sz w:val="32"/>
          <w:szCs w:val="32"/>
          <w:shd w:val="clear" w:color="auto" w:fill="FFFFFF"/>
          <w:lang w:bidi="ar"/>
        </w:rPr>
        <w:t>（二）“三公”经费分项支出情况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是用于因公出国（境）、招商引资等。费用支出较年初预算数无增减，主要原因是本单位2023年度因公出国（境）经费与上年持平。较上年支出数无增减，主要原因是本单位2023年度因公出国（境）经费与上年持平。 </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用于因公出行、安全生产检查、招商引资、财政业务检查等工作所需公务车购置费用。费用支出较年初预算数无增减，主要原因是本单位2023年度公务车购置费与上年持平。较上年支出数无增减，主要原因是本单位2023年度公务车购置费与上年持平。</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0.95</w:t>
      </w:r>
      <w:r>
        <w:rPr>
          <w:rFonts w:ascii="方正仿宋_GBK" w:hAnsi="方正仿宋_GBK" w:eastAsia="方正仿宋_GBK" w:cs="方正仿宋_GBK"/>
          <w:sz w:val="32"/>
          <w:szCs w:val="32"/>
          <w:shd w:val="clear" w:color="auto" w:fill="FFFFFF"/>
        </w:rPr>
        <w:t>万元，主要用于因公出行、安全生产检查、招商引资、财政业务检查等工作所需车辆的燃料费、维修费、过桥过路费、保险费等。费用支出较年初预算数减少0.05万元，下降5.00%，主要原因是因公出行、安全生产检查、招商引资、财政业务检查等工作所需车辆的燃料费、维修费、过桥过路费、保险费支出减少。较上年支出数减少6.53万元，下降87.30%，主要原因是因公出行、安全生产检查、招商引资、财政业务检查等工作所需车辆的燃料费、维修费、过桥过路费、保险费支出减少。</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4.38</w:t>
      </w:r>
      <w:r>
        <w:rPr>
          <w:rFonts w:ascii="方正仿宋_GBK" w:hAnsi="方正仿宋_GBK" w:eastAsia="方正仿宋_GBK" w:cs="方正仿宋_GBK"/>
          <w:sz w:val="32"/>
          <w:szCs w:val="32"/>
          <w:shd w:val="clear" w:color="auto" w:fill="FFFFFF"/>
        </w:rPr>
        <w:t>万元，主要用于接待上级各部门到我单位学习、调研工作，接受相关部门检查指导工作以及招商引资发生的接待支出。费用支出较年初预算数增加2.38万元，增长119.00%，主要原因是招商引资力度加大。较上年支出数减少0.21万元，下降4.58%，主要原因是接待次数、标准等有所下降。</w:t>
      </w:r>
    </w:p>
    <w:p>
      <w:pPr>
        <w:pStyle w:val="11"/>
        <w:keepNext w:val="0"/>
        <w:keepLines w:val="0"/>
        <w:pageBreakBefore w:val="0"/>
        <w:widowControl/>
        <w:kinsoku/>
        <w:wordWrap/>
        <w:overflowPunct/>
        <w:topLinePunct w:val="0"/>
        <w:autoSpaceDE w:val="0"/>
        <w:autoSpaceDN/>
        <w:bidi w:val="0"/>
        <w:adjustRightInd/>
        <w:spacing w:line="594" w:lineRule="exact"/>
        <w:ind w:firstLine="643"/>
        <w:textAlignment w:val="auto"/>
        <w:rPr>
          <w:rFonts w:ascii="楷体" w:hAnsi="楷体" w:eastAsia="楷体" w:cs="楷体"/>
          <w:b w:val="0"/>
          <w:bCs w:val="0"/>
          <w:sz w:val="32"/>
          <w:szCs w:val="32"/>
          <w:shd w:val="clear" w:color="auto" w:fill="FFFFFF"/>
          <w:lang w:bidi="ar"/>
        </w:rPr>
      </w:pPr>
      <w:r>
        <w:rPr>
          <w:rFonts w:hint="eastAsia" w:ascii="楷体" w:hAnsi="楷体" w:eastAsia="楷体" w:cs="楷体"/>
          <w:b w:val="0"/>
          <w:bCs w:val="0"/>
          <w:sz w:val="32"/>
          <w:szCs w:val="32"/>
          <w:shd w:val="clear" w:color="auto" w:fill="FFFFFF"/>
          <w:lang w:bidi="ar"/>
        </w:rPr>
        <w:t>（三）“三公”经费实物量情况</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2023年度本单位因公出国（境）共计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15</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230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人。2023年本单位人均接待费</w:t>
      </w:r>
      <w:r>
        <w:rPr>
          <w:rFonts w:ascii="方正仿宋_GBK" w:hAnsi="方正仿宋_GBK" w:eastAsia="方正仿宋_GBK" w:cs="方正仿宋_GBK"/>
          <w:sz w:val="32"/>
          <w:szCs w:val="32"/>
        </w:rPr>
        <w:t>190.57</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0.47</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0"/>
          <w:rFonts w:ascii="黑体" w:hAnsi="黑体" w:eastAsia="黑体" w:cs="黑体"/>
          <w:b w:val="0"/>
          <w:bCs/>
          <w:sz w:val="32"/>
          <w:szCs w:val="32"/>
          <w:shd w:val="clear" w:color="auto" w:fill="FFFFFF"/>
        </w:rPr>
      </w:pPr>
      <w:r>
        <w:rPr>
          <w:rStyle w:val="10"/>
          <w:rFonts w:ascii="黑体" w:hAnsi="黑体" w:eastAsia="黑体" w:cs="黑体"/>
          <w:b w:val="0"/>
          <w:bCs/>
          <w:sz w:val="32"/>
          <w:szCs w:val="32"/>
          <w:shd w:val="clear" w:color="auto" w:fill="FFFFFF"/>
        </w:rPr>
        <w:t>其他需要说明的事项</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ascii="楷体" w:hAnsi="楷体" w:eastAsia="楷体" w:cs="楷体"/>
          <w:b w:val="0"/>
          <w:bCs w:val="0"/>
          <w:sz w:val="32"/>
          <w:szCs w:val="32"/>
          <w:shd w:val="clear" w:color="auto" w:fill="FFFFFF"/>
          <w:lang w:bidi="ar"/>
        </w:rPr>
      </w:pPr>
      <w:r>
        <w:rPr>
          <w:rFonts w:hint="eastAsia" w:ascii="楷体" w:hAnsi="楷体" w:eastAsia="楷体" w:cs="楷体"/>
          <w:b w:val="0"/>
          <w:bCs w:val="0"/>
          <w:sz w:val="32"/>
          <w:szCs w:val="32"/>
          <w:shd w:val="clear" w:color="auto" w:fill="FFFFFF"/>
          <w:lang w:bidi="ar"/>
        </w:rPr>
        <w:t>（一）财政拨款会议费和培训费情况说明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4.30</w:t>
      </w:r>
      <w:r>
        <w:rPr>
          <w:rFonts w:ascii="方正仿宋_GBK" w:hAnsi="方正仿宋_GBK" w:eastAsia="方正仿宋_GBK" w:cs="方正仿宋_GBK"/>
          <w:sz w:val="32"/>
          <w:szCs w:val="32"/>
          <w:shd w:val="clear" w:color="auto" w:fill="FFFFFF"/>
        </w:rPr>
        <w:t>万元，较上年决算数减少1.14万元，下降20.96%，主要原因是本年度减少会议费开支。本年度培训费支出</w:t>
      </w:r>
      <w:r>
        <w:rPr>
          <w:rFonts w:ascii="方正仿宋_GBK" w:hAnsi="方正仿宋_GBK" w:eastAsia="方正仿宋_GBK" w:cs="方正仿宋_GBK"/>
          <w:sz w:val="32"/>
          <w:szCs w:val="32"/>
        </w:rPr>
        <w:t>0.27</w:t>
      </w:r>
      <w:r>
        <w:rPr>
          <w:rFonts w:ascii="方正仿宋_GBK" w:hAnsi="方正仿宋_GBK" w:eastAsia="方正仿宋_GBK" w:cs="方正仿宋_GBK"/>
          <w:sz w:val="32"/>
          <w:szCs w:val="32"/>
          <w:shd w:val="clear" w:color="auto" w:fill="FFFFFF"/>
        </w:rPr>
        <w:t>万元，较上年决算数减少0.36万元，下降57.14%，主要原因是本年度减少培训费开支。</w:t>
      </w:r>
    </w:p>
    <w:p>
      <w:pPr>
        <w:pStyle w:val="11"/>
        <w:keepNext w:val="0"/>
        <w:keepLines w:val="0"/>
        <w:pageBreakBefore w:val="0"/>
        <w:widowControl/>
        <w:kinsoku/>
        <w:wordWrap/>
        <w:overflowPunct/>
        <w:topLinePunct w:val="0"/>
        <w:autoSpaceDE w:val="0"/>
        <w:autoSpaceDN/>
        <w:bidi w:val="0"/>
        <w:adjustRightInd/>
        <w:snapToGrid/>
        <w:spacing w:line="594" w:lineRule="exact"/>
        <w:ind w:firstLine="643"/>
        <w:textAlignment w:val="auto"/>
        <w:rPr>
          <w:rFonts w:ascii="楷体" w:hAnsi="楷体" w:eastAsia="楷体" w:cs="楷体"/>
          <w:b w:val="0"/>
          <w:bCs w:val="0"/>
          <w:sz w:val="32"/>
          <w:szCs w:val="32"/>
          <w:shd w:val="clear" w:color="auto" w:fill="FFFFFF"/>
          <w:lang w:bidi="ar"/>
        </w:rPr>
      </w:pPr>
      <w:r>
        <w:rPr>
          <w:rFonts w:hint="eastAsia" w:ascii="楷体" w:hAnsi="楷体" w:eastAsia="楷体" w:cs="楷体"/>
          <w:b w:val="0"/>
          <w:bCs w:val="0"/>
          <w:sz w:val="32"/>
          <w:szCs w:val="32"/>
          <w:shd w:val="clear" w:color="auto" w:fill="FFFFFF"/>
          <w:lang w:bidi="ar"/>
        </w:rPr>
        <w:t>（二）机关运行经费情况说明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2023年度本单位机关运行经费支出</w:t>
      </w:r>
      <w:r>
        <w:rPr>
          <w:rFonts w:ascii="方正仿宋_GBK" w:hAnsi="方正仿宋_GBK" w:eastAsia="方正仿宋_GBK" w:cs="方正仿宋_GBK"/>
          <w:sz w:val="32"/>
          <w:szCs w:val="32"/>
        </w:rPr>
        <w:t>122.46</w:t>
      </w:r>
      <w:r>
        <w:rPr>
          <w:rFonts w:ascii="方正仿宋_GBK" w:hAnsi="方正仿宋_GBK" w:eastAsia="方正仿宋_GBK" w:cs="方正仿宋_GBK"/>
          <w:sz w:val="32"/>
          <w:szCs w:val="32"/>
          <w:shd w:val="clear" w:color="auto" w:fill="FFFFFF"/>
        </w:rPr>
        <w:t>万元，机关运行经费主要用于开支基本工资、津贴补贴、奖金、社会保障缴费及基本运转机关运行经费。机关运行经费较上年支出数减少184.98万元，下降60.17%，主要原因是除人员经费外，控制公用经费开支。</w:t>
      </w:r>
    </w:p>
    <w:p>
      <w:pPr>
        <w:pStyle w:val="11"/>
        <w:keepNext w:val="0"/>
        <w:keepLines w:val="0"/>
        <w:pageBreakBefore w:val="0"/>
        <w:widowControl/>
        <w:kinsoku/>
        <w:wordWrap/>
        <w:overflowPunct/>
        <w:topLinePunct w:val="0"/>
        <w:autoSpaceDE w:val="0"/>
        <w:autoSpaceDN/>
        <w:bidi w:val="0"/>
        <w:adjustRightInd/>
        <w:spacing w:line="594" w:lineRule="exact"/>
        <w:ind w:firstLine="643"/>
        <w:textAlignment w:val="auto"/>
        <w:rPr>
          <w:rFonts w:ascii="楷体" w:hAnsi="楷体" w:eastAsia="楷体" w:cs="楷体"/>
          <w:b w:val="0"/>
          <w:bCs w:val="0"/>
          <w:sz w:val="32"/>
          <w:szCs w:val="32"/>
          <w:shd w:val="clear" w:color="auto" w:fill="FFFFFF"/>
          <w:lang w:bidi="ar"/>
        </w:rPr>
      </w:pPr>
      <w:r>
        <w:rPr>
          <w:rFonts w:hint="eastAsia" w:ascii="楷体" w:hAnsi="楷体" w:eastAsia="楷体" w:cs="楷体"/>
          <w:b w:val="0"/>
          <w:bCs w:val="0"/>
          <w:sz w:val="32"/>
          <w:szCs w:val="32"/>
          <w:shd w:val="clear" w:color="auto" w:fill="FFFFFF"/>
          <w:lang w:bidi="ar"/>
        </w:rPr>
        <w:t>（三）国有资产占用情况说明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截至2023年12月31日，本单位共有车辆</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keepNext w:val="0"/>
        <w:keepLines w:val="0"/>
        <w:pageBreakBefore w:val="0"/>
        <w:widowControl/>
        <w:kinsoku/>
        <w:wordWrap/>
        <w:overflowPunct/>
        <w:topLinePunct w:val="0"/>
        <w:autoSpaceDE w:val="0"/>
        <w:autoSpaceDN/>
        <w:bidi w:val="0"/>
        <w:adjustRightInd/>
        <w:spacing w:line="594" w:lineRule="exact"/>
        <w:ind w:firstLine="643"/>
        <w:textAlignment w:val="auto"/>
        <w:rPr>
          <w:rFonts w:ascii="楷体" w:hAnsi="楷体" w:eastAsia="楷体" w:cs="楷体"/>
          <w:b w:val="0"/>
          <w:bCs w:val="0"/>
          <w:sz w:val="32"/>
          <w:szCs w:val="32"/>
          <w:shd w:val="clear" w:color="auto" w:fill="FFFFFF"/>
          <w:lang w:bidi="ar"/>
        </w:rPr>
      </w:pPr>
      <w:r>
        <w:rPr>
          <w:rFonts w:hint="eastAsia" w:ascii="楷体" w:hAnsi="楷体" w:eastAsia="楷体" w:cs="楷体"/>
          <w:b w:val="0"/>
          <w:bCs w:val="0"/>
          <w:sz w:val="32"/>
          <w:szCs w:val="32"/>
          <w:shd w:val="clear" w:color="auto" w:fill="FFFFFF"/>
          <w:lang w:bidi="ar"/>
        </w:rPr>
        <w:t>（四）政府采购支出情况说明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2023年度本部门政府采购支出总额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%。2023年度我单位未发生政府采购事项，无相关经费支出。</w:t>
      </w:r>
    </w:p>
    <w:p>
      <w:pPr>
        <w:pStyle w:val="6"/>
        <w:keepNext w:val="0"/>
        <w:keepLines w:val="0"/>
        <w:pageBreakBefore w:val="0"/>
        <w:widowControl/>
        <w:numPr>
          <w:ilvl w:val="0"/>
          <w:numId w:val="3"/>
        </w:numPr>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0"/>
          <w:rFonts w:hint="default" w:ascii="黑体" w:hAnsi="黑体" w:eastAsia="黑体" w:cs="黑体"/>
          <w:b w:val="0"/>
          <w:bCs/>
          <w:sz w:val="32"/>
          <w:szCs w:val="32"/>
          <w:shd w:val="clear" w:color="auto" w:fill="FFFFFF"/>
        </w:rPr>
      </w:pPr>
      <w:r>
        <w:rPr>
          <w:rStyle w:val="10"/>
          <w:rFonts w:ascii="黑体" w:hAnsi="黑体" w:eastAsia="黑体" w:cs="黑体"/>
          <w:b w:val="0"/>
          <w:bCs/>
          <w:sz w:val="32"/>
          <w:szCs w:val="32"/>
          <w:shd w:val="clear" w:color="auto" w:fill="FFFFFF"/>
        </w:rPr>
        <w:t>预算绩效管理情况说明</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val="0"/>
          <w:bCs w:val="0"/>
          <w:sz w:val="32"/>
          <w:szCs w:val="32"/>
          <w:shd w:val="clear" w:color="auto" w:fill="FFFFFF"/>
          <w:lang w:bidi="ar"/>
        </w:rPr>
      </w:pPr>
      <w:r>
        <w:rPr>
          <w:rFonts w:hint="eastAsia" w:ascii="楷体" w:hAnsi="楷体" w:eastAsia="楷体" w:cs="楷体"/>
          <w:b w:val="0"/>
          <w:bCs w:val="0"/>
          <w:sz w:val="32"/>
          <w:szCs w:val="32"/>
          <w:shd w:val="clear" w:color="auto" w:fill="FFFFFF"/>
          <w:lang w:bidi="ar"/>
        </w:rPr>
        <w:t>（一）单位自评情况</w:t>
      </w:r>
    </w:p>
    <w:p>
      <w:pPr>
        <w:pStyle w:val="12"/>
        <w:keepNext w:val="0"/>
        <w:keepLines w:val="0"/>
        <w:pageBreakBefore w:val="0"/>
        <w:widowControl/>
        <w:kinsoku/>
        <w:wordWrap/>
        <w:overflowPunct/>
        <w:topLinePunct w:val="0"/>
        <w:autoSpaceDE w:val="0"/>
        <w:autoSpaceDN/>
        <w:bidi w:val="0"/>
        <w:adjustRightInd/>
        <w:snapToGrid/>
        <w:spacing w:before="0" w:beforeAutospacing="0" w:line="594" w:lineRule="exact"/>
        <w:ind w:firstLine="640" w:firstLineChars="200"/>
        <w:textAlignment w:val="auto"/>
        <w:rPr>
          <w:rFonts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根据预算绩效管理要求，我单位对66个项目开展了绩效自评，涉及财政拨款项目支出资金2335.13万元。</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6" w:type="dxa"/>
            <w:tcBorders>
              <w:top w:val="nil"/>
              <w:left w:val="nil"/>
              <w:bottom w:val="nil"/>
              <w:right w:val="nil"/>
            </w:tcBorders>
          </w:tcPr>
          <w:tbl>
            <w:tblPr>
              <w:tblStyle w:val="7"/>
              <w:tblW w:w="9018" w:type="dxa"/>
              <w:tblInd w:w="0" w:type="dxa"/>
              <w:tblLayout w:type="autofit"/>
              <w:tblCellMar>
                <w:top w:w="0" w:type="dxa"/>
                <w:left w:w="108" w:type="dxa"/>
                <w:bottom w:w="0" w:type="dxa"/>
                <w:right w:w="108" w:type="dxa"/>
              </w:tblCellMar>
            </w:tblPr>
            <w:tblGrid>
              <w:gridCol w:w="1027"/>
              <w:gridCol w:w="836"/>
              <w:gridCol w:w="836"/>
              <w:gridCol w:w="929"/>
              <w:gridCol w:w="726"/>
              <w:gridCol w:w="780"/>
              <w:gridCol w:w="882"/>
              <w:gridCol w:w="624"/>
              <w:gridCol w:w="624"/>
              <w:gridCol w:w="828"/>
              <w:gridCol w:w="926"/>
            </w:tblGrid>
            <w:tr>
              <w:tblPrEx>
                <w:tblCellMar>
                  <w:top w:w="0" w:type="dxa"/>
                  <w:left w:w="108" w:type="dxa"/>
                  <w:bottom w:w="0" w:type="dxa"/>
                  <w:right w:w="108" w:type="dxa"/>
                </w:tblCellMar>
              </w:tblPrEx>
              <w:trPr>
                <w:trHeight w:val="800" w:hRule="atLeast"/>
              </w:trPr>
              <w:tc>
                <w:tcPr>
                  <w:tcW w:w="901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40"/>
                      <w:szCs w:val="40"/>
                    </w:rPr>
                  </w:pPr>
                  <w:r>
                    <w:rPr>
                      <w:rFonts w:hint="eastAsia" w:ascii="方正仿宋_GBK" w:hAnsi="方正仿宋_GBK" w:eastAsia="方正仿宋_GBK" w:cs="方正仿宋_GBK"/>
                      <w:b/>
                      <w:bCs/>
                      <w:color w:val="000000"/>
                      <w:sz w:val="40"/>
                      <w:szCs w:val="40"/>
                      <w:lang w:bidi="ar"/>
                    </w:rPr>
                    <w:t>2023年度二级项目绩效自评表</w:t>
                  </w:r>
                </w:p>
              </w:tc>
            </w:tr>
            <w:tr>
              <w:tblPrEx>
                <w:tblCellMar>
                  <w:top w:w="0" w:type="dxa"/>
                  <w:left w:w="108" w:type="dxa"/>
                  <w:bottom w:w="0" w:type="dxa"/>
                  <w:right w:w="108" w:type="dxa"/>
                </w:tblCellMar>
              </w:tblPrEx>
              <w:trPr>
                <w:trHeight w:val="5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1" w:firstLineChars="100"/>
                    <w:jc w:val="right"/>
                    <w:textAlignment w:val="center"/>
                    <w:rPr>
                      <w:rFonts w:hint="eastAsia" w:ascii="方正仿宋_GBK" w:hAnsi="方正仿宋_GBK" w:eastAsia="方正仿宋_GBK" w:cs="方正仿宋_GBK"/>
                      <w:b/>
                      <w:bCs/>
                      <w:color w:val="DA3232"/>
                      <w:sz w:val="22"/>
                      <w:szCs w:val="22"/>
                    </w:rPr>
                  </w:pPr>
                  <w:r>
                    <w:rPr>
                      <w:rFonts w:hint="eastAsia" w:ascii="方正仿宋_GBK" w:hAnsi="方正仿宋_GBK" w:eastAsia="方正仿宋_GBK" w:cs="方正仿宋_GBK"/>
                      <w:b/>
                      <w:bCs/>
                      <w:color w:val="DA3232"/>
                      <w:sz w:val="22"/>
                      <w:szCs w:val="22"/>
                      <w:lang w:bidi="ar"/>
                    </w:rPr>
                    <w:t>状态：绩效审核已审</w:t>
                  </w: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基层党建示范点建设经费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50023122T000000118220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方正仿宋_GBK" w:hAnsi="方正仿宋_GBK" w:eastAsia="方正仿宋_GBK" w:cs="方正仿宋_GBK"/>
                      <w:b/>
                      <w:bCs/>
                      <w:color w:val="000000"/>
                      <w:sz w:val="22"/>
                      <w:szCs w:val="22"/>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color w:val="000000"/>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719-垫江县砚台镇人民政府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014-会计管理核算中心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刘军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联系电话：</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方正仿宋_GBK" w:hAnsi="方正仿宋_GBK" w:eastAsia="方正仿宋_GBK" w:cs="方正仿宋_GBK"/>
                      <w:color w:val="000000"/>
                      <w:sz w:val="22"/>
                      <w:szCs w:val="22"/>
                      <w:lang w:val="en-US" w:eastAsia="zh-CN"/>
                    </w:rPr>
                  </w:pPr>
                  <w:r>
                    <w:rPr>
                      <w:rFonts w:hint="eastAsia" w:ascii="方正仿宋_GBK" w:hAnsi="方正仿宋_GBK" w:eastAsia="方正仿宋_GBK" w:cs="方正仿宋_GBK"/>
                      <w:color w:val="000000"/>
                      <w:sz w:val="22"/>
                      <w:szCs w:val="22"/>
                      <w:lang w:val="en-US" w:eastAsia="zh-CN" w:bidi="ar"/>
                    </w:rPr>
                    <w:t>023-74588755</w:t>
                  </w:r>
                </w:p>
              </w:tc>
            </w:tr>
            <w:tr>
              <w:tblPrEx>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808080"/>
                      <w:sz w:val="28"/>
                      <w:szCs w:val="28"/>
                    </w:rPr>
                  </w:pPr>
                  <w:r>
                    <w:rPr>
                      <w:rFonts w:hint="eastAsia" w:ascii="方正仿宋_GBK" w:hAnsi="方正仿宋_GBK" w:eastAsia="方正仿宋_GBK" w:cs="方正仿宋_GBK"/>
                      <w:b/>
                      <w:bCs/>
                      <w:color w:val="808080"/>
                      <w:sz w:val="28"/>
                      <w:szCs w:val="28"/>
                      <w:lang w:bidi="ar"/>
                    </w:rPr>
                    <w:t>资金情况</w:t>
                  </w:r>
                </w:p>
              </w:tc>
            </w:tr>
            <w:tr>
              <w:tblPrEx>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color w:val="000000"/>
                      <w:sz w:val="22"/>
                      <w:szCs w:val="22"/>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执行率得分</w:t>
                  </w:r>
                </w:p>
              </w:tc>
            </w:tr>
            <w:tr>
              <w:tblPrEx>
                <w:tblCellMar>
                  <w:top w:w="0" w:type="dxa"/>
                  <w:left w:w="108" w:type="dxa"/>
                  <w:bottom w:w="0" w:type="dxa"/>
                  <w:right w:w="108" w:type="dxa"/>
                </w:tblCellMar>
              </w:tblPrEx>
              <w:trPr>
                <w:trHeight w:val="574" w:hRule="atLeast"/>
              </w:trPr>
              <w:tc>
                <w:tcPr>
                  <w:tcW w:w="19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年度总金额</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方正仿宋_GBK" w:hAnsi="方正仿宋_GBK" w:eastAsia="方正仿宋_GBK" w:cs="方正仿宋_GBK"/>
                      <w:color w:val="000000"/>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0.00 </w:t>
                  </w: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20,000.00 </w:t>
                  </w:r>
                </w:p>
              </w:tc>
              <w:tc>
                <w:tcPr>
                  <w:tcW w:w="14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20,000.00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方正仿宋_GBK" w:hAnsi="方正仿宋_GBK" w:eastAsia="方正仿宋_GBK" w:cs="方正仿宋_GBK"/>
                      <w:color w:val="000000"/>
                      <w:sz w:val="22"/>
                      <w:szCs w:val="22"/>
                    </w:rPr>
                  </w:pPr>
                </w:p>
              </w:tc>
            </w:tr>
            <w:tr>
              <w:tblPrEx>
                <w:tblCellMar>
                  <w:top w:w="0" w:type="dxa"/>
                  <w:left w:w="108" w:type="dxa"/>
                  <w:bottom w:w="0" w:type="dxa"/>
                  <w:right w:w="108" w:type="dxa"/>
                </w:tblCellMar>
              </w:tblPrEx>
              <w:trPr>
                <w:trHeight w:val="590" w:hRule="atLeast"/>
              </w:trPr>
              <w:tc>
                <w:tcPr>
                  <w:tcW w:w="19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其中：财政拨款</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方正仿宋_GBK" w:hAnsi="方正仿宋_GBK" w:eastAsia="方正仿宋_GBK" w:cs="方正仿宋_GBK"/>
                      <w:color w:val="000000"/>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0.00 </w:t>
                  </w: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20,000.00 </w:t>
                  </w:r>
                </w:p>
              </w:tc>
              <w:tc>
                <w:tcPr>
                  <w:tcW w:w="14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20,000.00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10.00 </w:t>
                  </w:r>
                </w:p>
              </w:tc>
            </w:tr>
            <w:tr>
              <w:tblPrEx>
                <w:tblCellMar>
                  <w:top w:w="0" w:type="dxa"/>
                  <w:left w:w="108" w:type="dxa"/>
                  <w:bottom w:w="0" w:type="dxa"/>
                  <w:right w:w="108" w:type="dxa"/>
                </w:tblCellMar>
              </w:tblPrEx>
              <w:trPr>
                <w:trHeight w:val="573" w:hRule="atLeast"/>
              </w:trPr>
              <w:tc>
                <w:tcPr>
                  <w:tcW w:w="19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一般公共预算</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方正仿宋_GBK" w:hAnsi="方正仿宋_GBK" w:eastAsia="方正仿宋_GBK" w:cs="方正仿宋_GBK"/>
                      <w:color w:val="000000"/>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0.00 </w:t>
                  </w: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20,000.00 </w:t>
                  </w:r>
                </w:p>
              </w:tc>
              <w:tc>
                <w:tcPr>
                  <w:tcW w:w="14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20,000.00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方正仿宋_GBK" w:hAnsi="方正仿宋_GBK" w:eastAsia="方正仿宋_GBK" w:cs="方正仿宋_GBK"/>
                      <w:color w:val="000000"/>
                      <w:sz w:val="22"/>
                      <w:szCs w:val="22"/>
                    </w:rPr>
                  </w:pPr>
                </w:p>
              </w:tc>
            </w:tr>
            <w:tr>
              <w:tblPrEx>
                <w:tblCellMar>
                  <w:top w:w="0" w:type="dxa"/>
                  <w:left w:w="108" w:type="dxa"/>
                  <w:bottom w:w="0" w:type="dxa"/>
                  <w:right w:w="108" w:type="dxa"/>
                </w:tblCellMar>
              </w:tblPrEx>
              <w:trPr>
                <w:trHeight w:val="747"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808080"/>
                      <w:sz w:val="28"/>
                      <w:szCs w:val="28"/>
                    </w:rPr>
                  </w:pPr>
                  <w:r>
                    <w:rPr>
                      <w:rFonts w:hint="eastAsia" w:ascii="方正仿宋_GBK" w:hAnsi="方正仿宋_GBK" w:eastAsia="方正仿宋_GBK" w:cs="方正仿宋_GBK"/>
                      <w:b/>
                      <w:bCs/>
                      <w:color w:val="808080"/>
                      <w:sz w:val="28"/>
                      <w:szCs w:val="28"/>
                      <w:lang w:bidi="ar"/>
                    </w:rPr>
                    <w:t>绩效目标</w:t>
                  </w:r>
                </w:p>
              </w:tc>
            </w:tr>
            <w:tr>
              <w:tblPrEx>
                <w:tblCellMar>
                  <w:top w:w="0" w:type="dxa"/>
                  <w:left w:w="108" w:type="dxa"/>
                  <w:bottom w:w="0" w:type="dxa"/>
                  <w:right w:w="108" w:type="dxa"/>
                </w:tblCellMar>
              </w:tblPrEx>
              <w:trPr>
                <w:trHeight w:val="623"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全年目标实际完成情况</w:t>
                  </w:r>
                </w:p>
              </w:tc>
            </w:tr>
            <w:tr>
              <w:tblPrEx>
                <w:tblCellMar>
                  <w:top w:w="0" w:type="dxa"/>
                  <w:left w:w="108" w:type="dxa"/>
                  <w:bottom w:w="0" w:type="dxa"/>
                  <w:right w:w="108" w:type="dxa"/>
                </w:tblCellMar>
              </w:tblPrEx>
              <w:trPr>
                <w:trHeight w:val="876" w:hRule="atLeast"/>
              </w:trPr>
              <w:tc>
                <w:tcPr>
                  <w:tcW w:w="3641" w:type="dxa"/>
                  <w:gridSpan w:val="4"/>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做好基层党建服务中心建设</w:t>
                  </w:r>
                </w:p>
              </w:tc>
              <w:tc>
                <w:tcPr>
                  <w:tcW w:w="2945" w:type="dxa"/>
                  <w:gridSpan w:val="4"/>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做好基层党建服务中心建设</w:t>
                  </w:r>
                </w:p>
              </w:tc>
              <w:tc>
                <w:tcPr>
                  <w:tcW w:w="2432" w:type="dxa"/>
                  <w:gridSpan w:val="3"/>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做好基层党建服务中心建设</w:t>
                  </w:r>
                </w:p>
              </w:tc>
            </w:tr>
            <w:tr>
              <w:tblPrEx>
                <w:tblCellMar>
                  <w:top w:w="0" w:type="dxa"/>
                  <w:left w:w="108" w:type="dxa"/>
                  <w:bottom w:w="0" w:type="dxa"/>
                  <w:right w:w="108" w:type="dxa"/>
                </w:tblCellMar>
              </w:tblPrEx>
              <w:trPr>
                <w:trHeight w:val="73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808080"/>
                      <w:sz w:val="28"/>
                      <w:szCs w:val="28"/>
                    </w:rPr>
                  </w:pPr>
                  <w:r>
                    <w:rPr>
                      <w:rFonts w:hint="eastAsia" w:ascii="方正仿宋_GBK" w:hAnsi="方正仿宋_GBK" w:eastAsia="方正仿宋_GBK" w:cs="方正仿宋_GBK"/>
                      <w:b/>
                      <w:bCs/>
                      <w:color w:val="808080"/>
                      <w:sz w:val="28"/>
                      <w:szCs w:val="28"/>
                      <w:lang w:bidi="ar"/>
                    </w:rPr>
                    <w:t>绩效指标</w:t>
                  </w:r>
                </w:p>
              </w:tc>
            </w:tr>
            <w:tr>
              <w:tblPrEx>
                <w:tblCellMar>
                  <w:top w:w="0" w:type="dxa"/>
                  <w:left w:w="108" w:type="dxa"/>
                  <w:bottom w:w="0" w:type="dxa"/>
                  <w:right w:w="108" w:type="dxa"/>
                </w:tblCellMar>
              </w:tblPrEx>
              <w:trPr>
                <w:trHeight w:val="147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说明</w:t>
                  </w: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涉及村（社区）数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方正仿宋_GBK" w:hAnsi="方正仿宋_GBK" w:eastAsia="方正仿宋_GBK" w:cs="方正仿宋_GBK"/>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方正仿宋_GBK" w:hAnsi="方正仿宋_GBK" w:eastAsia="方正仿宋_GBK" w:cs="方正仿宋_GBK"/>
                      <w:color w:val="000000"/>
                      <w:sz w:val="22"/>
                      <w:szCs w:val="22"/>
                    </w:rPr>
                  </w:pPr>
                </w:p>
              </w:tc>
            </w:tr>
            <w:tr>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出现建设质量问题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方正仿宋_GBK" w:hAnsi="方正仿宋_GBK" w:eastAsia="方正仿宋_GBK" w:cs="方正仿宋_GBK"/>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未出现较大问题</w:t>
                  </w: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资金及时支付率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方正仿宋_GBK" w:hAnsi="方正仿宋_GBK" w:eastAsia="方正仿宋_GBK" w:cs="方正仿宋_GBK"/>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方正仿宋_GBK" w:hAnsi="方正仿宋_GBK" w:eastAsia="方正仿宋_GBK" w:cs="方正仿宋_GBK"/>
                      <w:color w:val="000000"/>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社会效益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方正仿宋_GBK" w:hAnsi="方正仿宋_GBK" w:eastAsia="方正仿宋_GBK" w:cs="方正仿宋_GBK"/>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方正仿宋_GBK" w:hAnsi="方正仿宋_GBK" w:eastAsia="方正仿宋_GBK" w:cs="方正仿宋_GBK"/>
                      <w:color w:val="000000"/>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方正仿宋_GBK" w:hAnsi="方正仿宋_GBK" w:eastAsia="方正仿宋_GBK" w:cs="方正仿宋_GBK"/>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方正仿宋_GBK" w:hAnsi="方正仿宋_GBK" w:eastAsia="方正仿宋_GBK" w:cs="方正仿宋_GBK"/>
                      <w:color w:val="000000"/>
                      <w:sz w:val="22"/>
                      <w:szCs w:val="22"/>
                    </w:rPr>
                  </w:pPr>
                </w:p>
              </w:tc>
            </w:tr>
          </w:tbl>
          <w:p>
            <w:pPr>
              <w:pStyle w:val="12"/>
              <w:widowControl w:val="0"/>
              <w:autoSpaceDE w:val="0"/>
              <w:spacing w:before="0" w:beforeAutospacing="0" w:line="600" w:lineRule="exact"/>
              <w:jc w:val="both"/>
              <w:rPr>
                <w:rFonts w:ascii="方正仿宋_GBK" w:hAnsi="方正仿宋_GBK" w:eastAsia="方正仿宋_GBK" w:cs="方正仿宋_GBK"/>
                <w:sz w:val="32"/>
                <w:szCs w:val="32"/>
                <w:shd w:val="clear" w:color="auto" w:fill="FFFFFF"/>
                <w:lang w:bidi="ar"/>
              </w:rPr>
            </w:pPr>
          </w:p>
        </w:tc>
      </w:tr>
    </w:tbl>
    <w:tbl>
      <w:tblPr>
        <w:tblStyle w:val="7"/>
        <w:tblpPr w:leftFromText="180" w:rightFromText="180" w:vertAnchor="text" w:horzAnchor="page" w:tblpX="1571" w:tblpY="197"/>
        <w:tblOverlap w:val="never"/>
        <w:tblW w:w="9239" w:type="dxa"/>
        <w:tblInd w:w="0" w:type="dxa"/>
        <w:tblLayout w:type="autofit"/>
        <w:tblCellMar>
          <w:top w:w="0" w:type="dxa"/>
          <w:left w:w="108" w:type="dxa"/>
          <w:bottom w:w="0" w:type="dxa"/>
          <w:right w:w="108" w:type="dxa"/>
        </w:tblCellMar>
      </w:tblPr>
      <w:tblGrid>
        <w:gridCol w:w="622"/>
        <w:gridCol w:w="638"/>
        <w:gridCol w:w="638"/>
        <w:gridCol w:w="632"/>
        <w:gridCol w:w="1062"/>
        <w:gridCol w:w="1474"/>
        <w:gridCol w:w="731"/>
        <w:gridCol w:w="788"/>
        <w:gridCol w:w="509"/>
        <w:gridCol w:w="680"/>
        <w:gridCol w:w="1465"/>
      </w:tblGrid>
      <w:tr>
        <w:tblPrEx>
          <w:tblCellMar>
            <w:top w:w="0" w:type="dxa"/>
            <w:left w:w="108" w:type="dxa"/>
            <w:bottom w:w="0" w:type="dxa"/>
            <w:right w:w="108" w:type="dxa"/>
          </w:tblCellMar>
        </w:tblPrEx>
        <w:trPr>
          <w:trHeight w:val="1059" w:hRule="atLeast"/>
        </w:trPr>
        <w:tc>
          <w:tcPr>
            <w:tcW w:w="9239"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40"/>
                <w:szCs w:val="40"/>
              </w:rPr>
            </w:pPr>
            <w:r>
              <w:rPr>
                <w:rFonts w:hint="eastAsia" w:ascii="方正仿宋_GBK" w:hAnsi="方正仿宋_GBK" w:eastAsia="方正仿宋_GBK" w:cs="方正仿宋_GBK"/>
                <w:b/>
                <w:bCs/>
                <w:color w:val="000000"/>
                <w:sz w:val="40"/>
                <w:szCs w:val="40"/>
                <w:lang w:bidi="ar"/>
              </w:rPr>
              <w:t>2023年度二级项目绩效自评表</w:t>
            </w:r>
          </w:p>
        </w:tc>
      </w:tr>
      <w:tr>
        <w:tblPrEx>
          <w:tblCellMar>
            <w:top w:w="0" w:type="dxa"/>
            <w:left w:w="108" w:type="dxa"/>
            <w:bottom w:w="0" w:type="dxa"/>
            <w:right w:w="108" w:type="dxa"/>
          </w:tblCellMar>
        </w:tblPrEx>
        <w:trPr>
          <w:trHeight w:val="500" w:hRule="atLeast"/>
        </w:trPr>
        <w:tc>
          <w:tcPr>
            <w:tcW w:w="9239"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1" w:firstLineChars="100"/>
              <w:jc w:val="right"/>
              <w:textAlignment w:val="center"/>
              <w:rPr>
                <w:rFonts w:hint="eastAsia" w:ascii="方正仿宋_GBK" w:hAnsi="方正仿宋_GBK" w:eastAsia="方正仿宋_GBK" w:cs="方正仿宋_GBK"/>
                <w:b/>
                <w:bCs/>
                <w:color w:val="DA3232"/>
                <w:sz w:val="22"/>
                <w:szCs w:val="22"/>
              </w:rPr>
            </w:pPr>
            <w:r>
              <w:rPr>
                <w:rFonts w:hint="eastAsia" w:ascii="方正仿宋_GBK" w:hAnsi="方正仿宋_GBK" w:eastAsia="方正仿宋_GBK" w:cs="方正仿宋_GBK"/>
                <w:b/>
                <w:bCs/>
                <w:color w:val="DA3232"/>
                <w:sz w:val="22"/>
                <w:szCs w:val="22"/>
                <w:lang w:bidi="ar"/>
              </w:rPr>
              <w:t>状态：绩效审核已审</w:t>
            </w:r>
          </w:p>
        </w:tc>
      </w:tr>
      <w:tr>
        <w:tblPrEx>
          <w:tblCellMar>
            <w:top w:w="0" w:type="dxa"/>
            <w:left w:w="108" w:type="dxa"/>
            <w:bottom w:w="0" w:type="dxa"/>
            <w:right w:w="108" w:type="dxa"/>
          </w:tblCellMar>
        </w:tblPrEx>
        <w:trPr>
          <w:trHeight w:val="1962"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项目名称：</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村（社区）退役军人服务站建设经费及站长补助</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项目编码：</w:t>
            </w:r>
          </w:p>
        </w:tc>
        <w:tc>
          <w:tcPr>
            <w:tcW w:w="25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50023122T000000120263</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自评总分：</w:t>
            </w:r>
          </w:p>
        </w:tc>
        <w:tc>
          <w:tcPr>
            <w:tcW w:w="13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100.00</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方正仿宋_GBK" w:hAnsi="方正仿宋_GBK" w:eastAsia="方正仿宋_GBK" w:cs="方正仿宋_GBK"/>
                <w:b/>
                <w:bCs/>
                <w:color w:val="000000"/>
                <w:sz w:val="22"/>
                <w:szCs w:val="22"/>
              </w:rPr>
            </w:pPr>
          </w:p>
        </w:tc>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color w:val="000000"/>
                <w:sz w:val="22"/>
                <w:szCs w:val="22"/>
              </w:rPr>
            </w:pPr>
          </w:p>
        </w:tc>
      </w:tr>
      <w:tr>
        <w:tblPrEx>
          <w:tblCellMar>
            <w:top w:w="0" w:type="dxa"/>
            <w:left w:w="108" w:type="dxa"/>
            <w:bottom w:w="0" w:type="dxa"/>
            <w:right w:w="108" w:type="dxa"/>
          </w:tblCellMar>
        </w:tblPrEx>
        <w:trPr>
          <w:trHeight w:val="1912"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项目主管部门：</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719-垫江县砚台镇人民政府</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财政归口处室：</w:t>
            </w:r>
          </w:p>
        </w:tc>
        <w:tc>
          <w:tcPr>
            <w:tcW w:w="25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014-会计管理核算中心</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部门联系人：</w:t>
            </w:r>
          </w:p>
        </w:tc>
        <w:tc>
          <w:tcPr>
            <w:tcW w:w="13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吴晓辉</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联系电话：</w:t>
            </w:r>
          </w:p>
        </w:tc>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方正仿宋_GBK" w:hAnsi="方正仿宋_GBK" w:eastAsia="方正仿宋_GBK" w:cs="方正仿宋_GBK"/>
                <w:color w:val="000000"/>
                <w:sz w:val="22"/>
                <w:szCs w:val="22"/>
                <w:lang w:val="en-US" w:eastAsia="zh-CN"/>
              </w:rPr>
            </w:pPr>
            <w:r>
              <w:rPr>
                <w:rFonts w:hint="eastAsia" w:ascii="方正仿宋_GBK" w:hAnsi="方正仿宋_GBK" w:eastAsia="方正仿宋_GBK" w:cs="方正仿宋_GBK"/>
                <w:color w:val="000000"/>
                <w:sz w:val="22"/>
                <w:szCs w:val="22"/>
                <w:lang w:val="en-US" w:eastAsia="zh-CN" w:bidi="ar"/>
              </w:rPr>
              <w:t>023-74588755</w:t>
            </w:r>
          </w:p>
        </w:tc>
      </w:tr>
      <w:tr>
        <w:tblPrEx>
          <w:tblCellMar>
            <w:top w:w="0" w:type="dxa"/>
            <w:left w:w="108" w:type="dxa"/>
            <w:bottom w:w="0" w:type="dxa"/>
            <w:right w:w="108" w:type="dxa"/>
          </w:tblCellMar>
        </w:tblPrEx>
        <w:trPr>
          <w:trHeight w:val="730" w:hRule="atLeast"/>
        </w:trPr>
        <w:tc>
          <w:tcPr>
            <w:tcW w:w="9239"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808080"/>
                <w:sz w:val="28"/>
                <w:szCs w:val="28"/>
              </w:rPr>
            </w:pPr>
            <w:r>
              <w:rPr>
                <w:rFonts w:hint="eastAsia" w:ascii="方正仿宋_GBK" w:hAnsi="方正仿宋_GBK" w:eastAsia="方正仿宋_GBK" w:cs="方正仿宋_GBK"/>
                <w:b/>
                <w:bCs/>
                <w:color w:val="808080"/>
                <w:sz w:val="28"/>
                <w:szCs w:val="28"/>
                <w:lang w:bidi="ar"/>
              </w:rPr>
              <w:t>资金情况</w:t>
            </w:r>
          </w:p>
        </w:tc>
      </w:tr>
      <w:tr>
        <w:tblPrEx>
          <w:tblCellMar>
            <w:top w:w="0" w:type="dxa"/>
            <w:left w:w="108" w:type="dxa"/>
            <w:bottom w:w="0" w:type="dxa"/>
            <w:right w:w="108" w:type="dxa"/>
          </w:tblCellMar>
        </w:tblPrEx>
        <w:trPr>
          <w:trHeight w:val="500" w:hRule="atLeast"/>
        </w:trPr>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color w:val="000000"/>
                <w:sz w:val="22"/>
                <w:szCs w:val="22"/>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年初预算数</w:t>
            </w:r>
          </w:p>
        </w:tc>
        <w:tc>
          <w:tcPr>
            <w:tcW w:w="25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全年（调整）预算数</w:t>
            </w:r>
          </w:p>
        </w:tc>
        <w:tc>
          <w:tcPr>
            <w:tcW w:w="15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全年执行数</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执行率</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执行率权重</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执行率得分</w:t>
            </w:r>
          </w:p>
        </w:tc>
      </w:tr>
      <w:tr>
        <w:tblPrEx>
          <w:tblCellMar>
            <w:top w:w="0" w:type="dxa"/>
            <w:left w:w="108" w:type="dxa"/>
            <w:bottom w:w="0" w:type="dxa"/>
            <w:right w:w="108" w:type="dxa"/>
          </w:tblCellMar>
        </w:tblPrEx>
        <w:trPr>
          <w:trHeight w:val="697" w:hRule="atLeast"/>
        </w:trPr>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年度总金额</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0.00 </w:t>
            </w:r>
          </w:p>
        </w:tc>
        <w:tc>
          <w:tcPr>
            <w:tcW w:w="1075" w:type="dxa"/>
            <w:tcBorders>
              <w:top w:val="single" w:color="000000" w:sz="4" w:space="0"/>
              <w:left w:val="single" w:color="000000" w:sz="4" w:space="0"/>
              <w:bottom w:val="single" w:color="000000" w:sz="4" w:space="0"/>
              <w:right w:val="nil"/>
            </w:tcBorders>
            <w:shd w:val="clear" w:color="auto" w:fill="auto"/>
            <w:noWrap/>
            <w:vAlign w:val="center"/>
          </w:tcPr>
          <w:p>
            <w:pPr>
              <w:rPr>
                <w:rFonts w:hint="eastAsia" w:ascii="方正仿宋_GBK" w:hAnsi="方正仿宋_GBK" w:eastAsia="方正仿宋_GBK" w:cs="方正仿宋_GBK"/>
                <w:color w:val="000000"/>
                <w:sz w:val="22"/>
                <w:szCs w:val="22"/>
              </w:rPr>
            </w:pPr>
          </w:p>
        </w:tc>
        <w:tc>
          <w:tcPr>
            <w:tcW w:w="1499" w:type="dxa"/>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84,800.00 </w:t>
            </w:r>
          </w:p>
        </w:tc>
        <w:tc>
          <w:tcPr>
            <w:tcW w:w="15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84,800.00 </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color w:val="000000"/>
                <w:sz w:val="22"/>
                <w:szCs w:val="22"/>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color w:val="000000"/>
                <w:sz w:val="22"/>
                <w:szCs w:val="22"/>
              </w:rPr>
            </w:pP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方正仿宋_GBK" w:hAnsi="方正仿宋_GBK" w:eastAsia="方正仿宋_GBK" w:cs="方正仿宋_GBK"/>
                <w:color w:val="000000"/>
                <w:sz w:val="22"/>
                <w:szCs w:val="22"/>
              </w:rPr>
            </w:pPr>
          </w:p>
        </w:tc>
      </w:tr>
      <w:tr>
        <w:tblPrEx>
          <w:tblCellMar>
            <w:top w:w="0" w:type="dxa"/>
            <w:left w:w="108" w:type="dxa"/>
            <w:bottom w:w="0" w:type="dxa"/>
            <w:right w:w="108" w:type="dxa"/>
          </w:tblCellMar>
        </w:tblPrEx>
        <w:trPr>
          <w:trHeight w:val="731" w:hRule="atLeast"/>
        </w:trPr>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其中：财政拨款</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0.00 </w:t>
            </w:r>
          </w:p>
        </w:tc>
        <w:tc>
          <w:tcPr>
            <w:tcW w:w="1075" w:type="dxa"/>
            <w:tcBorders>
              <w:top w:val="single" w:color="000000" w:sz="4" w:space="0"/>
              <w:left w:val="single" w:color="000000" w:sz="4" w:space="0"/>
              <w:bottom w:val="single" w:color="000000" w:sz="4" w:space="0"/>
              <w:right w:val="nil"/>
            </w:tcBorders>
            <w:shd w:val="clear" w:color="auto" w:fill="auto"/>
            <w:noWrap/>
            <w:vAlign w:val="center"/>
          </w:tcPr>
          <w:p>
            <w:pPr>
              <w:rPr>
                <w:rFonts w:hint="eastAsia" w:ascii="方正仿宋_GBK" w:hAnsi="方正仿宋_GBK" w:eastAsia="方正仿宋_GBK" w:cs="方正仿宋_GBK"/>
                <w:color w:val="000000"/>
                <w:sz w:val="22"/>
                <w:szCs w:val="22"/>
              </w:rPr>
            </w:pPr>
          </w:p>
        </w:tc>
        <w:tc>
          <w:tcPr>
            <w:tcW w:w="1499" w:type="dxa"/>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84,800.00 </w:t>
            </w:r>
          </w:p>
        </w:tc>
        <w:tc>
          <w:tcPr>
            <w:tcW w:w="15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84,800.00 </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10.00</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10.00 </w:t>
            </w:r>
          </w:p>
        </w:tc>
      </w:tr>
      <w:tr>
        <w:tblPrEx>
          <w:tblCellMar>
            <w:top w:w="0" w:type="dxa"/>
            <w:left w:w="108" w:type="dxa"/>
            <w:bottom w:w="0" w:type="dxa"/>
            <w:right w:w="108" w:type="dxa"/>
          </w:tblCellMar>
        </w:tblPrEx>
        <w:trPr>
          <w:trHeight w:val="697" w:hRule="atLeast"/>
        </w:trPr>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一般公共预算</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0.00 </w:t>
            </w:r>
          </w:p>
        </w:tc>
        <w:tc>
          <w:tcPr>
            <w:tcW w:w="1075" w:type="dxa"/>
            <w:tcBorders>
              <w:top w:val="single" w:color="000000" w:sz="4" w:space="0"/>
              <w:left w:val="single" w:color="000000" w:sz="4" w:space="0"/>
              <w:bottom w:val="single" w:color="000000" w:sz="4" w:space="0"/>
              <w:right w:val="nil"/>
            </w:tcBorders>
            <w:shd w:val="clear" w:color="auto" w:fill="auto"/>
            <w:noWrap/>
            <w:vAlign w:val="center"/>
          </w:tcPr>
          <w:p>
            <w:pPr>
              <w:rPr>
                <w:rFonts w:hint="eastAsia" w:ascii="方正仿宋_GBK" w:hAnsi="方正仿宋_GBK" w:eastAsia="方正仿宋_GBK" w:cs="方正仿宋_GBK"/>
                <w:color w:val="000000"/>
                <w:sz w:val="22"/>
                <w:szCs w:val="22"/>
              </w:rPr>
            </w:pPr>
          </w:p>
        </w:tc>
        <w:tc>
          <w:tcPr>
            <w:tcW w:w="1499" w:type="dxa"/>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84,800.00 </w:t>
            </w:r>
          </w:p>
        </w:tc>
        <w:tc>
          <w:tcPr>
            <w:tcW w:w="15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84,800.00 </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color w:val="000000"/>
                <w:sz w:val="22"/>
                <w:szCs w:val="22"/>
              </w:rPr>
            </w:pP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方正仿宋_GBK" w:hAnsi="方正仿宋_GBK" w:eastAsia="方正仿宋_GBK" w:cs="方正仿宋_GBK"/>
                <w:color w:val="000000"/>
                <w:sz w:val="22"/>
                <w:szCs w:val="22"/>
              </w:rPr>
            </w:pPr>
          </w:p>
        </w:tc>
      </w:tr>
      <w:tr>
        <w:tblPrEx>
          <w:tblCellMar>
            <w:top w:w="0" w:type="dxa"/>
            <w:left w:w="108" w:type="dxa"/>
            <w:bottom w:w="0" w:type="dxa"/>
            <w:right w:w="108" w:type="dxa"/>
          </w:tblCellMar>
        </w:tblPrEx>
        <w:trPr>
          <w:trHeight w:val="764" w:hRule="atLeast"/>
        </w:trPr>
        <w:tc>
          <w:tcPr>
            <w:tcW w:w="9239"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808080"/>
                <w:sz w:val="28"/>
                <w:szCs w:val="28"/>
              </w:rPr>
            </w:pPr>
            <w:r>
              <w:rPr>
                <w:rFonts w:hint="eastAsia" w:ascii="方正仿宋_GBK" w:hAnsi="方正仿宋_GBK" w:eastAsia="方正仿宋_GBK" w:cs="方正仿宋_GBK"/>
                <w:b/>
                <w:bCs/>
                <w:color w:val="808080"/>
                <w:sz w:val="28"/>
                <w:szCs w:val="28"/>
                <w:lang w:bidi="ar"/>
              </w:rPr>
              <w:t>绩效目标</w:t>
            </w:r>
          </w:p>
        </w:tc>
      </w:tr>
      <w:tr>
        <w:tblPrEx>
          <w:tblCellMar>
            <w:top w:w="0" w:type="dxa"/>
            <w:left w:w="108" w:type="dxa"/>
            <w:bottom w:w="0" w:type="dxa"/>
            <w:right w:w="108" w:type="dxa"/>
          </w:tblCellMar>
        </w:tblPrEx>
        <w:trPr>
          <w:trHeight w:val="590" w:hRule="atLeast"/>
        </w:trPr>
        <w:tc>
          <w:tcPr>
            <w:tcW w:w="253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年初绩效目标</w:t>
            </w:r>
          </w:p>
        </w:tc>
        <w:tc>
          <w:tcPr>
            <w:tcW w:w="413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全年（调整）绩效目标</w:t>
            </w:r>
          </w:p>
        </w:tc>
        <w:tc>
          <w:tcPr>
            <w:tcW w:w="25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全年目标实际完成情况</w:t>
            </w:r>
          </w:p>
        </w:tc>
      </w:tr>
      <w:tr>
        <w:tblPrEx>
          <w:tblCellMar>
            <w:top w:w="0" w:type="dxa"/>
            <w:left w:w="108" w:type="dxa"/>
            <w:bottom w:w="0" w:type="dxa"/>
            <w:right w:w="108" w:type="dxa"/>
          </w:tblCellMar>
        </w:tblPrEx>
        <w:trPr>
          <w:trHeight w:val="1357" w:hRule="atLeast"/>
        </w:trPr>
        <w:tc>
          <w:tcPr>
            <w:tcW w:w="2536" w:type="dxa"/>
            <w:gridSpan w:val="4"/>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及时发放村（社区）退役军人服务站建设经费及站长补助</w:t>
            </w:r>
          </w:p>
        </w:tc>
        <w:tc>
          <w:tcPr>
            <w:tcW w:w="4137" w:type="dxa"/>
            <w:gridSpan w:val="4"/>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及时发放村（社区）退役军人服务站建设经费及站长补助</w:t>
            </w:r>
          </w:p>
        </w:tc>
        <w:tc>
          <w:tcPr>
            <w:tcW w:w="2566" w:type="dxa"/>
            <w:gridSpan w:val="3"/>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及时发放村（社区）退役军人服务站建设经费及站长补助</w:t>
            </w:r>
          </w:p>
        </w:tc>
      </w:tr>
      <w:tr>
        <w:tblPrEx>
          <w:tblCellMar>
            <w:top w:w="0" w:type="dxa"/>
            <w:left w:w="108" w:type="dxa"/>
            <w:bottom w:w="0" w:type="dxa"/>
            <w:right w:w="108" w:type="dxa"/>
          </w:tblCellMar>
        </w:tblPrEx>
        <w:trPr>
          <w:trHeight w:val="664" w:hRule="atLeast"/>
        </w:trPr>
        <w:tc>
          <w:tcPr>
            <w:tcW w:w="9239"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808080"/>
                <w:sz w:val="28"/>
                <w:szCs w:val="28"/>
              </w:rPr>
            </w:pPr>
            <w:r>
              <w:rPr>
                <w:rFonts w:hint="eastAsia" w:ascii="方正仿宋_GBK" w:hAnsi="方正仿宋_GBK" w:eastAsia="方正仿宋_GBK" w:cs="方正仿宋_GBK"/>
                <w:b/>
                <w:bCs/>
                <w:color w:val="808080"/>
                <w:sz w:val="28"/>
                <w:szCs w:val="28"/>
                <w:lang w:bidi="ar"/>
              </w:rPr>
              <w:t>绩效指标</w:t>
            </w:r>
          </w:p>
        </w:tc>
      </w:tr>
      <w:tr>
        <w:tblPrEx>
          <w:tblCellMar>
            <w:top w:w="0" w:type="dxa"/>
            <w:left w:w="108" w:type="dxa"/>
            <w:bottom w:w="0" w:type="dxa"/>
            <w:right w:w="108" w:type="dxa"/>
          </w:tblCellMar>
        </w:tblPrEx>
        <w:trPr>
          <w:trHeight w:val="500"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指标名称</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计量单位</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指标性质</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指标值</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全年完成值</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偏离度（%）</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得分系数（%）</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指标权重</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指标得分</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是否核心指标</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说明</w:t>
            </w:r>
          </w:p>
        </w:tc>
      </w:tr>
      <w:tr>
        <w:tblPrEx>
          <w:tblCellMar>
            <w:top w:w="0" w:type="dxa"/>
            <w:left w:w="108" w:type="dxa"/>
            <w:bottom w:w="0" w:type="dxa"/>
            <w:right w:w="108" w:type="dxa"/>
          </w:tblCellMar>
        </w:tblPrEx>
        <w:trPr>
          <w:trHeight w:val="500"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涉及村（社区）数</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16</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16</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0</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方正仿宋_GBK" w:hAnsi="方正仿宋_GBK" w:eastAsia="方正仿宋_GBK" w:cs="方正仿宋_GBK"/>
                <w:color w:val="000000"/>
                <w:sz w:val="22"/>
                <w:szCs w:val="22"/>
              </w:rPr>
            </w:pP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color w:val="000000"/>
                <w:sz w:val="22"/>
                <w:szCs w:val="22"/>
              </w:rPr>
            </w:pPr>
          </w:p>
        </w:tc>
      </w:tr>
      <w:tr>
        <w:tblPrEx>
          <w:tblCellMar>
            <w:top w:w="0" w:type="dxa"/>
            <w:left w:w="108" w:type="dxa"/>
            <w:bottom w:w="0" w:type="dxa"/>
            <w:right w:w="108" w:type="dxa"/>
          </w:tblCellMar>
        </w:tblPrEx>
        <w:trPr>
          <w:trHeight w:val="500"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发生矛盾数</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2</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0</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方正仿宋_GBK" w:hAnsi="方正仿宋_GBK" w:eastAsia="方正仿宋_GBK" w:cs="方正仿宋_GBK"/>
                <w:color w:val="000000"/>
                <w:sz w:val="22"/>
                <w:szCs w:val="22"/>
              </w:rPr>
            </w:pP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未发生较大矛盾</w:t>
            </w:r>
          </w:p>
        </w:tc>
      </w:tr>
      <w:tr>
        <w:tblPrEx>
          <w:tblCellMar>
            <w:top w:w="0" w:type="dxa"/>
            <w:left w:w="108" w:type="dxa"/>
            <w:bottom w:w="0" w:type="dxa"/>
            <w:right w:w="108" w:type="dxa"/>
          </w:tblCellMar>
        </w:tblPrEx>
        <w:trPr>
          <w:trHeight w:val="500"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资金及时支付率</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0</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方正仿宋_GBK" w:hAnsi="方正仿宋_GBK" w:eastAsia="方正仿宋_GBK" w:cs="方正仿宋_GBK"/>
                <w:color w:val="000000"/>
                <w:sz w:val="22"/>
                <w:szCs w:val="22"/>
              </w:rPr>
            </w:pP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color w:val="000000"/>
                <w:sz w:val="22"/>
                <w:szCs w:val="22"/>
              </w:rPr>
            </w:pPr>
          </w:p>
        </w:tc>
      </w:tr>
      <w:tr>
        <w:tblPrEx>
          <w:tblCellMar>
            <w:top w:w="0" w:type="dxa"/>
            <w:left w:w="108" w:type="dxa"/>
            <w:bottom w:w="0" w:type="dxa"/>
            <w:right w:w="108" w:type="dxa"/>
          </w:tblCellMar>
        </w:tblPrEx>
        <w:trPr>
          <w:trHeight w:val="500"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社会效益</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color w:val="000000"/>
                <w:sz w:val="22"/>
                <w:szCs w:val="22"/>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定性</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良好</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0</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方正仿宋_GBK" w:hAnsi="方正仿宋_GBK" w:eastAsia="方正仿宋_GBK" w:cs="方正仿宋_GBK"/>
                <w:color w:val="000000"/>
                <w:sz w:val="22"/>
                <w:szCs w:val="22"/>
              </w:rPr>
            </w:pP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color w:val="000000"/>
                <w:sz w:val="22"/>
                <w:szCs w:val="22"/>
              </w:rPr>
            </w:pPr>
          </w:p>
        </w:tc>
      </w:tr>
      <w:tr>
        <w:tblPrEx>
          <w:tblCellMar>
            <w:top w:w="0" w:type="dxa"/>
            <w:left w:w="108" w:type="dxa"/>
            <w:bottom w:w="0" w:type="dxa"/>
            <w:right w:w="108" w:type="dxa"/>
          </w:tblCellMar>
        </w:tblPrEx>
        <w:trPr>
          <w:trHeight w:val="500"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服务对象满意度</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90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90</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0</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方正仿宋_GBK" w:hAnsi="方正仿宋_GBK" w:eastAsia="方正仿宋_GBK" w:cs="方正仿宋_GBK"/>
                <w:color w:val="000000"/>
                <w:sz w:val="22"/>
                <w:szCs w:val="22"/>
              </w:rPr>
            </w:pP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color w:val="000000"/>
                <w:sz w:val="22"/>
                <w:szCs w:val="22"/>
              </w:rPr>
            </w:pPr>
          </w:p>
        </w:tc>
      </w:tr>
    </w:tbl>
    <w:p>
      <w:pPr>
        <w:pStyle w:val="11"/>
        <w:keepNext w:val="0"/>
        <w:keepLines w:val="0"/>
        <w:pageBreakBefore w:val="0"/>
        <w:widowControl/>
        <w:kinsoku/>
        <w:wordWrap/>
        <w:overflowPunct/>
        <w:topLinePunct w:val="0"/>
        <w:autoSpaceDE w:val="0"/>
        <w:autoSpaceDN/>
        <w:bidi w:val="0"/>
        <w:adjustRightInd/>
        <w:snapToGrid/>
        <w:spacing w:line="594" w:lineRule="exact"/>
        <w:ind w:firstLine="643"/>
        <w:textAlignment w:val="auto"/>
        <w:rPr>
          <w:rFonts w:ascii="楷体" w:hAnsi="楷体" w:eastAsia="楷体" w:cs="楷体"/>
          <w:b w:val="0"/>
          <w:bCs w:val="0"/>
          <w:sz w:val="32"/>
          <w:szCs w:val="32"/>
          <w:shd w:val="clear" w:color="auto" w:fill="FFFFFF"/>
          <w:lang w:bidi="ar"/>
        </w:rPr>
      </w:pPr>
      <w:r>
        <w:rPr>
          <w:rFonts w:hint="eastAsia" w:ascii="楷体" w:hAnsi="楷体" w:eastAsia="楷体" w:cs="楷体"/>
          <w:b w:val="0"/>
          <w:bCs w:val="0"/>
          <w:sz w:val="32"/>
          <w:szCs w:val="32"/>
          <w:shd w:val="clear" w:color="auto" w:fill="FFFFFF"/>
          <w:lang w:bidi="ar"/>
        </w:rPr>
        <w:t>（二）单位绩效评价情况</w:t>
      </w:r>
    </w:p>
    <w:p>
      <w:pPr>
        <w:pStyle w:val="14"/>
        <w:keepNext w:val="0"/>
        <w:keepLines w:val="0"/>
        <w:pageBreakBefore w:val="0"/>
        <w:widowControl/>
        <w:kinsoku/>
        <w:wordWrap/>
        <w:overflowPunct/>
        <w:topLinePunct w:val="0"/>
        <w:autoSpaceDE w:val="0"/>
        <w:autoSpaceDN/>
        <w:bidi w:val="0"/>
        <w:adjustRightInd/>
        <w:snapToGrid/>
        <w:spacing w:line="594" w:lineRule="exact"/>
        <w:ind w:firstLine="640"/>
        <w:textAlignment w:val="auto"/>
        <w:rPr>
          <w:rFonts w:ascii="方正仿宋_GBK" w:hAnsi="方正仿宋_GBK" w:eastAsia="方正仿宋_GBK" w:cs="方正仿宋_GBK"/>
          <w:b w:val="0"/>
          <w:bCs w:val="0"/>
          <w:sz w:val="32"/>
          <w:szCs w:val="32"/>
          <w:shd w:val="clear" w:color="auto" w:fill="FFFFFF"/>
          <w:lang w:bidi="ar"/>
        </w:rPr>
      </w:pPr>
      <w:r>
        <w:rPr>
          <w:rFonts w:hint="eastAsia" w:ascii="方正仿宋_GBK" w:hAnsi="方正仿宋_GBK" w:eastAsia="方正仿宋_GBK" w:cs="方正仿宋_GBK"/>
          <w:b w:val="0"/>
          <w:bCs w:val="0"/>
          <w:sz w:val="32"/>
          <w:szCs w:val="32"/>
          <w:shd w:val="clear" w:color="auto" w:fill="FFFFFF"/>
          <w:lang w:bidi="ar"/>
        </w:rPr>
        <w:t>我单位未组织开展绩效评价。</w:t>
      </w:r>
    </w:p>
    <w:p>
      <w:pPr>
        <w:pStyle w:val="11"/>
        <w:keepNext w:val="0"/>
        <w:keepLines w:val="0"/>
        <w:pageBreakBefore w:val="0"/>
        <w:widowControl/>
        <w:numPr>
          <w:ilvl w:val="0"/>
          <w:numId w:val="4"/>
        </w:numPr>
        <w:kinsoku/>
        <w:wordWrap/>
        <w:overflowPunct/>
        <w:topLinePunct w:val="0"/>
        <w:autoSpaceDE w:val="0"/>
        <w:autoSpaceDN/>
        <w:bidi w:val="0"/>
        <w:adjustRightInd/>
        <w:snapToGrid/>
        <w:spacing w:line="594" w:lineRule="exact"/>
        <w:ind w:firstLine="643"/>
        <w:textAlignment w:val="auto"/>
        <w:rPr>
          <w:rFonts w:ascii="楷体" w:hAnsi="楷体" w:eastAsia="楷体" w:cs="楷体"/>
          <w:b w:val="0"/>
          <w:bCs w:val="0"/>
          <w:sz w:val="32"/>
          <w:szCs w:val="32"/>
          <w:shd w:val="clear" w:color="auto" w:fill="FFFFFF"/>
          <w:lang w:bidi="ar"/>
        </w:rPr>
      </w:pPr>
      <w:r>
        <w:rPr>
          <w:rFonts w:hint="eastAsia" w:ascii="楷体" w:hAnsi="楷体" w:eastAsia="楷体" w:cs="楷体"/>
          <w:b w:val="0"/>
          <w:bCs w:val="0"/>
          <w:sz w:val="32"/>
          <w:szCs w:val="32"/>
          <w:shd w:val="clear" w:color="auto" w:fill="FFFFFF"/>
          <w:lang w:bidi="ar"/>
        </w:rPr>
        <w:t>财政绩效评价情况</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0"/>
        <w:textAlignment w:val="auto"/>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县财政局未委托第三方对我单位开展绩效评价。</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10"/>
          <w:rFonts w:hint="default" w:ascii="方正仿宋_GBK" w:hAnsi="方正仿宋_GBK" w:eastAsia="方正仿宋_GBK" w:cs="方正仿宋_GBK"/>
          <w:b w:val="0"/>
          <w:bCs/>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w:t>
      </w:r>
      <w:r>
        <w:rPr>
          <w:rStyle w:val="10"/>
          <w:rFonts w:ascii="黑体" w:hAnsi="黑体" w:eastAsia="黑体" w:cs="黑体"/>
          <w:b w:val="0"/>
          <w:bCs/>
          <w:sz w:val="32"/>
          <w:szCs w:val="32"/>
          <w:shd w:val="clear" w:color="auto" w:fill="FFFFFF"/>
        </w:rPr>
        <w:t>六、专业名词解释</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楷体" w:hAnsi="楷体" w:eastAsia="楷体" w:cs="楷体"/>
          <w:b w:val="0"/>
          <w:bCs w:val="0"/>
          <w:sz w:val="32"/>
          <w:szCs w:val="32"/>
          <w:shd w:val="clear" w:color="auto" w:fill="FFFFFF"/>
          <w:lang w:bidi="ar"/>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b w:val="0"/>
          <w:bCs/>
          <w:sz w:val="32"/>
          <w:szCs w:val="32"/>
        </w:rPr>
      </w:pPr>
      <w:r>
        <w:rPr>
          <w:rStyle w:val="10"/>
          <w:rFonts w:ascii="楷体" w:hAnsi="楷体" w:eastAsia="楷体" w:cs="楷体"/>
          <w:b w:val="0"/>
          <w:bCs/>
          <w:sz w:val="32"/>
          <w:szCs w:val="32"/>
          <w:shd w:val="clear" w:color="auto" w:fill="FFFFFF"/>
        </w:rPr>
        <w:t>（二）事业收入</w:t>
      </w:r>
      <w:r>
        <w:rPr>
          <w:rFonts w:ascii="楷体" w:hAnsi="楷体" w:eastAsia="楷体" w:cs="楷体"/>
          <w:b w:val="0"/>
          <w:bCs/>
          <w:sz w:val="32"/>
          <w:szCs w:val="32"/>
          <w:shd w:val="clear" w:color="auto" w:fill="FFFFFF"/>
        </w:rPr>
        <w:t>：</w:t>
      </w:r>
      <w:r>
        <w:rPr>
          <w:rFonts w:ascii="方正仿宋_GBK" w:hAnsi="方正仿宋_GBK" w:eastAsia="方正仿宋_GBK" w:cs="方正仿宋_GBK"/>
          <w:b w:val="0"/>
          <w:bCs/>
          <w:sz w:val="32"/>
          <w:szCs w:val="32"/>
          <w:shd w:val="clear" w:color="auto" w:fill="FFFFFF"/>
        </w:rPr>
        <w:t>指事业单位开展专业业务活动及其辅助活动取得的现金流入；事业单位收到的财政专户实际核拨的教育收费等资金在此反映。</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b w:val="0"/>
          <w:bCs/>
          <w:sz w:val="32"/>
          <w:szCs w:val="32"/>
        </w:rPr>
      </w:pPr>
      <w:r>
        <w:rPr>
          <w:rStyle w:val="10"/>
          <w:rFonts w:ascii="楷体" w:hAnsi="楷体" w:eastAsia="楷体" w:cs="楷体"/>
          <w:b w:val="0"/>
          <w:bCs/>
          <w:sz w:val="32"/>
          <w:szCs w:val="32"/>
          <w:shd w:val="clear" w:color="auto" w:fill="FFFFFF"/>
        </w:rPr>
        <w:t>（三）经营收入</w:t>
      </w:r>
      <w:r>
        <w:rPr>
          <w:rFonts w:ascii="楷体" w:hAnsi="楷体" w:eastAsia="楷体" w:cs="楷体"/>
          <w:b w:val="0"/>
          <w:bCs/>
          <w:sz w:val="32"/>
          <w:szCs w:val="32"/>
          <w:shd w:val="clear" w:color="auto" w:fill="FFFFFF"/>
        </w:rPr>
        <w:t>：</w:t>
      </w:r>
      <w:r>
        <w:rPr>
          <w:rFonts w:ascii="方正仿宋_GBK" w:hAnsi="方正仿宋_GBK" w:eastAsia="方正仿宋_GBK" w:cs="方正仿宋_GBK"/>
          <w:b w:val="0"/>
          <w:bCs/>
          <w:sz w:val="32"/>
          <w:szCs w:val="32"/>
          <w:shd w:val="clear" w:color="auto" w:fill="FFFFFF"/>
        </w:rPr>
        <w:t>指事业单位在专业业务活动及其辅助活动之外开展非独立核算经营活动取得的现金流入。</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b w:val="0"/>
          <w:bCs/>
          <w:sz w:val="32"/>
          <w:szCs w:val="32"/>
        </w:rPr>
      </w:pPr>
      <w:r>
        <w:rPr>
          <w:rStyle w:val="10"/>
          <w:rFonts w:ascii="楷体" w:hAnsi="楷体" w:eastAsia="楷体" w:cs="楷体"/>
          <w:b w:val="0"/>
          <w:bCs/>
          <w:sz w:val="32"/>
          <w:szCs w:val="32"/>
          <w:shd w:val="clear" w:color="auto" w:fill="FFFFFF"/>
        </w:rPr>
        <w:t>（四）其他收入</w:t>
      </w:r>
      <w:r>
        <w:rPr>
          <w:rFonts w:ascii="楷体" w:hAnsi="楷体" w:eastAsia="楷体" w:cs="楷体"/>
          <w:b w:val="0"/>
          <w:bCs/>
          <w:sz w:val="32"/>
          <w:szCs w:val="32"/>
          <w:shd w:val="clear" w:color="auto" w:fill="FFFFFF"/>
        </w:rPr>
        <w:t>：</w:t>
      </w:r>
      <w:r>
        <w:rPr>
          <w:rFonts w:ascii="方正仿宋_GBK" w:hAnsi="方正仿宋_GBK" w:eastAsia="方正仿宋_GBK" w:cs="方正仿宋_GBK"/>
          <w:b w:val="0"/>
          <w:bCs/>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b w:val="0"/>
          <w:bCs/>
          <w:sz w:val="32"/>
          <w:szCs w:val="32"/>
        </w:rPr>
      </w:pPr>
      <w:r>
        <w:rPr>
          <w:rStyle w:val="10"/>
          <w:rFonts w:ascii="楷体" w:hAnsi="楷体" w:eastAsia="楷体" w:cs="楷体"/>
          <w:b w:val="0"/>
          <w:bCs/>
          <w:sz w:val="32"/>
          <w:szCs w:val="32"/>
          <w:shd w:val="clear" w:color="auto" w:fill="FFFFFF"/>
        </w:rPr>
        <w:t>（五）使用非财政拨款结余</w:t>
      </w:r>
      <w:r>
        <w:rPr>
          <w:rFonts w:ascii="楷体" w:hAnsi="楷体" w:eastAsia="楷体" w:cs="楷体"/>
          <w:b w:val="0"/>
          <w:bCs/>
          <w:sz w:val="32"/>
          <w:szCs w:val="32"/>
          <w:shd w:val="clear" w:color="auto" w:fill="FFFFFF"/>
        </w:rPr>
        <w:t>：</w:t>
      </w:r>
      <w:r>
        <w:rPr>
          <w:rFonts w:ascii="方正仿宋_GBK" w:hAnsi="方正仿宋_GBK" w:eastAsia="方正仿宋_GBK" w:cs="方正仿宋_GBK"/>
          <w:b w:val="0"/>
          <w:bCs/>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b w:val="0"/>
          <w:bCs/>
          <w:sz w:val="32"/>
          <w:szCs w:val="32"/>
        </w:rPr>
      </w:pPr>
      <w:r>
        <w:rPr>
          <w:rStyle w:val="10"/>
          <w:rFonts w:ascii="楷体" w:hAnsi="楷体" w:eastAsia="楷体" w:cs="楷体"/>
          <w:b w:val="0"/>
          <w:bCs/>
          <w:sz w:val="32"/>
          <w:szCs w:val="32"/>
          <w:shd w:val="clear" w:color="auto" w:fill="FFFFFF"/>
        </w:rPr>
        <w:t>（六）年初结转和结余</w:t>
      </w:r>
      <w:r>
        <w:rPr>
          <w:rFonts w:ascii="楷体" w:hAnsi="楷体" w:eastAsia="楷体" w:cs="楷体"/>
          <w:b w:val="0"/>
          <w:bCs/>
          <w:sz w:val="32"/>
          <w:szCs w:val="32"/>
          <w:shd w:val="clear" w:color="auto" w:fill="FFFFFF"/>
        </w:rPr>
        <w:t>：</w:t>
      </w:r>
      <w:r>
        <w:rPr>
          <w:rFonts w:ascii="方正仿宋_GBK" w:hAnsi="方正仿宋_GBK" w:eastAsia="方正仿宋_GBK" w:cs="方正仿宋_GBK"/>
          <w:b w:val="0"/>
          <w:bCs/>
          <w:sz w:val="32"/>
          <w:szCs w:val="32"/>
          <w:shd w:val="clear" w:color="auto" w:fill="FFFFFF"/>
        </w:rPr>
        <w:t>指单位上年结转本年使用的基本支出结转、项目支出结转和结余、经营结余。</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b w:val="0"/>
          <w:bCs/>
          <w:sz w:val="32"/>
          <w:szCs w:val="32"/>
        </w:rPr>
      </w:pPr>
      <w:r>
        <w:rPr>
          <w:rStyle w:val="10"/>
          <w:rFonts w:ascii="楷体" w:hAnsi="楷体" w:eastAsia="楷体" w:cs="楷体"/>
          <w:b w:val="0"/>
          <w:bCs/>
          <w:sz w:val="32"/>
          <w:szCs w:val="32"/>
          <w:shd w:val="clear" w:color="auto" w:fill="FFFFFF"/>
        </w:rPr>
        <w:t>（七）结余分配</w:t>
      </w:r>
      <w:r>
        <w:rPr>
          <w:rFonts w:ascii="楷体" w:hAnsi="楷体" w:eastAsia="楷体" w:cs="楷体"/>
          <w:b w:val="0"/>
          <w:bCs/>
          <w:sz w:val="32"/>
          <w:szCs w:val="32"/>
          <w:shd w:val="clear" w:color="auto" w:fill="FFFFFF"/>
        </w:rPr>
        <w:t>：</w:t>
      </w:r>
      <w:r>
        <w:rPr>
          <w:rFonts w:ascii="方正仿宋_GBK" w:hAnsi="方正仿宋_GBK" w:eastAsia="方正仿宋_GBK" w:cs="方正仿宋_GBK"/>
          <w:b w:val="0"/>
          <w:bCs/>
          <w:sz w:val="32"/>
          <w:szCs w:val="32"/>
          <w:shd w:val="clear" w:color="auto" w:fill="FFFFFF"/>
        </w:rPr>
        <w:t>指单位按照国家有关规定，缴纳所得税、提取专用基金、转入非财政拨款结余等当年结余的分配情况。</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b w:val="0"/>
          <w:bCs/>
          <w:sz w:val="32"/>
          <w:szCs w:val="32"/>
        </w:rPr>
      </w:pPr>
      <w:r>
        <w:rPr>
          <w:rStyle w:val="10"/>
          <w:rFonts w:ascii="楷体" w:hAnsi="楷体" w:eastAsia="楷体" w:cs="楷体"/>
          <w:b w:val="0"/>
          <w:bCs/>
          <w:sz w:val="32"/>
          <w:szCs w:val="32"/>
          <w:shd w:val="clear" w:color="auto" w:fill="FFFFFF"/>
        </w:rPr>
        <w:t>（八）年末结转和结余</w:t>
      </w:r>
      <w:r>
        <w:rPr>
          <w:rFonts w:ascii="楷体" w:hAnsi="楷体" w:eastAsia="楷体" w:cs="楷体"/>
          <w:b w:val="0"/>
          <w:bCs/>
          <w:sz w:val="32"/>
          <w:szCs w:val="32"/>
          <w:shd w:val="clear" w:color="auto" w:fill="FFFFFF"/>
        </w:rPr>
        <w:t>：</w:t>
      </w:r>
      <w:r>
        <w:rPr>
          <w:rFonts w:ascii="方正仿宋_GBK" w:hAnsi="方正仿宋_GBK" w:eastAsia="方正仿宋_GBK" w:cs="方正仿宋_GBK"/>
          <w:b w:val="0"/>
          <w:bCs/>
          <w:sz w:val="32"/>
          <w:szCs w:val="32"/>
          <w:shd w:val="clear" w:color="auto" w:fill="FFFFFF"/>
        </w:rPr>
        <w:t>指单位结转下年的基本支出结转、项目支出结转和结余、经营结余。</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b w:val="0"/>
          <w:bCs/>
          <w:sz w:val="32"/>
          <w:szCs w:val="32"/>
        </w:rPr>
      </w:pPr>
      <w:r>
        <w:rPr>
          <w:rStyle w:val="10"/>
          <w:rFonts w:ascii="楷体" w:hAnsi="楷体" w:eastAsia="楷体" w:cs="楷体"/>
          <w:b w:val="0"/>
          <w:bCs/>
          <w:sz w:val="32"/>
          <w:szCs w:val="32"/>
          <w:shd w:val="clear" w:color="auto" w:fill="FFFFFF"/>
        </w:rPr>
        <w:t>（九）基本支出</w:t>
      </w:r>
      <w:r>
        <w:rPr>
          <w:rFonts w:ascii="楷体" w:hAnsi="楷体" w:eastAsia="楷体" w:cs="楷体"/>
          <w:b w:val="0"/>
          <w:bCs/>
          <w:sz w:val="32"/>
          <w:szCs w:val="32"/>
          <w:shd w:val="clear" w:color="auto" w:fill="FFFFFF"/>
        </w:rPr>
        <w:t>：</w:t>
      </w:r>
      <w:r>
        <w:rPr>
          <w:rFonts w:ascii="方正仿宋_GBK" w:hAnsi="方正仿宋_GBK" w:eastAsia="方正仿宋_GBK" w:cs="方正仿宋_GBK"/>
          <w:b w:val="0"/>
          <w:bCs/>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b w:val="0"/>
          <w:bCs/>
          <w:sz w:val="32"/>
          <w:szCs w:val="32"/>
        </w:rPr>
      </w:pPr>
      <w:r>
        <w:rPr>
          <w:rStyle w:val="10"/>
          <w:rFonts w:ascii="楷体" w:hAnsi="楷体" w:eastAsia="楷体" w:cs="楷体"/>
          <w:b w:val="0"/>
          <w:bCs/>
          <w:sz w:val="32"/>
          <w:szCs w:val="32"/>
          <w:shd w:val="clear" w:color="auto" w:fill="FFFFFF"/>
        </w:rPr>
        <w:t>（十）项目支出</w:t>
      </w:r>
      <w:r>
        <w:rPr>
          <w:rFonts w:ascii="楷体" w:hAnsi="楷体" w:eastAsia="楷体" w:cs="楷体"/>
          <w:b w:val="0"/>
          <w:bCs/>
          <w:sz w:val="32"/>
          <w:szCs w:val="32"/>
          <w:shd w:val="clear" w:color="auto" w:fill="FFFFFF"/>
        </w:rPr>
        <w:t>：</w:t>
      </w:r>
      <w:r>
        <w:rPr>
          <w:rFonts w:ascii="方正仿宋_GBK" w:hAnsi="方正仿宋_GBK" w:eastAsia="方正仿宋_GBK" w:cs="方正仿宋_GBK"/>
          <w:b w:val="0"/>
          <w:bCs/>
          <w:sz w:val="32"/>
          <w:szCs w:val="32"/>
          <w:shd w:val="clear" w:color="auto" w:fill="FFFFFF"/>
        </w:rPr>
        <w:t>指在基本支出之外为完成特定行政任务和事业发展目标所发生的支出。</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b w:val="0"/>
          <w:bCs/>
          <w:sz w:val="32"/>
          <w:szCs w:val="32"/>
        </w:rPr>
      </w:pPr>
      <w:r>
        <w:rPr>
          <w:rStyle w:val="10"/>
          <w:rFonts w:ascii="楷体" w:hAnsi="楷体" w:eastAsia="楷体" w:cs="楷体"/>
          <w:b w:val="0"/>
          <w:bCs/>
          <w:sz w:val="32"/>
          <w:szCs w:val="32"/>
          <w:shd w:val="clear" w:color="auto" w:fill="FFFFFF"/>
        </w:rPr>
        <w:t>（十一）经营支出</w:t>
      </w:r>
      <w:r>
        <w:rPr>
          <w:rFonts w:ascii="楷体" w:hAnsi="楷体" w:eastAsia="楷体" w:cs="楷体"/>
          <w:b w:val="0"/>
          <w:bCs/>
          <w:sz w:val="32"/>
          <w:szCs w:val="32"/>
          <w:shd w:val="clear" w:color="auto" w:fill="FFFFFF"/>
        </w:rPr>
        <w:t>：</w:t>
      </w:r>
      <w:r>
        <w:rPr>
          <w:rFonts w:ascii="方正仿宋_GBK" w:hAnsi="方正仿宋_GBK" w:eastAsia="方正仿宋_GBK" w:cs="方正仿宋_GBK"/>
          <w:b w:val="0"/>
          <w:bCs/>
          <w:sz w:val="32"/>
          <w:szCs w:val="32"/>
          <w:shd w:val="clear" w:color="auto" w:fill="FFFFFF"/>
        </w:rPr>
        <w:t>指事业单位在专业业务活动及其辅助活动之外开展非独立核算经营活动发生的支出。</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b w:val="0"/>
          <w:bCs/>
          <w:sz w:val="32"/>
          <w:szCs w:val="32"/>
        </w:rPr>
      </w:pPr>
      <w:r>
        <w:rPr>
          <w:rStyle w:val="10"/>
          <w:rFonts w:ascii="楷体" w:hAnsi="楷体" w:eastAsia="楷体" w:cs="楷体"/>
          <w:b w:val="0"/>
          <w:bCs/>
          <w:sz w:val="32"/>
          <w:szCs w:val="32"/>
          <w:shd w:val="clear" w:color="auto" w:fill="FFFFFF"/>
        </w:rPr>
        <w:t>（十二）“三公”经费</w:t>
      </w:r>
      <w:r>
        <w:rPr>
          <w:rFonts w:ascii="楷体" w:hAnsi="楷体" w:eastAsia="楷体" w:cs="楷体"/>
          <w:b w:val="0"/>
          <w:bCs/>
          <w:sz w:val="32"/>
          <w:szCs w:val="32"/>
          <w:shd w:val="clear" w:color="auto" w:fill="FFFFFF"/>
        </w:rPr>
        <w:t>：</w:t>
      </w:r>
      <w:r>
        <w:rPr>
          <w:rFonts w:ascii="方正仿宋_GBK" w:hAnsi="方正仿宋_GBK" w:eastAsia="方正仿宋_GBK" w:cs="方正仿宋_GBK"/>
          <w:b w:val="0"/>
          <w:bCs/>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b w:val="0"/>
          <w:bCs/>
          <w:sz w:val="32"/>
          <w:szCs w:val="32"/>
        </w:rPr>
      </w:pPr>
      <w:r>
        <w:rPr>
          <w:rStyle w:val="10"/>
          <w:rFonts w:ascii="楷体" w:hAnsi="楷体" w:eastAsia="楷体" w:cs="楷体"/>
          <w:b w:val="0"/>
          <w:bCs/>
          <w:sz w:val="32"/>
          <w:szCs w:val="32"/>
          <w:shd w:val="clear" w:color="auto" w:fill="FFFFFF"/>
        </w:rPr>
        <w:t>（十三）机关运行经费</w:t>
      </w:r>
      <w:r>
        <w:rPr>
          <w:rFonts w:ascii="楷体" w:hAnsi="楷体" w:eastAsia="楷体" w:cs="楷体"/>
          <w:b w:val="0"/>
          <w:bCs/>
          <w:sz w:val="32"/>
          <w:szCs w:val="32"/>
          <w:shd w:val="clear" w:color="auto" w:fill="FFFFFF"/>
        </w:rPr>
        <w:t>：</w:t>
      </w:r>
      <w:r>
        <w:rPr>
          <w:rFonts w:ascii="方正仿宋_GBK" w:hAnsi="方正仿宋_GBK" w:eastAsia="方正仿宋_GBK" w:cs="方正仿宋_GBK"/>
          <w:b w:val="0"/>
          <w:bCs/>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b w:val="0"/>
          <w:bCs/>
          <w:sz w:val="32"/>
          <w:szCs w:val="32"/>
        </w:rPr>
      </w:pPr>
      <w:r>
        <w:rPr>
          <w:rStyle w:val="10"/>
          <w:rFonts w:ascii="楷体" w:hAnsi="楷体" w:eastAsia="楷体" w:cs="楷体"/>
          <w:b w:val="0"/>
          <w:bCs/>
          <w:sz w:val="32"/>
          <w:szCs w:val="32"/>
          <w:shd w:val="clear" w:color="auto" w:fill="FFFFFF"/>
        </w:rPr>
        <w:t>（十四）工资福利支出（支出经济分类科目类级）</w:t>
      </w:r>
      <w:r>
        <w:rPr>
          <w:rFonts w:ascii="楷体" w:hAnsi="楷体" w:eastAsia="楷体" w:cs="楷体"/>
          <w:b w:val="0"/>
          <w:bCs/>
          <w:sz w:val="32"/>
          <w:szCs w:val="32"/>
          <w:shd w:val="clear" w:color="auto" w:fill="FFFFFF"/>
        </w:rPr>
        <w:t>：</w:t>
      </w:r>
      <w:r>
        <w:rPr>
          <w:rFonts w:ascii="方正仿宋_GBK" w:hAnsi="方正仿宋_GBK" w:eastAsia="方正仿宋_GBK" w:cs="方正仿宋_GBK"/>
          <w:b w:val="0"/>
          <w:bCs/>
          <w:sz w:val="32"/>
          <w:szCs w:val="32"/>
          <w:shd w:val="clear" w:color="auto" w:fill="FFFFFF"/>
        </w:rPr>
        <w:t>反映单位开支的在职职工和编制外长期聘用人员的各类劳动报酬，以及为上述人员缴纳的各项社会保险费等。</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b w:val="0"/>
          <w:bCs/>
          <w:sz w:val="32"/>
          <w:szCs w:val="32"/>
        </w:rPr>
      </w:pPr>
      <w:r>
        <w:rPr>
          <w:rStyle w:val="10"/>
          <w:rFonts w:ascii="楷体" w:hAnsi="楷体" w:eastAsia="楷体" w:cs="楷体"/>
          <w:b w:val="0"/>
          <w:bCs/>
          <w:sz w:val="32"/>
          <w:szCs w:val="32"/>
          <w:shd w:val="clear" w:color="auto" w:fill="FFFFFF"/>
        </w:rPr>
        <w:t>（十五）商品和服务支出（支出经济分类科目类级）</w:t>
      </w:r>
      <w:r>
        <w:rPr>
          <w:rFonts w:ascii="楷体" w:hAnsi="楷体" w:eastAsia="楷体" w:cs="楷体"/>
          <w:b w:val="0"/>
          <w:bCs/>
          <w:sz w:val="32"/>
          <w:szCs w:val="32"/>
          <w:shd w:val="clear" w:color="auto" w:fill="FFFFFF"/>
        </w:rPr>
        <w:t>：</w:t>
      </w:r>
      <w:r>
        <w:rPr>
          <w:rFonts w:ascii="方正仿宋_GBK" w:hAnsi="方正仿宋_GBK" w:eastAsia="方正仿宋_GBK" w:cs="方正仿宋_GBK"/>
          <w:b w:val="0"/>
          <w:bCs/>
          <w:sz w:val="32"/>
          <w:szCs w:val="32"/>
          <w:shd w:val="clear" w:color="auto" w:fill="FFFFFF"/>
        </w:rPr>
        <w:t>反映单位购买商品和服务的支出（不包括用于购置固定资产的支出、战略性和应急储备支出）。</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b w:val="0"/>
          <w:bCs/>
          <w:sz w:val="32"/>
          <w:szCs w:val="32"/>
        </w:rPr>
      </w:pPr>
      <w:r>
        <w:rPr>
          <w:rStyle w:val="10"/>
          <w:rFonts w:ascii="楷体" w:hAnsi="楷体" w:eastAsia="楷体" w:cs="楷体"/>
          <w:b w:val="0"/>
          <w:bCs/>
          <w:sz w:val="32"/>
          <w:szCs w:val="32"/>
          <w:shd w:val="clear" w:color="auto" w:fill="FFFFFF"/>
        </w:rPr>
        <w:t>（十六）对个人和家庭的补助（支出经济分类科目类级）</w:t>
      </w:r>
      <w:r>
        <w:rPr>
          <w:rFonts w:ascii="楷体" w:hAnsi="楷体" w:eastAsia="楷体" w:cs="楷体"/>
          <w:b w:val="0"/>
          <w:bCs/>
          <w:sz w:val="32"/>
          <w:szCs w:val="32"/>
          <w:shd w:val="clear" w:color="auto" w:fill="FFFFFF"/>
        </w:rPr>
        <w:t>：</w:t>
      </w:r>
      <w:r>
        <w:rPr>
          <w:rFonts w:ascii="方正仿宋_GBK" w:hAnsi="方正仿宋_GBK" w:eastAsia="方正仿宋_GBK" w:cs="方正仿宋_GBK"/>
          <w:b w:val="0"/>
          <w:bCs/>
          <w:sz w:val="32"/>
          <w:szCs w:val="32"/>
          <w:shd w:val="clear" w:color="auto" w:fill="FFFFFF"/>
        </w:rPr>
        <w:t>反映用于对个人和家庭的补助支出。</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b w:val="0"/>
          <w:bCs/>
          <w:sz w:val="32"/>
          <w:szCs w:val="32"/>
        </w:rPr>
      </w:pPr>
      <w:r>
        <w:rPr>
          <w:rStyle w:val="10"/>
          <w:rFonts w:ascii="楷体" w:hAnsi="楷体" w:eastAsia="楷体" w:cs="楷体"/>
          <w:b w:val="0"/>
          <w:bCs/>
          <w:sz w:val="32"/>
          <w:szCs w:val="32"/>
          <w:shd w:val="clear" w:color="auto" w:fill="FFFFFF"/>
        </w:rPr>
        <w:t>（十七）其他资本性支出（支出经济分类科目类级）</w:t>
      </w:r>
      <w:r>
        <w:rPr>
          <w:rFonts w:ascii="楷体" w:hAnsi="楷体" w:eastAsia="楷体" w:cs="楷体"/>
          <w:b w:val="0"/>
          <w:bCs/>
          <w:sz w:val="32"/>
          <w:szCs w:val="32"/>
          <w:shd w:val="clear" w:color="auto" w:fill="FFFFFF"/>
        </w:rPr>
        <w:t>：</w:t>
      </w:r>
      <w:r>
        <w:rPr>
          <w:rFonts w:ascii="方正仿宋_GBK" w:hAnsi="方正仿宋_GBK" w:eastAsia="方正仿宋_GBK" w:cs="方正仿宋_GBK"/>
          <w:b w:val="0"/>
          <w:bCs/>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0"/>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b w:val="0"/>
          <w:bCs/>
          <w:sz w:val="32"/>
          <w:szCs w:val="32"/>
          <w:shd w:val="clear" w:color="auto" w:fill="FFFFFF"/>
        </w:rPr>
        <w:t> </w:t>
      </w:r>
      <w:r>
        <w:rPr>
          <w:rStyle w:val="10"/>
          <w:rFonts w:ascii="黑体" w:hAnsi="黑体" w:eastAsia="黑体" w:cs="黑体"/>
          <w:b w:val="0"/>
          <w:bCs/>
          <w:sz w:val="32"/>
          <w:szCs w:val="32"/>
          <w:shd w:val="clear" w:color="auto" w:fill="FFFFFF"/>
        </w:rPr>
        <w:t>七、决算公开联系方式及信息反馈渠道</w:t>
      </w:r>
    </w:p>
    <w:p>
      <w:pPr>
        <w:pStyle w:val="11"/>
        <w:keepNext w:val="0"/>
        <w:keepLines w:val="0"/>
        <w:pageBreakBefore w:val="0"/>
        <w:widowControl/>
        <w:kinsoku/>
        <w:wordWrap/>
        <w:overflowPunct/>
        <w:topLinePunct w:val="0"/>
        <w:autoSpaceDE w:val="0"/>
        <w:autoSpaceDN/>
        <w:bidi w:val="0"/>
        <w:adjustRightInd/>
        <w:snapToGrid/>
        <w:spacing w:line="594" w:lineRule="exact"/>
        <w:ind w:firstLine="640" w:firstLineChars="200"/>
        <w:textAlignment w:val="auto"/>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本单位决算公开信息反馈和联系方式：</w:t>
      </w:r>
    </w:p>
    <w:p>
      <w:pPr>
        <w:pStyle w:val="11"/>
        <w:keepNext w:val="0"/>
        <w:keepLines w:val="0"/>
        <w:pageBreakBefore w:val="0"/>
        <w:widowControl/>
        <w:kinsoku/>
        <w:wordWrap/>
        <w:overflowPunct/>
        <w:topLinePunct w:val="0"/>
        <w:autoSpaceDE w:val="0"/>
        <w:autoSpaceDN/>
        <w:bidi w:val="0"/>
        <w:adjustRightInd/>
        <w:snapToGrid/>
        <w:spacing w:line="594" w:lineRule="exact"/>
        <w:ind w:firstLine="640" w:firstLineChars="200"/>
        <w:textAlignment w:val="auto"/>
        <w:rPr>
          <w:rStyle w:val="10"/>
          <w:rFonts w:ascii="方正仿宋_GBK" w:hAnsi="方正仿宋_GBK" w:eastAsia="方正仿宋_GBK" w:cs="方正仿宋_GBK"/>
          <w:sz w:val="32"/>
          <w:szCs w:val="32"/>
          <w:shd w:val="clear" w:color="auto" w:fill="FFFF00"/>
        </w:rPr>
      </w:pPr>
      <w:r>
        <w:rPr>
          <w:rFonts w:hint="eastAsia" w:ascii="方正仿宋_GBK" w:hAnsi="方正仿宋_GBK" w:eastAsia="方正仿宋_GBK" w:cs="方正仿宋_GBK"/>
          <w:sz w:val="32"/>
          <w:szCs w:val="32"/>
          <w:shd w:val="clear" w:color="auto" w:fill="FFFFFF"/>
        </w:rPr>
        <w:t>包老师023-74588755</w:t>
      </w:r>
    </w:p>
    <w:p>
      <w:pPr>
        <w:pStyle w:val="11"/>
        <w:autoSpaceDE w:val="0"/>
        <w:ind w:firstLine="0" w:firstLineChars="0"/>
        <w:rPr>
          <w:rStyle w:val="10"/>
          <w:rFonts w:ascii="方正仿宋_GBK" w:hAnsi="方正仿宋_GBK" w:eastAsia="方正仿宋_GBK" w:cs="方正仿宋_GBK"/>
          <w:sz w:val="32"/>
          <w:szCs w:val="32"/>
          <w:shd w:val="clear" w:color="auto" w:fill="FFFF00"/>
        </w:rPr>
      </w:pPr>
    </w:p>
    <w:p>
      <w:pPr>
        <w:pStyle w:val="11"/>
        <w:autoSpaceDE w:val="0"/>
        <w:ind w:firstLine="0" w:firstLineChars="0"/>
        <w:rPr>
          <w:rStyle w:val="10"/>
          <w:rFonts w:ascii="方正仿宋_GBK" w:hAnsi="方正仿宋_GBK" w:eastAsia="方正仿宋_GBK" w:cs="方正仿宋_GBK"/>
          <w:sz w:val="32"/>
          <w:szCs w:val="32"/>
          <w:shd w:val="clear" w:color="auto" w:fill="FFFF00"/>
        </w:rPr>
        <w:sectPr>
          <w:footerReference r:id="rId3" w:type="default"/>
          <w:pgSz w:w="11915" w:h="16840"/>
          <w:pgMar w:top="1984" w:right="1446" w:bottom="1644" w:left="1446" w:header="851" w:footer="992" w:gutter="0"/>
          <w:pgNumType w:fmt="numberInDash"/>
          <w:cols w:space="0" w:num="1"/>
          <w:rtlGutter w:val="0"/>
          <w:docGrid w:type="lines" w:linePitch="312" w:charSpace="0"/>
        </w:sectPr>
      </w:pPr>
    </w:p>
    <w:p>
      <w:pPr>
        <w:rPr>
          <w:rFonts w:hint="eastAsia" w:ascii="方正仿宋_GBK" w:hAnsi="方正仿宋_GBK" w:eastAsia="方正仿宋_GBK" w:cs="方正仿宋_GBK"/>
          <w:sz w:val="21"/>
          <w:szCs w:val="21"/>
        </w:rPr>
      </w:pPr>
    </w:p>
    <w:tbl>
      <w:tblPr>
        <w:tblStyle w:val="7"/>
        <w:tblW w:w="22292" w:type="dxa"/>
        <w:tblInd w:w="0" w:type="dxa"/>
        <w:tblLayout w:type="fixed"/>
        <w:tblCellMar>
          <w:top w:w="0" w:type="dxa"/>
          <w:left w:w="0" w:type="dxa"/>
          <w:bottom w:w="0" w:type="dxa"/>
          <w:right w:w="0" w:type="dxa"/>
        </w:tblCellMar>
      </w:tblPr>
      <w:tblGrid>
        <w:gridCol w:w="6581"/>
        <w:gridCol w:w="4358"/>
        <w:gridCol w:w="7536"/>
        <w:gridCol w:w="3817"/>
      </w:tblGrid>
      <w:tr>
        <w:tblPrEx>
          <w:tblCellMar>
            <w:top w:w="0" w:type="dxa"/>
            <w:left w:w="0" w:type="dxa"/>
            <w:bottom w:w="0" w:type="dxa"/>
            <w:right w:w="0" w:type="dxa"/>
          </w:tblCellMar>
        </w:tblPrEx>
        <w:trPr>
          <w:trHeight w:val="565" w:hRule="atLeast"/>
        </w:trPr>
        <w:tc>
          <w:tcPr>
            <w:tcW w:w="22292" w:type="dxa"/>
            <w:gridSpan w:val="4"/>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eastAsia" w:ascii="方正仿宋_GBK" w:hAnsi="方正仿宋_GBK" w:eastAsia="方正仿宋_GBK" w:cs="方正仿宋_GBK"/>
                <w:b/>
                <w:color w:val="000000"/>
                <w:sz w:val="40"/>
                <w:szCs w:val="40"/>
              </w:rPr>
            </w:pPr>
            <w:r>
              <w:rPr>
                <w:rFonts w:hint="eastAsia" w:ascii="方正仿宋_GBK" w:hAnsi="方正仿宋_GBK" w:eastAsia="方正仿宋_GBK" w:cs="方正仿宋_GBK"/>
                <w:b/>
                <w:color w:val="000000"/>
                <w:sz w:val="44"/>
                <w:szCs w:val="44"/>
                <w:lang w:bidi="ar"/>
              </w:rPr>
              <w:t>收入支出决算总表</w:t>
            </w:r>
          </w:p>
        </w:tc>
      </w:tr>
      <w:tr>
        <w:tblPrEx>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4358" w:type="dxa"/>
            <w:tcBorders>
              <w:top w:val="nil"/>
              <w:left w:val="nil"/>
              <w:bottom w:val="nil"/>
              <w:right w:val="nil"/>
            </w:tcBorders>
            <w:shd w:val="clear" w:color="auto" w:fill="auto"/>
            <w:tcMar>
              <w:top w:w="15" w:type="dxa"/>
              <w:left w:w="15" w:type="dxa"/>
              <w:right w:w="15" w:type="dxa"/>
            </w:tcMar>
            <w:vAlign w:val="bottom"/>
          </w:tcPr>
          <w:p>
            <w:pPr>
              <w:jc w:val="right"/>
              <w:rPr>
                <w:rFonts w:hint="eastAsia" w:ascii="方正仿宋_GBK" w:hAnsi="方正仿宋_GBK" w:eastAsia="方正仿宋_GBK" w:cs="方正仿宋_GBK"/>
                <w:color w:val="000000"/>
                <w:sz w:val="20"/>
                <w:szCs w:val="20"/>
              </w:rPr>
            </w:pPr>
          </w:p>
        </w:tc>
        <w:tc>
          <w:tcPr>
            <w:tcW w:w="7536"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3817"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eastAsia" w:ascii="方正仿宋_GBK" w:hAnsi="方正仿宋_GBK" w:eastAsia="方正仿宋_GBK" w:cs="方正仿宋_GBK"/>
                <w:color w:val="000000"/>
              </w:rPr>
            </w:pPr>
            <w:r>
              <w:rPr>
                <w:rFonts w:hint="eastAsia" w:ascii="方正仿宋_GBK" w:hAnsi="方正仿宋_GBK" w:eastAsia="方正仿宋_GBK" w:cs="方正仿宋_GBK"/>
                <w:color w:val="000000"/>
                <w:lang w:bidi="ar"/>
              </w:rPr>
              <w:t>公开01表</w:t>
            </w:r>
          </w:p>
        </w:tc>
      </w:tr>
      <w:tr>
        <w:tblPrEx>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tcMar>
              <w:top w:w="15" w:type="dxa"/>
              <w:left w:w="15" w:type="dxa"/>
              <w:right w:w="15" w:type="dxa"/>
            </w:tcMar>
            <w:vAlign w:val="bottom"/>
          </w:tcPr>
          <w:p>
            <w:pPr>
              <w:textAlignment w:val="bottom"/>
              <w:rPr>
                <w:rFonts w:hint="eastAsia" w:ascii="方正仿宋_GBK" w:hAnsi="方正仿宋_GBK" w:eastAsia="方正仿宋_GBK" w:cs="方正仿宋_GBK"/>
                <w:color w:val="000000"/>
              </w:rPr>
            </w:pPr>
            <w:r>
              <w:rPr>
                <w:rFonts w:hint="eastAsia" w:ascii="方正仿宋_GBK" w:hAnsi="方正仿宋_GBK" w:eastAsia="方正仿宋_GBK" w:cs="方正仿宋_GBK"/>
              </w:rPr>
              <w:t>公开单位：垫江县砚台镇人民政府（本级）</w:t>
            </w:r>
          </w:p>
        </w:tc>
        <w:tc>
          <w:tcPr>
            <w:tcW w:w="4358" w:type="dxa"/>
            <w:tcBorders>
              <w:top w:val="nil"/>
              <w:left w:val="nil"/>
              <w:bottom w:val="nil"/>
              <w:right w:val="nil"/>
            </w:tcBorders>
            <w:shd w:val="clear" w:color="auto" w:fill="auto"/>
            <w:tcMar>
              <w:top w:w="15" w:type="dxa"/>
              <w:left w:w="15" w:type="dxa"/>
              <w:right w:w="15" w:type="dxa"/>
            </w:tcMar>
            <w:vAlign w:val="bottom"/>
          </w:tcPr>
          <w:p>
            <w:pPr>
              <w:jc w:val="right"/>
              <w:rPr>
                <w:rFonts w:hint="eastAsia" w:ascii="方正仿宋_GBK" w:hAnsi="方正仿宋_GBK" w:eastAsia="方正仿宋_GBK" w:cs="方正仿宋_GBK"/>
                <w:color w:val="000000"/>
                <w:sz w:val="22"/>
                <w:szCs w:val="22"/>
              </w:rPr>
            </w:pPr>
          </w:p>
        </w:tc>
        <w:tc>
          <w:tcPr>
            <w:tcW w:w="7536"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3817"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eastAsia" w:ascii="方正仿宋_GBK" w:hAnsi="方正仿宋_GBK" w:eastAsia="方正仿宋_GBK" w:cs="方正仿宋_GBK"/>
                <w:color w:val="000000"/>
              </w:rPr>
            </w:pPr>
            <w:r>
              <w:rPr>
                <w:rFonts w:hint="eastAsia" w:ascii="方正仿宋_GBK" w:hAnsi="方正仿宋_GBK" w:eastAsia="方正仿宋_GBK" w:cs="方正仿宋_GBK"/>
                <w:color w:val="000000"/>
                <w:lang w:bidi="ar"/>
              </w:rPr>
              <w:t>单位：</w:t>
            </w:r>
            <w:r>
              <w:rPr>
                <w:rFonts w:hint="eastAsia" w:ascii="方正仿宋_GBK" w:hAnsi="方正仿宋_GBK" w:eastAsia="方正仿宋_GBK" w:cs="方正仿宋_GBK"/>
              </w:rPr>
              <w:t>万元</w:t>
            </w:r>
          </w:p>
        </w:tc>
      </w:tr>
      <w:tr>
        <w:tblPrEx>
          <w:tblCellMar>
            <w:top w:w="0" w:type="dxa"/>
            <w:left w:w="0" w:type="dxa"/>
            <w:bottom w:w="0" w:type="dxa"/>
            <w:right w:w="0" w:type="dxa"/>
          </w:tblCellMar>
        </w:tblPrEx>
        <w:trPr>
          <w:trHeight w:val="298" w:hRule="atLeast"/>
        </w:trPr>
        <w:tc>
          <w:tcPr>
            <w:tcW w:w="10939"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收入</w:t>
            </w:r>
          </w:p>
        </w:tc>
        <w:tc>
          <w:tcPr>
            <w:tcW w:w="11353" w:type="dxa"/>
            <w:gridSpan w:val="2"/>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支出</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项目</w:t>
            </w:r>
          </w:p>
        </w:tc>
        <w:tc>
          <w:tcPr>
            <w:tcW w:w="4358"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决算数</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rPr>
              <w:t>功能分类科目</w:t>
            </w:r>
          </w:p>
        </w:tc>
        <w:tc>
          <w:tcPr>
            <w:tcW w:w="3817"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决算数</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一、一般公共预算财政拨款收入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2,688.30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一、一般公共服务支出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1,130.22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二、政府性基金预算财政拨款收入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903.99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二、外交支出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三、国有资本经营预算财政拨款收入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0.04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三、国防支出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四、上级补助收入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四、公共安全支出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15.10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五、事业收入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五、教育支出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六、经营收入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六、科学技术支出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七、附属单位上缴收入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七、文化旅游体育与传媒支出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2.12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八、其他收入</w:t>
            </w:r>
          </w:p>
        </w:tc>
        <w:tc>
          <w:tcPr>
            <w:tcW w:w="43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八、社会保障和就业支出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223.87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right"/>
              <w:rPr>
                <w:rFonts w:hint="eastAsia" w:ascii="方正仿宋_GBK" w:hAnsi="方正仿宋_GBK" w:eastAsia="方正仿宋_GBK" w:cs="方正仿宋_GBK"/>
                <w:color w:val="000000"/>
                <w:sz w:val="20"/>
                <w:szCs w:val="20"/>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九、卫生健康支出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44.98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right"/>
              <w:rPr>
                <w:rFonts w:hint="eastAsia" w:ascii="方正仿宋_GBK" w:hAnsi="方正仿宋_GBK" w:eastAsia="方正仿宋_GBK" w:cs="方正仿宋_GBK"/>
                <w:color w:val="000000"/>
                <w:sz w:val="20"/>
                <w:szCs w:val="20"/>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十、节能环保支出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right"/>
              <w:rPr>
                <w:rFonts w:hint="eastAsia" w:ascii="方正仿宋_GBK" w:hAnsi="方正仿宋_GBK" w:eastAsia="方正仿宋_GBK" w:cs="方正仿宋_GBK"/>
                <w:color w:val="000000"/>
                <w:sz w:val="20"/>
                <w:szCs w:val="20"/>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十一、城乡社区支出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882.90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right"/>
              <w:rPr>
                <w:rFonts w:hint="eastAsia" w:ascii="方正仿宋_GBK" w:hAnsi="方正仿宋_GBK" w:eastAsia="方正仿宋_GBK" w:cs="方正仿宋_GBK"/>
                <w:color w:val="000000"/>
                <w:sz w:val="20"/>
                <w:szCs w:val="20"/>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十二、农林水支出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825.07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十三、交通运输支出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288.33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十四、资源勘探工业信息等支出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45.20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十五、商业服务业等支出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十六、金融支出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十七、援助其他地区支出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十八、自然资源海洋气象等支出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十九、住房保障支出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57.21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二十、粮油物资储备支出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二十一、国有资本经营预算支出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0.04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二十二、灾害防治及应急管理支出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12.50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二十三、其他支出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103.31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二十四、债务还本支出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二十五、债务付息支出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二十六、抗疫特别国债安排的支出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本年收入合计</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3,592.33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本年支出合计</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3,630.84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使用非财政拨款结余和专用结余</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结余分配</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年初结转和结余</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38.52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年末结转和结余</w:t>
            </w:r>
          </w:p>
        </w:tc>
        <w:tc>
          <w:tcPr>
            <w:tcW w:w="3817"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07"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总计</w:t>
            </w: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3,630.84 </w:t>
            </w:r>
          </w:p>
        </w:tc>
        <w:tc>
          <w:tcPr>
            <w:tcW w:w="7536" w:type="dxa"/>
            <w:tcBorders>
              <w:top w:val="nil"/>
              <w:left w:val="nil"/>
              <w:bottom w:val="single" w:color="000000" w:sz="4" w:space="0"/>
              <w:right w:val="single" w:color="auto"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总计</w:t>
            </w:r>
          </w:p>
        </w:tc>
        <w:tc>
          <w:tcPr>
            <w:tcW w:w="38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3,630.84 </w:t>
            </w:r>
          </w:p>
        </w:tc>
      </w:tr>
    </w:tbl>
    <w:p>
      <w:pPr>
        <w:rPr>
          <w:rFonts w:hint="eastAsia" w:ascii="方正仿宋_GBK" w:hAnsi="方正仿宋_GBK" w:eastAsia="方正仿宋_GBK" w:cs="方正仿宋_GBK"/>
          <w:sz w:val="21"/>
          <w:szCs w:val="21"/>
          <w:lang w:bidi="ar"/>
        </w:rPr>
      </w:pPr>
      <w:r>
        <w:rPr>
          <w:rFonts w:hint="eastAsia" w:ascii="方正仿宋_GBK" w:hAnsi="方正仿宋_GBK" w:eastAsia="方正仿宋_GBK" w:cs="方正仿宋_GBK"/>
          <w:sz w:val="21"/>
          <w:szCs w:val="21"/>
          <w:lang w:bidi="ar"/>
        </w:rPr>
        <w:t>备注：1.本表反映单位本年度的总收支和年末结转结余情况。</w:t>
      </w:r>
    </w:p>
    <w:p>
      <w:pPr>
        <w:rPr>
          <w:rFonts w:hint="eastAsia" w:ascii="方正仿宋_GBK" w:hAnsi="方正仿宋_GBK" w:eastAsia="方正仿宋_GBK" w:cs="方正仿宋_GBK"/>
          <w:sz w:val="21"/>
          <w:szCs w:val="21"/>
          <w:lang w:bidi="ar"/>
        </w:rPr>
      </w:pPr>
      <w:r>
        <w:rPr>
          <w:rFonts w:hint="eastAsia" w:ascii="方正仿宋_GBK" w:hAnsi="方正仿宋_GBK" w:eastAsia="方正仿宋_GBK" w:cs="方正仿宋_GBK"/>
          <w:sz w:val="21"/>
          <w:szCs w:val="21"/>
          <w:lang w:bidi="ar"/>
        </w:rPr>
        <w:t xml:space="preserve">      2.本套报表金额单位转换时可能存在尾数误差。</w:t>
      </w:r>
    </w:p>
    <w:p>
      <w:pPr>
        <w:rPr>
          <w:rFonts w:hint="eastAsia" w:ascii="方正仿宋_GBK" w:hAnsi="方正仿宋_GBK" w:eastAsia="方正仿宋_GBK" w:cs="方正仿宋_GBK"/>
          <w:sz w:val="21"/>
          <w:szCs w:val="21"/>
          <w:lang w:bidi="ar"/>
        </w:rPr>
      </w:pPr>
    </w:p>
    <w:p>
      <w:pPr>
        <w:rPr>
          <w:rFonts w:hint="eastAsia" w:ascii="方正仿宋_GBK" w:hAnsi="方正仿宋_GBK" w:eastAsia="方正仿宋_GBK" w:cs="方正仿宋_GBK"/>
          <w:sz w:val="21"/>
          <w:szCs w:val="21"/>
          <w:lang w:bidi="ar"/>
        </w:rPr>
      </w:pPr>
    </w:p>
    <w:p>
      <w:pPr>
        <w:rPr>
          <w:rFonts w:hint="eastAsia" w:ascii="方正仿宋_GBK" w:hAnsi="方正仿宋_GBK" w:eastAsia="方正仿宋_GBK" w:cs="方正仿宋_GBK"/>
          <w:sz w:val="21"/>
          <w:szCs w:val="21"/>
          <w:lang w:bidi="ar"/>
        </w:rPr>
      </w:pPr>
      <w:r>
        <w:rPr>
          <w:rFonts w:hint="eastAsia" w:ascii="方正仿宋_GBK" w:hAnsi="方正仿宋_GBK" w:eastAsia="方正仿宋_GBK" w:cs="方正仿宋_GBK"/>
          <w:sz w:val="21"/>
          <w:szCs w:val="21"/>
          <w:lang w:bidi="ar"/>
        </w:rPr>
        <w:br w:type="page"/>
      </w:r>
    </w:p>
    <w:p>
      <w:pPr>
        <w:rPr>
          <w:rFonts w:hint="eastAsia" w:ascii="方正仿宋_GBK" w:hAnsi="方正仿宋_GBK" w:eastAsia="方正仿宋_GBK" w:cs="方正仿宋_GBK"/>
          <w:sz w:val="21"/>
          <w:szCs w:val="21"/>
          <w:lang w:bidi="ar"/>
        </w:rPr>
      </w:pPr>
    </w:p>
    <w:tbl>
      <w:tblPr>
        <w:tblStyle w:val="7"/>
        <w:tblW w:w="22220" w:type="dxa"/>
        <w:tblInd w:w="0" w:type="dxa"/>
        <w:tblLayout w:type="fixed"/>
        <w:tblCellMar>
          <w:top w:w="0" w:type="dxa"/>
          <w:left w:w="0" w:type="dxa"/>
          <w:bottom w:w="0" w:type="dxa"/>
          <w:right w:w="0" w:type="dxa"/>
        </w:tblCellMar>
      </w:tblPr>
      <w:tblGrid>
        <w:gridCol w:w="1941"/>
        <w:gridCol w:w="3317"/>
        <w:gridCol w:w="2412"/>
        <w:gridCol w:w="2399"/>
        <w:gridCol w:w="1963"/>
        <w:gridCol w:w="1963"/>
        <w:gridCol w:w="1963"/>
        <w:gridCol w:w="1963"/>
        <w:gridCol w:w="1963"/>
        <w:gridCol w:w="2336"/>
      </w:tblGrid>
      <w:tr>
        <w:tblPrEx>
          <w:tblCellMar>
            <w:top w:w="0" w:type="dxa"/>
            <w:left w:w="0" w:type="dxa"/>
            <w:bottom w:w="0" w:type="dxa"/>
            <w:right w:w="0" w:type="dxa"/>
          </w:tblCellMar>
        </w:tblPrEx>
        <w:trPr>
          <w:trHeight w:val="641" w:hRule="atLeast"/>
        </w:trPr>
        <w:tc>
          <w:tcPr>
            <w:tcW w:w="22220"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eastAsia" w:ascii="方正仿宋_GBK" w:hAnsi="方正仿宋_GBK" w:eastAsia="方正仿宋_GBK" w:cs="方正仿宋_GBK"/>
                <w:b/>
                <w:color w:val="000000"/>
                <w:sz w:val="40"/>
                <w:szCs w:val="40"/>
              </w:rPr>
            </w:pPr>
            <w:r>
              <w:rPr>
                <w:rFonts w:hint="eastAsia" w:ascii="方正仿宋_GBK" w:hAnsi="方正仿宋_GBK" w:eastAsia="方正仿宋_GBK" w:cs="方正仿宋_GBK"/>
                <w:b/>
                <w:color w:val="000000"/>
                <w:sz w:val="44"/>
                <w:szCs w:val="44"/>
                <w:lang w:bidi="ar"/>
              </w:rPr>
              <w:t>收入决算表</w:t>
            </w:r>
          </w:p>
        </w:tc>
      </w:tr>
      <w:tr>
        <w:tblPrEx>
          <w:tblCellMar>
            <w:top w:w="0" w:type="dxa"/>
            <w:left w:w="0" w:type="dxa"/>
            <w:bottom w:w="0" w:type="dxa"/>
            <w:right w:w="0" w:type="dxa"/>
          </w:tblCellMar>
        </w:tblPrEx>
        <w:trPr>
          <w:trHeight w:val="328" w:hRule="atLeast"/>
        </w:trPr>
        <w:tc>
          <w:tcPr>
            <w:tcW w:w="5258" w:type="dxa"/>
            <w:gridSpan w:val="2"/>
            <w:vMerge w:val="restart"/>
            <w:tcBorders>
              <w:top w:val="nil"/>
              <w:left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rPr>
              <w:t>公开单位：垫江县砚台镇人民政府（本级）</w:t>
            </w:r>
          </w:p>
        </w:tc>
        <w:tc>
          <w:tcPr>
            <w:tcW w:w="2412"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2399"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1963"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1963"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1963"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1963"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1963"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233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eastAsia" w:ascii="方正仿宋_GBK" w:hAnsi="方正仿宋_GBK" w:eastAsia="方正仿宋_GBK" w:cs="方正仿宋_GBK"/>
                <w:color w:val="000000"/>
              </w:rPr>
            </w:pPr>
            <w:r>
              <w:rPr>
                <w:rFonts w:hint="eastAsia" w:ascii="方正仿宋_GBK" w:hAnsi="方正仿宋_GBK" w:eastAsia="方正仿宋_GBK" w:cs="方正仿宋_GBK"/>
                <w:color w:val="000000"/>
                <w:lang w:bidi="ar"/>
              </w:rPr>
              <w:t>公开02表</w:t>
            </w:r>
          </w:p>
        </w:tc>
      </w:tr>
      <w:tr>
        <w:tblPrEx>
          <w:tblCellMar>
            <w:top w:w="0" w:type="dxa"/>
            <w:left w:w="0" w:type="dxa"/>
            <w:bottom w:w="0" w:type="dxa"/>
            <w:right w:w="0" w:type="dxa"/>
          </w:tblCellMar>
        </w:tblPrEx>
        <w:trPr>
          <w:trHeight w:val="328" w:hRule="atLeast"/>
        </w:trPr>
        <w:tc>
          <w:tcPr>
            <w:tcW w:w="5258" w:type="dxa"/>
            <w:gridSpan w:val="2"/>
            <w:vMerge w:val="continue"/>
            <w:tcBorders>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2412"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2399"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1963"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1963"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1963"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1963"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1963"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233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eastAsia" w:ascii="方正仿宋_GBK" w:hAnsi="方正仿宋_GBK" w:eastAsia="方正仿宋_GBK" w:cs="方正仿宋_GBK"/>
                <w:color w:val="000000"/>
              </w:rPr>
            </w:pPr>
            <w:r>
              <w:rPr>
                <w:rFonts w:hint="eastAsia" w:ascii="方正仿宋_GBK" w:hAnsi="方正仿宋_GBK" w:eastAsia="方正仿宋_GBK" w:cs="方正仿宋_GBK"/>
                <w:color w:val="000000"/>
                <w:lang w:bidi="ar"/>
              </w:rPr>
              <w:t>单位：</w:t>
            </w:r>
            <w:r>
              <w:rPr>
                <w:rFonts w:hint="eastAsia" w:ascii="方正仿宋_GBK" w:hAnsi="方正仿宋_GBK" w:eastAsia="方正仿宋_GBK" w:cs="方正仿宋_GBK"/>
              </w:rPr>
              <w:t>万元</w:t>
            </w:r>
          </w:p>
        </w:tc>
      </w:tr>
      <w:tr>
        <w:tblPrEx>
          <w:tblCellMar>
            <w:top w:w="0" w:type="dxa"/>
            <w:left w:w="0" w:type="dxa"/>
            <w:bottom w:w="0" w:type="dxa"/>
            <w:right w:w="0" w:type="dxa"/>
          </w:tblCellMar>
        </w:tblPrEx>
        <w:trPr>
          <w:trHeight w:val="431" w:hRule="atLeast"/>
        </w:trPr>
        <w:tc>
          <w:tcPr>
            <w:tcW w:w="5258" w:type="dxa"/>
            <w:gridSpan w:val="2"/>
            <w:tcBorders>
              <w:top w:val="single" w:color="000000" w:sz="4" w:space="0"/>
              <w:left w:val="single" w:color="000000" w:sz="4" w:space="0"/>
              <w:bottom w:val="single" w:color="000000" w:sz="4" w:space="0"/>
              <w:right w:val="nil"/>
            </w:tcBorders>
            <w:shd w:val="clear" w:color="auto" w:fill="D0CECE"/>
            <w:tcMar>
              <w:top w:w="15" w:type="dxa"/>
              <w:left w:w="15" w:type="dxa"/>
              <w:right w:w="15" w:type="dxa"/>
            </w:tcMar>
            <w:vAlign w:val="bottom"/>
          </w:tcPr>
          <w:p>
            <w:pPr>
              <w:jc w:val="center"/>
              <w:textAlignment w:val="bottom"/>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项目</w:t>
            </w:r>
          </w:p>
        </w:tc>
        <w:tc>
          <w:tcPr>
            <w:tcW w:w="2412"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本年收入合计</w:t>
            </w:r>
          </w:p>
        </w:tc>
        <w:tc>
          <w:tcPr>
            <w:tcW w:w="239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财政拨款收入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上级补助收入</w:t>
            </w:r>
          </w:p>
        </w:tc>
        <w:tc>
          <w:tcPr>
            <w:tcW w:w="3926"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jc w:val="center"/>
              <w:textAlignment w:val="bottom"/>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事业收入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经营收入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附属单位上缴收入</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其他收入</w:t>
            </w:r>
          </w:p>
        </w:tc>
      </w:tr>
      <w:tr>
        <w:tblPrEx>
          <w:tblCellMar>
            <w:top w:w="0" w:type="dxa"/>
            <w:left w:w="0" w:type="dxa"/>
            <w:bottom w:w="0" w:type="dxa"/>
            <w:right w:w="0" w:type="dxa"/>
          </w:tblCellMar>
        </w:tblPrEx>
        <w:trPr>
          <w:trHeight w:val="334" w:hRule="atLeast"/>
        </w:trPr>
        <w:tc>
          <w:tcPr>
            <w:tcW w:w="1941"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功能分类科目编码</w:t>
            </w:r>
          </w:p>
        </w:tc>
        <w:tc>
          <w:tcPr>
            <w:tcW w:w="3317" w:type="dxa"/>
            <w:vMerge w:val="restart"/>
            <w:tcBorders>
              <w:top w:val="nil"/>
              <w:left w:val="nil"/>
              <w:bottom w:val="single" w:color="000000" w:sz="4" w:space="0"/>
              <w:right w:val="nil"/>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项目（按“项”级功能分类科目）</w:t>
            </w: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小计</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其中：教育收费</w:t>
            </w: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r>
      <w:tr>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3317"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r>
      <w:tr>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3317"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r>
      <w:tr>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3317"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r>
      <w:tr>
        <w:tblPrEx>
          <w:tblCellMar>
            <w:top w:w="0" w:type="dxa"/>
            <w:left w:w="0" w:type="dxa"/>
            <w:bottom w:w="0" w:type="dxa"/>
            <w:right w:w="0" w:type="dxa"/>
          </w:tblCellMar>
        </w:tblPrEx>
        <w:trPr>
          <w:trHeight w:val="338" w:hRule="atLeast"/>
        </w:trPr>
        <w:tc>
          <w:tcPr>
            <w:tcW w:w="5258"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合计</w:t>
            </w:r>
          </w:p>
        </w:tc>
        <w:tc>
          <w:tcPr>
            <w:tcW w:w="24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bCs/>
                <w:color w:val="000000"/>
                <w:sz w:val="21"/>
                <w:szCs w:val="21"/>
                <w:lang w:bidi="ar"/>
              </w:rPr>
              <w:t xml:space="preserve">3,592.33 </w:t>
            </w:r>
          </w:p>
        </w:tc>
        <w:tc>
          <w:tcPr>
            <w:tcW w:w="23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bCs/>
                <w:color w:val="000000"/>
                <w:sz w:val="21"/>
                <w:szCs w:val="21"/>
                <w:lang w:bidi="ar"/>
              </w:rPr>
              <w:t xml:space="preserve">3,592.33 </w:t>
            </w:r>
          </w:p>
        </w:tc>
        <w:tc>
          <w:tcPr>
            <w:tcW w:w="1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bCs/>
                <w:color w:val="000000"/>
                <w:sz w:val="21"/>
                <w:szCs w:val="21"/>
                <w:lang w:bidi="ar"/>
              </w:rPr>
              <w:t xml:space="preserve"> </w:t>
            </w:r>
          </w:p>
        </w:tc>
        <w:tc>
          <w:tcPr>
            <w:tcW w:w="23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bCs/>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一般公共服务支出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1,130.22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1,130.22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20101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人大事务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154.28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154.28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2010102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148.21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148.21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2010108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代表工作</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4.57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4.57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2010199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其他人大事务支出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1.50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1.50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20103</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政府办公厅（室）及相关机构事务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794.03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794.03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2010301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行政运行</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632.80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632.80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2010302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161.22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161.22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20105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统计信息事务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3.35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3.35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2010507</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专项普查活动</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3.35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3.35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20113</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商贸事务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64.40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64.40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2011302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11.94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11.94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2011308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招商引资</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52.46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52.46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20131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党委办公厅（室）及相关机构事务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10.30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10.30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2013102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2.30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2.30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2013199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其他党委办公厅（室）及相关机构事务支出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8.00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8.00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20132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组织事务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10.10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10.10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2013202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10.10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10.10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20134</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统战事务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3.60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3.60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2013402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3.60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3.60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20136</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其他共产党事务支出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88.18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88.18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2013699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其他共产党事务支出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88.18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88.18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20138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市场监督管理事务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2.00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2.00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2013816</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食品安全监管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2.00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2.00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204</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公共安全支出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15.10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15.10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20402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公安</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7.15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7.15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2040299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其他公安支出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7.15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7.15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20499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其他公共安全支出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7.95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7.95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2049999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其他公共安全支出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7.95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7.95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207</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文化旅游体育与传媒支出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2.12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2.12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20701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文化和旅游</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2.12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2.12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2070199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其他文化和旅游支出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2.12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2.12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社会保障和就业支出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220.99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220.99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20805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181.68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181.68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2080505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机关事业单位基本养老保险缴费支出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79.64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79.64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2080506</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机关事业单位职业年金缴费支出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30.19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30.19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2080599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71.86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71.86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20809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退役安置</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0.40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0.40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2080999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其他退役安置支出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0.40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0.40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20810</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社会福利</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24.60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24.60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2081006</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养老服务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24.60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24.60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20811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残疾人事业</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5.83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5.83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2081105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残疾人就业</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2081199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其他残疾人事业支出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4.83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4.83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20828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退役军人管理事务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8.48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8.48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2082899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其他退役军人事务管理支出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8.48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8.48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210</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卫生健康支出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44.98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44.98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21004</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公共卫生</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1.12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1.12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2100410</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突发公共卫生事件应急处理</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1.12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1.12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21007</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计划生育事务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0.13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0.13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2100799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其他计划生育事务支出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0.13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0.13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21011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行政事业单位医疗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41.80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41.80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2101101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行政单位医疗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41.80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41.80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21014</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优抚对象医疗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1.93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1.93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2101401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优抚对象医疗补助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1.93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1.93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城乡社区支出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882.90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882.90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21203</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城乡社区公共设施</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55.00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55.00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2120303</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小城镇基础设施建设</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55.00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55.00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21205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城乡社区环境卫生</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27.22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27.22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2120501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城乡社区环境卫生</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27.22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27.22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21208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国有土地使用权出让收入安排的支出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800.68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800.68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2120899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其他国有土地使用权出让收入安排的支出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800.68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800.68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213</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农林水支出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805.34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805.34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21301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农业农村</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22.30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22.30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2130108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病虫害控制</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1.50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1.50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2130135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农业资源保护修复与利用</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18.30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18.30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2130148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渔业发展</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2.50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2.50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21302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林业和草原</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10.00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2130205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森林资源培育</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10.00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21305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巩固脱贫攻坚成果衔接乡村振兴</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19.30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19.30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2130599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其他巩固脱贫攻坚成果衔接乡村振兴支出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19.30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19.30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21307</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农村综合改革</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753.74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753.74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2130701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对村级公益事业建设的补助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233.00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233.00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2130705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对村民委员会和村党支部的补助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520.74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520.74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214</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交通运输支出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272.42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272.42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21401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公路水路运输</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63.11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63.11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2140104</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公路建设</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63.11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63.11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21406</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车辆购置税支出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209.31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209.31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2140601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车辆购置税用于公路等基础设施建设支出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209.31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209.31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资源勘探工业信息等支出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45.20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45.20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21508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支持中小企业发展和管理支出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45.20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45.20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2150899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其他支持中小企业发展和管理支出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45.20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45.20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221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住房保障支出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57.21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57.21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22101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保障性安居工程支出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15.45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15.45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2210105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农村危房改造</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15.45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15.45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22102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住房改革支出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41.76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41.76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2210201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住房公积金</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41.76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41.76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223</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国有资本经营预算支出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0.04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0.04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22301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解决历史遗留问题及改革成本支出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0.04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0.04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2230105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国有企业退休人员社会化管理补助支出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0.04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0.04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224</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灾害防治及应急管理支出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12.50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12.50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22401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应急管理事务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3.00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3.00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2240108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应急救援</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3.00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3.00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22406</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自然灾害防治</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2.00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2.00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2240601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地质灾害防治</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2.00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2.00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22407</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自然灾害救灾及恢复重建支出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7.50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7.50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2240703</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自然灾害救灾补助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7.50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7.50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229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其他支出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103.31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103.31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22960</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彩票公益金安排的支出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103.31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103.31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2296099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用于其他社会公益事业的彩票公益金支出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103.31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103.31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bl>
    <w:p>
      <w:pPr>
        <w:ind w:left="630" w:hanging="630" w:hangingChars="300"/>
        <w:rPr>
          <w:rFonts w:hint="eastAsia" w:ascii="方正仿宋_GBK" w:hAnsi="方正仿宋_GBK" w:eastAsia="方正仿宋_GBK" w:cs="方正仿宋_GBK"/>
          <w:sz w:val="21"/>
          <w:szCs w:val="21"/>
          <w:lang w:bidi="ar"/>
        </w:rPr>
      </w:pPr>
      <w:r>
        <w:rPr>
          <w:rFonts w:hint="eastAsia" w:ascii="方正仿宋_GBK" w:hAnsi="方正仿宋_GBK" w:eastAsia="方正仿宋_GBK" w:cs="方正仿宋_GBK"/>
          <w:sz w:val="21"/>
          <w:szCs w:val="21"/>
          <w:lang w:bidi="ar"/>
        </w:rPr>
        <w:t>备注：1.本表反映单位本年度取得的各项收入情况。</w:t>
      </w:r>
    </w:p>
    <w:p>
      <w:pPr>
        <w:ind w:left="630" w:hanging="630" w:hangingChars="300"/>
        <w:rPr>
          <w:rFonts w:hint="eastAsia" w:ascii="方正仿宋_GBK" w:hAnsi="方正仿宋_GBK" w:eastAsia="方正仿宋_GBK" w:cs="方正仿宋_GBK"/>
          <w:sz w:val="21"/>
          <w:szCs w:val="21"/>
          <w:lang w:bidi="ar"/>
        </w:rPr>
      </w:pPr>
      <w:r>
        <w:rPr>
          <w:rFonts w:hint="eastAsia" w:ascii="方正仿宋_GBK" w:hAnsi="方正仿宋_GBK" w:eastAsia="方正仿宋_GBK" w:cs="方正仿宋_GBK"/>
          <w:sz w:val="21"/>
          <w:szCs w:val="21"/>
          <w:lang w:bidi="ar"/>
        </w:rPr>
        <w:t>2.本套报表金额单位转换时可能存在尾数误差。</w:t>
      </w:r>
    </w:p>
    <w:p>
      <w:pPr>
        <w:ind w:left="630" w:hanging="630" w:hangingChars="300"/>
        <w:rPr>
          <w:rFonts w:hint="eastAsia" w:ascii="方正仿宋_GBK" w:hAnsi="方正仿宋_GBK" w:eastAsia="方正仿宋_GBK" w:cs="方正仿宋_GBK"/>
          <w:sz w:val="21"/>
          <w:szCs w:val="21"/>
          <w:lang w:bidi="ar"/>
        </w:rPr>
      </w:pPr>
    </w:p>
    <w:p>
      <w:pPr>
        <w:ind w:left="630" w:hanging="630" w:hangingChars="300"/>
        <w:rPr>
          <w:rFonts w:hint="eastAsia" w:ascii="方正仿宋_GBK" w:hAnsi="方正仿宋_GBK" w:eastAsia="方正仿宋_GBK" w:cs="方正仿宋_GBK"/>
          <w:sz w:val="21"/>
          <w:szCs w:val="21"/>
          <w:lang w:bidi="ar"/>
        </w:rPr>
      </w:pPr>
    </w:p>
    <w:p>
      <w:pPr>
        <w:rPr>
          <w:rFonts w:hint="eastAsia" w:ascii="方正仿宋_GBK" w:hAnsi="方正仿宋_GBK" w:eastAsia="方正仿宋_GBK" w:cs="方正仿宋_GBK"/>
          <w:sz w:val="21"/>
          <w:szCs w:val="21"/>
          <w:lang w:bidi="ar"/>
        </w:rPr>
      </w:pPr>
      <w:r>
        <w:rPr>
          <w:rFonts w:hint="eastAsia" w:ascii="方正仿宋_GBK" w:hAnsi="方正仿宋_GBK" w:eastAsia="方正仿宋_GBK" w:cs="方正仿宋_GBK"/>
          <w:sz w:val="21"/>
          <w:szCs w:val="21"/>
          <w:lang w:bidi="ar"/>
        </w:rPr>
        <w:br w:type="page"/>
      </w:r>
    </w:p>
    <w:p>
      <w:pPr>
        <w:ind w:left="630" w:hanging="630" w:hangingChars="300"/>
        <w:rPr>
          <w:rFonts w:hint="eastAsia" w:ascii="方正仿宋_GBK" w:hAnsi="方正仿宋_GBK" w:eastAsia="方正仿宋_GBK" w:cs="方正仿宋_GBK"/>
          <w:sz w:val="21"/>
          <w:szCs w:val="21"/>
          <w:lang w:bidi="ar"/>
        </w:rPr>
      </w:pPr>
    </w:p>
    <w:tbl>
      <w:tblPr>
        <w:tblStyle w:val="7"/>
        <w:tblW w:w="22180" w:type="dxa"/>
        <w:tblInd w:w="0" w:type="dxa"/>
        <w:tblLayout w:type="fixed"/>
        <w:tblCellMar>
          <w:top w:w="0" w:type="dxa"/>
          <w:left w:w="0" w:type="dxa"/>
          <w:bottom w:w="0" w:type="dxa"/>
          <w:right w:w="0" w:type="dxa"/>
        </w:tblCellMar>
      </w:tblPr>
      <w:tblGrid>
        <w:gridCol w:w="2082"/>
        <w:gridCol w:w="3528"/>
        <w:gridCol w:w="2760"/>
        <w:gridCol w:w="2760"/>
        <w:gridCol w:w="2760"/>
        <w:gridCol w:w="2760"/>
        <w:gridCol w:w="2760"/>
        <w:gridCol w:w="2770"/>
      </w:tblGrid>
      <w:tr>
        <w:tblPrEx>
          <w:tblCellMar>
            <w:top w:w="0" w:type="dxa"/>
            <w:left w:w="0" w:type="dxa"/>
            <w:bottom w:w="0" w:type="dxa"/>
            <w:right w:w="0" w:type="dxa"/>
          </w:tblCellMar>
        </w:tblPrEx>
        <w:trPr>
          <w:trHeight w:val="654" w:hRule="atLeast"/>
        </w:trPr>
        <w:tc>
          <w:tcPr>
            <w:tcW w:w="22180"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eastAsia" w:ascii="方正仿宋_GBK" w:hAnsi="方正仿宋_GBK" w:eastAsia="方正仿宋_GBK" w:cs="方正仿宋_GBK"/>
                <w:b/>
                <w:color w:val="000000"/>
                <w:sz w:val="40"/>
                <w:szCs w:val="40"/>
              </w:rPr>
            </w:pPr>
            <w:r>
              <w:rPr>
                <w:rFonts w:hint="eastAsia" w:ascii="方正仿宋_GBK" w:hAnsi="方正仿宋_GBK" w:eastAsia="方正仿宋_GBK" w:cs="方正仿宋_GBK"/>
                <w:b/>
                <w:color w:val="000000"/>
                <w:sz w:val="44"/>
                <w:szCs w:val="44"/>
                <w:lang w:bidi="ar"/>
              </w:rPr>
              <w:t>支出决算表</w:t>
            </w:r>
          </w:p>
        </w:tc>
      </w:tr>
      <w:tr>
        <w:tblPrEx>
          <w:tblCellMar>
            <w:top w:w="0" w:type="dxa"/>
            <w:left w:w="0" w:type="dxa"/>
            <w:bottom w:w="0" w:type="dxa"/>
            <w:right w:w="0" w:type="dxa"/>
          </w:tblCellMar>
        </w:tblPrEx>
        <w:trPr>
          <w:trHeight w:val="342" w:hRule="atLeast"/>
        </w:trPr>
        <w:tc>
          <w:tcPr>
            <w:tcW w:w="5610" w:type="dxa"/>
            <w:gridSpan w:val="2"/>
            <w:vMerge w:val="restart"/>
            <w:tcBorders>
              <w:top w:val="nil"/>
              <w:left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rPr>
              <w:t>公开单位</w:t>
            </w:r>
            <w:r>
              <w:rPr>
                <w:rFonts w:hint="eastAsia" w:ascii="方正仿宋_GBK" w:hAnsi="方正仿宋_GBK" w:eastAsia="方正仿宋_GBK" w:cs="方正仿宋_GBK"/>
                <w:color w:val="000000"/>
                <w:lang w:bidi="ar"/>
              </w:rPr>
              <w:t xml:space="preserve">： </w:t>
            </w:r>
            <w:r>
              <w:rPr>
                <w:rFonts w:hint="eastAsia" w:ascii="方正仿宋_GBK" w:hAnsi="方正仿宋_GBK" w:eastAsia="方正仿宋_GBK" w:cs="方正仿宋_GBK"/>
                <w:color w:val="000000"/>
              </w:rPr>
              <w:t xml:space="preserve">垫江县砚台镇人民政府（本级） </w:t>
            </w:r>
          </w:p>
        </w:tc>
        <w:tc>
          <w:tcPr>
            <w:tcW w:w="2760"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2760"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2760"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2760"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2760"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2770"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eastAsia" w:ascii="方正仿宋_GBK" w:hAnsi="方正仿宋_GBK" w:eastAsia="方正仿宋_GBK" w:cs="方正仿宋_GBK"/>
                <w:color w:val="000000"/>
              </w:rPr>
            </w:pPr>
            <w:r>
              <w:rPr>
                <w:rFonts w:hint="eastAsia" w:ascii="方正仿宋_GBK" w:hAnsi="方正仿宋_GBK" w:eastAsia="方正仿宋_GBK" w:cs="方正仿宋_GBK"/>
                <w:color w:val="000000"/>
                <w:lang w:bidi="ar"/>
              </w:rPr>
              <w:t>公开03表</w:t>
            </w:r>
          </w:p>
        </w:tc>
      </w:tr>
      <w:tr>
        <w:tblPrEx>
          <w:tblCellMar>
            <w:top w:w="0" w:type="dxa"/>
            <w:left w:w="0" w:type="dxa"/>
            <w:bottom w:w="0" w:type="dxa"/>
            <w:right w:w="0" w:type="dxa"/>
          </w:tblCellMar>
        </w:tblPrEx>
        <w:trPr>
          <w:trHeight w:val="342" w:hRule="atLeast"/>
        </w:trPr>
        <w:tc>
          <w:tcPr>
            <w:tcW w:w="5610" w:type="dxa"/>
            <w:gridSpan w:val="2"/>
            <w:vMerge w:val="continue"/>
            <w:tcBorders>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2760"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2760"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2760"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2760"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2760"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2770"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eastAsia" w:ascii="方正仿宋_GBK" w:hAnsi="方正仿宋_GBK" w:eastAsia="方正仿宋_GBK" w:cs="方正仿宋_GBK"/>
                <w:color w:val="000000"/>
              </w:rPr>
            </w:pPr>
            <w:r>
              <w:rPr>
                <w:rFonts w:hint="eastAsia" w:ascii="方正仿宋_GBK" w:hAnsi="方正仿宋_GBK" w:eastAsia="方正仿宋_GBK" w:cs="方正仿宋_GBK"/>
                <w:color w:val="000000"/>
                <w:lang w:bidi="ar"/>
              </w:rPr>
              <w:t>单位：</w:t>
            </w:r>
            <w:r>
              <w:rPr>
                <w:rFonts w:hint="eastAsia" w:ascii="方正仿宋_GBK" w:hAnsi="方正仿宋_GBK" w:eastAsia="方正仿宋_GBK" w:cs="方正仿宋_GBK"/>
              </w:rPr>
              <w:t>万元</w:t>
            </w:r>
          </w:p>
        </w:tc>
      </w:tr>
      <w:tr>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jc w:val="center"/>
              <w:textAlignment w:val="bottom"/>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项目</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本年支出合计</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基本支出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项目支出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上缴上级支出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经营支出</w:t>
            </w:r>
          </w:p>
        </w:tc>
        <w:tc>
          <w:tcPr>
            <w:tcW w:w="277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对附属单位补助支出</w:t>
            </w:r>
          </w:p>
        </w:tc>
      </w:tr>
      <w:tr>
        <w:tblPrEx>
          <w:tblCellMar>
            <w:top w:w="0" w:type="dxa"/>
            <w:left w:w="0" w:type="dxa"/>
            <w:bottom w:w="0" w:type="dxa"/>
            <w:right w:w="0" w:type="dxa"/>
          </w:tblCellMar>
        </w:tblPrEx>
        <w:trPr>
          <w:trHeight w:val="338" w:hRule="atLeast"/>
        </w:trPr>
        <w:tc>
          <w:tcPr>
            <w:tcW w:w="208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功能分类科目编码</w:t>
            </w:r>
          </w:p>
        </w:tc>
        <w:tc>
          <w:tcPr>
            <w:tcW w:w="3528" w:type="dxa"/>
            <w:vMerge w:val="restart"/>
            <w:tcBorders>
              <w:top w:val="nil"/>
              <w:left w:val="nil"/>
              <w:bottom w:val="single" w:color="000000" w:sz="4" w:space="0"/>
              <w:right w:val="nil"/>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项目（按“项”级功能分类科目）</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r>
      <w:tr>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3528"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r>
      <w:tr>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3528"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r>
      <w:tr>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3528"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r>
      <w:tr>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合计</w:t>
            </w:r>
          </w:p>
        </w:tc>
        <w:tc>
          <w:tcPr>
            <w:tcW w:w="27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bCs/>
                <w:color w:val="000000"/>
                <w:sz w:val="21"/>
                <w:szCs w:val="21"/>
                <w:lang w:bidi="ar"/>
              </w:rPr>
              <w:t xml:space="preserve">3,630.84 </w:t>
            </w:r>
          </w:p>
        </w:tc>
        <w:tc>
          <w:tcPr>
            <w:tcW w:w="27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bCs/>
                <w:color w:val="000000"/>
                <w:sz w:val="21"/>
                <w:szCs w:val="21"/>
                <w:lang w:bidi="ar"/>
              </w:rPr>
              <w:t xml:space="preserve">1,300.43 </w:t>
            </w:r>
          </w:p>
        </w:tc>
        <w:tc>
          <w:tcPr>
            <w:tcW w:w="27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bCs/>
                <w:color w:val="000000"/>
                <w:sz w:val="21"/>
                <w:szCs w:val="21"/>
                <w:lang w:bidi="ar"/>
              </w:rPr>
              <w:t xml:space="preserve">2,330.41 </w:t>
            </w:r>
          </w:p>
        </w:tc>
        <w:tc>
          <w:tcPr>
            <w:tcW w:w="27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bCs/>
                <w:color w:val="000000"/>
                <w:sz w:val="21"/>
                <w:szCs w:val="21"/>
                <w:lang w:bidi="ar"/>
              </w:rPr>
              <w:t xml:space="preserve"> </w:t>
            </w:r>
          </w:p>
        </w:tc>
        <w:tc>
          <w:tcPr>
            <w:tcW w:w="27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bCs/>
                <w:color w:val="000000"/>
                <w:sz w:val="21"/>
                <w:szCs w:val="21"/>
                <w:lang w:bidi="ar"/>
              </w:rPr>
              <w:t xml:space="preserve"> </w:t>
            </w:r>
          </w:p>
        </w:tc>
        <w:tc>
          <w:tcPr>
            <w:tcW w:w="27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bCs/>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一般公共服务支出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1,130.22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632.80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497.42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20101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人大事务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154.28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154.28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2010102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148.21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148.21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2010108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代表工作</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4.57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4.57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2010199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其他人大事务支出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20103</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政府办公厅（室）及相关机构事务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794.03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632.80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161.22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2010301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行政运行</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632.80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632.80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2010302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161.22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161.22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20105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统计信息事务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3.35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3.35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2010507</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专项普查活动</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3.35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3.35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20113</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商贸事务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64.40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64.40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2011302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11.94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11.94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2011308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招商引资</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52.46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52.46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20131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党委办公厅（室）及相关机构事务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10.30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10.30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2013102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2.30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2.30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2013199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其他党委办公厅（室）及相关机构事务支出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8.00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8.00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20132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组织事务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10.10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10.10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2013202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10.10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10.10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20134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统战事务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3.60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3.60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2013402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3.60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3.60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20136</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其他共产党事务支出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88.18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88.18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2013699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其他共产党事务支出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88.18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88.18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20138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市场监督管理事务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2.00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2.00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2013816</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食品安全监管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2.00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2.00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公共安全支出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15.10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15.10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20402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公安</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7.15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7.15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2040299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其他公安支出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7.15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7.15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20499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其他公共安全支出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7.95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7.95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2049999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其他公共安全支出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7.95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7.95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207</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文化旅游体育与传媒支出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2.12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2.12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20701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文化和旅游</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2.12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2.12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2070199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其他文化和旅游支出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2.12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2.12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社会保障和就业支出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223.87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181.68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42.19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20805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181.68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181.68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2080505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机关事业单位基本养老保险缴费支出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79.64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79.64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2080506</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机关事业单位职业年金缴费支出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30.19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30.19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2080599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71.86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71.86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20809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退役安置</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0.40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0.40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2080999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其他退役安置支出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0.40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0.40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20810</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社会福利</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24.60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24.60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2081006</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养老服务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24.60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24.60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20811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残疾人事业</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5.83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5.83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2081105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残疾人就业</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2081199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其他残疾人事业支出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4.83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4.83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20828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退役军人管理事务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11.36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11.36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2082899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其他退役军人事务管理支出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11.36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11.36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210</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卫生健康支出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44.98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41.80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3.18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21004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公共卫生</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1.12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1.12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2100410</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突发公共卫生事件应急处理</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1.12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1.12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21007</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计划生育事务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0.13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0.13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2100799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其他计划生育事务支出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0.13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0.13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21011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行政事业单位医疗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41.80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41.80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2101101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行政单位医疗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41.80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41.80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21014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优抚对象医疗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1.93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1.93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2101401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优抚对象医疗补助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1.93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1.93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城乡社区支出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882.90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882.90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21203</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城乡社区公共设施</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55.00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55.00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2120303</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小城镇基础设施建设</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55.00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55.00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21205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城乡社区环境卫生</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27.22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27.22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2120501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城乡社区环境卫生</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27.22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27.22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21208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国有土地使用权出让收入安排的支出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800.68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800.68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2120899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其他国有土地使用权出让收入安排的支出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800.68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800.68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213</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农林水支出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825.07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402.39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422.68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21301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农业农村</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29.80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29.80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2130108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病虫害控制</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2130135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农业资源保护修复与利用</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18.30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18.30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2130148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渔业发展</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21302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林业和草原</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21.78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21.78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2130205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森林资源培育</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21.78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21.78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21303</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水利</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0.45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0.45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2130316</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农村水利</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0.45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0.45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21305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巩固脱贫攻坚成果衔接乡村振兴</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19.30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19.30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2130599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其他巩固脱贫攻坚成果衔接乡村振兴支出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19.30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19.30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21307</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农村综合改革</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753.74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402.39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351.35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2130701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对村级公益事业建设的补助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233.00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233.00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2130705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对村民委员会和村党支部的补助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520.74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402.39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118.35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交通运输支出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288.33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288.33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21401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公路水路运输</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79.02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79.02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2140104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公路建设</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63.11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63.11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2140106</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公路养护</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15.91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15.91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21406</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车辆购置税支出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209.31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209.31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2140601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车辆购置税用于公路等基础设施建设支出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209.31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209.31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资源勘探工业信息等支出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45.20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45.20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21508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支持中小企业发展和管理支出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45.20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45.20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2150899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其他支持中小企业发展和管理支出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45.20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45.20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221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住房保障支出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57.21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41.76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15.45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22101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保障性安居工程支出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15.45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15.45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2210105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农村危房改造</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15.45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15.45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22102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住房改革支出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41.76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41.76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2210201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住房公积金</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41.76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41.76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223</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国有资本经营预算支出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0.04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0.04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22301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解决历史遗留问题及改革成本支出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0.04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0.04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2230105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国有企业退休人员社会化管理补助支出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0.04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0.04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224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灾害防治及应急管理支出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12.50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12.50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22401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应急管理事务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3.00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3.00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2240108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应急救援</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3.00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3.00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22406</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自然灾害防治</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2.00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2.00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2240601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地质灾害防治</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2.00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2.00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22407</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自然灾害救灾及恢复重建支出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7.50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7.50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2240703</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自然灾害救灾补助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7.50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7.50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229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其他支出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103.31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103.31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22960</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彩票公益金安排的支出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103.31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103.31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2296099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用于其他社会公益事业的彩票公益金支出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103.31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103.31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bl>
    <w:p>
      <w:pPr>
        <w:rPr>
          <w:rFonts w:hint="eastAsia" w:ascii="方正仿宋_GBK" w:hAnsi="方正仿宋_GBK" w:eastAsia="方正仿宋_GBK" w:cs="方正仿宋_GBK"/>
          <w:sz w:val="21"/>
          <w:szCs w:val="21"/>
          <w:lang w:bidi="ar"/>
        </w:rPr>
      </w:pPr>
      <w:r>
        <w:rPr>
          <w:rFonts w:hint="eastAsia" w:ascii="方正仿宋_GBK" w:hAnsi="方正仿宋_GBK" w:eastAsia="方正仿宋_GBK" w:cs="方正仿宋_GBK"/>
          <w:sz w:val="21"/>
          <w:szCs w:val="21"/>
          <w:lang w:bidi="ar"/>
        </w:rPr>
        <w:t>备注：1.本表反映单位本年度各项支出情况。</w:t>
      </w:r>
    </w:p>
    <w:p>
      <w:pPr>
        <w:rPr>
          <w:rFonts w:hint="eastAsia" w:ascii="方正仿宋_GBK" w:hAnsi="方正仿宋_GBK" w:eastAsia="方正仿宋_GBK" w:cs="方正仿宋_GBK"/>
          <w:sz w:val="21"/>
          <w:szCs w:val="21"/>
          <w:lang w:bidi="ar"/>
        </w:rPr>
      </w:pPr>
      <w:r>
        <w:rPr>
          <w:rFonts w:hint="eastAsia" w:ascii="方正仿宋_GBK" w:hAnsi="方正仿宋_GBK" w:eastAsia="方正仿宋_GBK" w:cs="方正仿宋_GBK"/>
          <w:sz w:val="21"/>
          <w:szCs w:val="21"/>
          <w:lang w:bidi="ar"/>
        </w:rPr>
        <w:t xml:space="preserve">      2.本套报表金额单位转换时可能存在尾数误差。</w:t>
      </w:r>
    </w:p>
    <w:p>
      <w:pPr>
        <w:rPr>
          <w:rFonts w:hint="eastAsia" w:ascii="方正仿宋_GBK" w:hAnsi="方正仿宋_GBK" w:eastAsia="方正仿宋_GBK" w:cs="方正仿宋_GBK"/>
          <w:sz w:val="21"/>
          <w:szCs w:val="21"/>
          <w:lang w:bidi="ar"/>
        </w:rPr>
      </w:pPr>
    </w:p>
    <w:p>
      <w:pPr>
        <w:rPr>
          <w:rFonts w:hint="eastAsia" w:ascii="方正仿宋_GBK" w:hAnsi="方正仿宋_GBK" w:eastAsia="方正仿宋_GBK" w:cs="方正仿宋_GBK"/>
          <w:sz w:val="21"/>
          <w:szCs w:val="21"/>
          <w:lang w:bidi="ar"/>
        </w:rPr>
      </w:pPr>
    </w:p>
    <w:p>
      <w:pPr>
        <w:rPr>
          <w:rFonts w:hint="eastAsia" w:ascii="方正仿宋_GBK" w:hAnsi="方正仿宋_GBK" w:eastAsia="方正仿宋_GBK" w:cs="方正仿宋_GBK"/>
          <w:sz w:val="21"/>
          <w:szCs w:val="21"/>
          <w:lang w:bidi="ar"/>
        </w:rPr>
      </w:pPr>
      <w:r>
        <w:rPr>
          <w:rFonts w:hint="eastAsia" w:ascii="方正仿宋_GBK" w:hAnsi="方正仿宋_GBK" w:eastAsia="方正仿宋_GBK" w:cs="方正仿宋_GBK"/>
          <w:sz w:val="21"/>
          <w:szCs w:val="21"/>
          <w:lang w:bidi="ar"/>
        </w:rPr>
        <w:br w:type="page"/>
      </w:r>
    </w:p>
    <w:p>
      <w:pPr>
        <w:rPr>
          <w:rFonts w:hint="eastAsia" w:ascii="方正仿宋_GBK" w:hAnsi="方正仿宋_GBK" w:eastAsia="方正仿宋_GBK" w:cs="方正仿宋_GBK"/>
          <w:sz w:val="21"/>
          <w:szCs w:val="21"/>
          <w:lang w:bidi="ar"/>
        </w:rPr>
      </w:pPr>
    </w:p>
    <w:tbl>
      <w:tblPr>
        <w:tblStyle w:val="7"/>
        <w:tblW w:w="22360" w:type="dxa"/>
        <w:tblInd w:w="0" w:type="dxa"/>
        <w:tblLayout w:type="fixed"/>
        <w:tblCellMar>
          <w:top w:w="0" w:type="dxa"/>
          <w:left w:w="0" w:type="dxa"/>
          <w:bottom w:w="0" w:type="dxa"/>
          <w:right w:w="0" w:type="dxa"/>
        </w:tblCellMar>
      </w:tblPr>
      <w:tblGrid>
        <w:gridCol w:w="4068"/>
        <w:gridCol w:w="2674"/>
        <w:gridCol w:w="3752"/>
        <w:gridCol w:w="2952"/>
        <w:gridCol w:w="2952"/>
        <w:gridCol w:w="2952"/>
        <w:gridCol w:w="3010"/>
      </w:tblGrid>
      <w:tr>
        <w:tblPrEx>
          <w:tblCellMar>
            <w:top w:w="0" w:type="dxa"/>
            <w:left w:w="0" w:type="dxa"/>
            <w:bottom w:w="0" w:type="dxa"/>
            <w:right w:w="0" w:type="dxa"/>
          </w:tblCellMar>
        </w:tblPrEx>
        <w:trPr>
          <w:trHeight w:val="90" w:hRule="atLeast"/>
        </w:trPr>
        <w:tc>
          <w:tcPr>
            <w:tcW w:w="22360"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eastAsia" w:ascii="方正仿宋_GBK" w:hAnsi="方正仿宋_GBK" w:eastAsia="方正仿宋_GBK" w:cs="方正仿宋_GBK"/>
                <w:b/>
                <w:color w:val="000000"/>
                <w:sz w:val="40"/>
                <w:szCs w:val="40"/>
              </w:rPr>
            </w:pPr>
            <w:r>
              <w:rPr>
                <w:rFonts w:hint="eastAsia" w:ascii="方正仿宋_GBK" w:hAnsi="方正仿宋_GBK" w:eastAsia="方正仿宋_GBK" w:cs="方正仿宋_GBK"/>
                <w:b/>
                <w:color w:val="000000"/>
                <w:sz w:val="44"/>
                <w:szCs w:val="44"/>
                <w:lang w:bidi="ar"/>
              </w:rPr>
              <w:t>财政拨款收入支出决算总表</w:t>
            </w:r>
          </w:p>
        </w:tc>
      </w:tr>
      <w:tr>
        <w:tblPrEx>
          <w:tblCellMar>
            <w:top w:w="0" w:type="dxa"/>
            <w:left w:w="0" w:type="dxa"/>
            <w:bottom w:w="0" w:type="dxa"/>
            <w:right w:w="0" w:type="dxa"/>
          </w:tblCellMar>
        </w:tblPrEx>
        <w:trPr>
          <w:trHeight w:val="90" w:hRule="atLeast"/>
        </w:trPr>
        <w:tc>
          <w:tcPr>
            <w:tcW w:w="6742" w:type="dxa"/>
            <w:gridSpan w:val="2"/>
            <w:vMerge w:val="restart"/>
            <w:tcBorders>
              <w:top w:val="nil"/>
              <w:left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rPr>
              <w:t>公开单位</w:t>
            </w:r>
            <w:r>
              <w:rPr>
                <w:rFonts w:hint="eastAsia" w:ascii="方正仿宋_GBK" w:hAnsi="方正仿宋_GBK" w:eastAsia="方正仿宋_GBK" w:cs="方正仿宋_GBK"/>
                <w:color w:val="000000"/>
                <w:lang w:bidi="ar"/>
              </w:rPr>
              <w:t xml:space="preserve">： </w:t>
            </w:r>
            <w:r>
              <w:rPr>
                <w:rFonts w:hint="eastAsia" w:ascii="方正仿宋_GBK" w:hAnsi="方正仿宋_GBK" w:eastAsia="方正仿宋_GBK" w:cs="方正仿宋_GBK"/>
                <w:color w:val="000000"/>
              </w:rPr>
              <w:t>垫江县砚台镇人民政府（本级）</w:t>
            </w:r>
          </w:p>
        </w:tc>
        <w:tc>
          <w:tcPr>
            <w:tcW w:w="3752"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2952"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2952"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2952"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3010"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eastAsia" w:ascii="方正仿宋_GBK" w:hAnsi="方正仿宋_GBK" w:eastAsia="方正仿宋_GBK" w:cs="方正仿宋_GBK"/>
                <w:color w:val="000000"/>
              </w:rPr>
            </w:pPr>
            <w:r>
              <w:rPr>
                <w:rFonts w:hint="eastAsia" w:ascii="方正仿宋_GBK" w:hAnsi="方正仿宋_GBK" w:eastAsia="方正仿宋_GBK" w:cs="方正仿宋_GBK"/>
                <w:color w:val="000000"/>
                <w:lang w:bidi="ar"/>
              </w:rPr>
              <w:t>公开04表</w:t>
            </w:r>
          </w:p>
        </w:tc>
      </w:tr>
      <w:tr>
        <w:tblPrEx>
          <w:tblCellMar>
            <w:top w:w="0" w:type="dxa"/>
            <w:left w:w="0" w:type="dxa"/>
            <w:bottom w:w="0" w:type="dxa"/>
            <w:right w:w="0" w:type="dxa"/>
          </w:tblCellMar>
        </w:tblPrEx>
        <w:trPr>
          <w:trHeight w:val="90" w:hRule="atLeast"/>
        </w:trPr>
        <w:tc>
          <w:tcPr>
            <w:tcW w:w="6742" w:type="dxa"/>
            <w:gridSpan w:val="2"/>
            <w:vMerge w:val="continue"/>
            <w:tcBorders>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3752"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2952"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2952"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2952"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3010"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eastAsia" w:ascii="方正仿宋_GBK" w:hAnsi="方正仿宋_GBK" w:eastAsia="方正仿宋_GBK" w:cs="方正仿宋_GBK"/>
                <w:color w:val="000000"/>
              </w:rPr>
            </w:pPr>
            <w:r>
              <w:rPr>
                <w:rFonts w:hint="eastAsia" w:ascii="方正仿宋_GBK" w:hAnsi="方正仿宋_GBK" w:eastAsia="方正仿宋_GBK" w:cs="方正仿宋_GBK"/>
                <w:color w:val="000000"/>
                <w:lang w:bidi="ar"/>
              </w:rPr>
              <w:t>单位：</w:t>
            </w:r>
            <w:r>
              <w:rPr>
                <w:rFonts w:hint="eastAsia" w:ascii="方正仿宋_GBK" w:hAnsi="方正仿宋_GBK" w:eastAsia="方正仿宋_GBK" w:cs="方正仿宋_GBK"/>
              </w:rPr>
              <w:t>万元</w:t>
            </w:r>
          </w:p>
        </w:tc>
      </w:tr>
      <w:tr>
        <w:tblPrEx>
          <w:tblCellMar>
            <w:top w:w="0" w:type="dxa"/>
            <w:left w:w="0" w:type="dxa"/>
            <w:bottom w:w="0" w:type="dxa"/>
            <w:right w:w="0" w:type="dxa"/>
          </w:tblCellMar>
        </w:tblPrEx>
        <w:trPr>
          <w:trHeight w:val="90" w:hRule="atLeast"/>
        </w:trPr>
        <w:tc>
          <w:tcPr>
            <w:tcW w:w="6742"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收     入</w:t>
            </w:r>
          </w:p>
        </w:tc>
        <w:tc>
          <w:tcPr>
            <w:tcW w:w="15618" w:type="dxa"/>
            <w:gridSpan w:val="5"/>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支     出</w:t>
            </w:r>
          </w:p>
        </w:tc>
      </w:tr>
      <w:tr>
        <w:tblPrEx>
          <w:tblCellMar>
            <w:top w:w="0" w:type="dxa"/>
            <w:left w:w="0" w:type="dxa"/>
            <w:bottom w:w="0" w:type="dxa"/>
            <w:right w:w="0" w:type="dxa"/>
          </w:tblCellMar>
        </w:tblPrEx>
        <w:trPr>
          <w:trHeight w:val="90" w:hRule="atLeast"/>
        </w:trPr>
        <w:tc>
          <w:tcPr>
            <w:tcW w:w="4068"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项目</w:t>
            </w:r>
          </w:p>
        </w:tc>
        <w:tc>
          <w:tcPr>
            <w:tcW w:w="267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决算数</w:t>
            </w:r>
          </w:p>
        </w:tc>
        <w:tc>
          <w:tcPr>
            <w:tcW w:w="375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功能分类科目</w:t>
            </w:r>
          </w:p>
        </w:tc>
        <w:tc>
          <w:tcPr>
            <w:tcW w:w="11866" w:type="dxa"/>
            <w:gridSpan w:val="4"/>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决算数</w:t>
            </w:r>
          </w:p>
        </w:tc>
      </w:tr>
      <w:tr>
        <w:tblPrEx>
          <w:tblCellMar>
            <w:top w:w="0" w:type="dxa"/>
            <w:left w:w="0" w:type="dxa"/>
            <w:bottom w:w="0" w:type="dxa"/>
            <w:right w:w="0" w:type="dxa"/>
          </w:tblCellMar>
        </w:tblPrEx>
        <w:trPr>
          <w:trHeight w:val="90" w:hRule="atLeast"/>
        </w:trPr>
        <w:tc>
          <w:tcPr>
            <w:tcW w:w="406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67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375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小计</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一般公共预算财政拨款</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政府性基金预算财政拨款</w:t>
            </w:r>
          </w:p>
        </w:tc>
        <w:tc>
          <w:tcPr>
            <w:tcW w:w="301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国有资本经营预算财政拨款</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一、一般公共预算财政拨款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2,688.30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一、一般公共服务支出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1,130.22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1,130.22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二、政府性基金预算财政拨款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903.99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二、外交支出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三、国有资本经营预算财政拨款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0.04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三、国防支出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四、公共安全支出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15.10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15.10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五、教育支出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六、科学技术支出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七、文化旅游体育与传媒支出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2.12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2.12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八、社会保障和就业支出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223.87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223.87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九、卫生健康支出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44.98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44.98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十、节能环保支出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十一、城乡社区支出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882.90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82.22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800.68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十二、农林水支出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825.07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825.07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十三、交通运输支出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288.33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288.33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十四、资源勘探工业信息等支出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45.20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45.20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十五、商业服务业等支出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十六、金融支出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十七、援助其他地区支出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十八、自然资源海洋气象等支出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十九、住房保障支出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57.21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57.21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二十、粮油物资储备支出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二十一、国有资本经营预算支出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0.04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0.04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二十二、灾害防治及应急管理支出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12.50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12.50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二十三、其他支出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103.31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103.31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二十四、债务还本支出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二十五、债务付息支出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二十六、抗疫特别国债安排的支出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本年收入合计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3,592.33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本年支出合计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3,630.84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2,726.81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903.99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0.04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年初财政拨款结转和结余</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38.52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年末财政拨款结转和结余</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38.52 </w:t>
            </w:r>
          </w:p>
        </w:tc>
        <w:tc>
          <w:tcPr>
            <w:tcW w:w="3752"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总计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3,630.84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总计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3,630.84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2,726.81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903.99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0.04 </w:t>
            </w:r>
          </w:p>
        </w:tc>
      </w:tr>
    </w:tbl>
    <w:p>
      <w:pPr>
        <w:rPr>
          <w:rFonts w:hint="eastAsia" w:ascii="方正仿宋_GBK" w:hAnsi="方正仿宋_GBK" w:eastAsia="方正仿宋_GBK" w:cs="方正仿宋_GBK"/>
          <w:sz w:val="21"/>
          <w:szCs w:val="21"/>
          <w:lang w:bidi="ar"/>
        </w:rPr>
      </w:pPr>
      <w:r>
        <w:rPr>
          <w:rFonts w:hint="eastAsia" w:ascii="方正仿宋_GBK" w:hAnsi="方正仿宋_GBK" w:eastAsia="方正仿宋_GBK" w:cs="方正仿宋_GBK"/>
          <w:sz w:val="21"/>
          <w:szCs w:val="21"/>
          <w:lang w:bidi="ar"/>
        </w:rPr>
        <w:t>备注：1.本表反映单位本年度一般公共预算财政拨款、政府性基金预算财政拨款及国有资本经营预算财政拨款的总收支和年末结转结余情况。</w:t>
      </w:r>
    </w:p>
    <w:p>
      <w:pPr>
        <w:rPr>
          <w:rFonts w:hint="eastAsia" w:ascii="方正仿宋_GBK" w:hAnsi="方正仿宋_GBK" w:eastAsia="方正仿宋_GBK" w:cs="方正仿宋_GBK"/>
          <w:sz w:val="21"/>
          <w:szCs w:val="21"/>
          <w:lang w:bidi="ar"/>
        </w:rPr>
      </w:pPr>
      <w:r>
        <w:rPr>
          <w:rFonts w:hint="eastAsia" w:ascii="方正仿宋_GBK" w:hAnsi="方正仿宋_GBK" w:eastAsia="方正仿宋_GBK" w:cs="方正仿宋_GBK"/>
          <w:sz w:val="21"/>
          <w:szCs w:val="21"/>
          <w:lang w:bidi="ar"/>
        </w:rPr>
        <w:t xml:space="preserve">      2.本套报表金额单位转换时可能存在尾数误差。</w:t>
      </w:r>
    </w:p>
    <w:p>
      <w:pPr>
        <w:rPr>
          <w:rFonts w:hint="eastAsia" w:ascii="方正仿宋_GBK" w:hAnsi="方正仿宋_GBK" w:eastAsia="方正仿宋_GBK" w:cs="方正仿宋_GBK"/>
          <w:sz w:val="21"/>
          <w:szCs w:val="21"/>
          <w:lang w:bidi="ar"/>
        </w:rPr>
      </w:pPr>
    </w:p>
    <w:p>
      <w:pPr>
        <w:rPr>
          <w:rFonts w:hint="eastAsia" w:ascii="方正仿宋_GBK" w:hAnsi="方正仿宋_GBK" w:eastAsia="方正仿宋_GBK" w:cs="方正仿宋_GBK"/>
          <w:sz w:val="21"/>
          <w:szCs w:val="21"/>
          <w:lang w:bidi="ar"/>
        </w:rPr>
      </w:pPr>
    </w:p>
    <w:p>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br w:type="page"/>
      </w:r>
    </w:p>
    <w:tbl>
      <w:tblPr>
        <w:tblStyle w:val="7"/>
        <w:tblW w:w="22300" w:type="dxa"/>
        <w:tblInd w:w="0" w:type="dxa"/>
        <w:tblLayout w:type="fixed"/>
        <w:tblCellMar>
          <w:top w:w="0" w:type="dxa"/>
          <w:left w:w="0" w:type="dxa"/>
          <w:bottom w:w="0" w:type="dxa"/>
          <w:right w:w="0" w:type="dxa"/>
        </w:tblCellMar>
      </w:tblPr>
      <w:tblGrid>
        <w:gridCol w:w="2694"/>
        <w:gridCol w:w="5151"/>
        <w:gridCol w:w="4817"/>
        <w:gridCol w:w="4817"/>
        <w:gridCol w:w="4821"/>
      </w:tblGrid>
      <w:tr>
        <w:tblPrEx>
          <w:tblCellMar>
            <w:top w:w="0" w:type="dxa"/>
            <w:left w:w="0" w:type="dxa"/>
            <w:bottom w:w="0" w:type="dxa"/>
            <w:right w:w="0" w:type="dxa"/>
          </w:tblCellMar>
        </w:tblPrEx>
        <w:trPr>
          <w:trHeight w:val="510" w:hRule="atLeast"/>
        </w:trPr>
        <w:tc>
          <w:tcPr>
            <w:tcW w:w="22300"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eastAsia" w:ascii="方正仿宋_GBK" w:hAnsi="方正仿宋_GBK" w:eastAsia="方正仿宋_GBK" w:cs="方正仿宋_GBK"/>
                <w:b/>
                <w:color w:val="000000"/>
                <w:sz w:val="40"/>
                <w:szCs w:val="40"/>
              </w:rPr>
            </w:pPr>
            <w:r>
              <w:rPr>
                <w:rFonts w:hint="eastAsia" w:ascii="方正仿宋_GBK" w:hAnsi="方正仿宋_GBK" w:eastAsia="方正仿宋_GBK" w:cs="方正仿宋_GBK"/>
                <w:b/>
                <w:color w:val="000000"/>
                <w:sz w:val="44"/>
                <w:szCs w:val="44"/>
                <w:lang w:bidi="ar"/>
              </w:rPr>
              <w:t>一般公共预算财政拨款支出决算表</w:t>
            </w:r>
          </w:p>
        </w:tc>
      </w:tr>
      <w:tr>
        <w:tblPrEx>
          <w:tblCellMar>
            <w:top w:w="0" w:type="dxa"/>
            <w:left w:w="0" w:type="dxa"/>
            <w:bottom w:w="0" w:type="dxa"/>
            <w:right w:w="0" w:type="dxa"/>
          </w:tblCellMar>
        </w:tblPrEx>
        <w:trPr>
          <w:trHeight w:val="255" w:hRule="atLeast"/>
        </w:trPr>
        <w:tc>
          <w:tcPr>
            <w:tcW w:w="7845" w:type="dxa"/>
            <w:gridSpan w:val="2"/>
            <w:vMerge w:val="restart"/>
            <w:tcBorders>
              <w:top w:val="nil"/>
              <w:left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rPr>
              <w:t>公开单位</w:t>
            </w:r>
            <w:r>
              <w:rPr>
                <w:rFonts w:hint="eastAsia" w:ascii="方正仿宋_GBK" w:hAnsi="方正仿宋_GBK" w:eastAsia="方正仿宋_GBK" w:cs="方正仿宋_GBK"/>
                <w:color w:val="000000"/>
                <w:lang w:bidi="ar"/>
              </w:rPr>
              <w:t xml:space="preserve">： </w:t>
            </w:r>
            <w:r>
              <w:rPr>
                <w:rFonts w:hint="eastAsia" w:ascii="方正仿宋_GBK" w:hAnsi="方正仿宋_GBK" w:eastAsia="方正仿宋_GBK" w:cs="方正仿宋_GBK"/>
                <w:color w:val="000000"/>
              </w:rPr>
              <w:t>垫江县砚台镇人民政府（本级）</w:t>
            </w:r>
          </w:p>
        </w:tc>
        <w:tc>
          <w:tcPr>
            <w:tcW w:w="4817"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4817"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482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eastAsia" w:ascii="方正仿宋_GBK" w:hAnsi="方正仿宋_GBK" w:eastAsia="方正仿宋_GBK" w:cs="方正仿宋_GBK"/>
                <w:color w:val="000000"/>
              </w:rPr>
            </w:pPr>
            <w:r>
              <w:rPr>
                <w:rFonts w:hint="eastAsia" w:ascii="方正仿宋_GBK" w:hAnsi="方正仿宋_GBK" w:eastAsia="方正仿宋_GBK" w:cs="方正仿宋_GBK"/>
                <w:color w:val="000000"/>
                <w:lang w:bidi="ar"/>
              </w:rPr>
              <w:t>公开05表</w:t>
            </w:r>
          </w:p>
        </w:tc>
      </w:tr>
      <w:tr>
        <w:tblPrEx>
          <w:tblCellMar>
            <w:top w:w="0" w:type="dxa"/>
            <w:left w:w="0" w:type="dxa"/>
            <w:bottom w:w="0" w:type="dxa"/>
            <w:right w:w="0" w:type="dxa"/>
          </w:tblCellMar>
        </w:tblPrEx>
        <w:trPr>
          <w:trHeight w:val="285" w:hRule="atLeast"/>
        </w:trPr>
        <w:tc>
          <w:tcPr>
            <w:tcW w:w="7845" w:type="dxa"/>
            <w:gridSpan w:val="2"/>
            <w:vMerge w:val="continue"/>
            <w:tcBorders>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4817"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4817"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482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eastAsia" w:ascii="方正仿宋_GBK" w:hAnsi="方正仿宋_GBK" w:eastAsia="方正仿宋_GBK" w:cs="方正仿宋_GBK"/>
                <w:color w:val="000000"/>
              </w:rPr>
            </w:pPr>
            <w:r>
              <w:rPr>
                <w:rFonts w:hint="eastAsia" w:ascii="方正仿宋_GBK" w:hAnsi="方正仿宋_GBK" w:eastAsia="方正仿宋_GBK" w:cs="方正仿宋_GBK"/>
                <w:color w:val="000000"/>
                <w:lang w:bidi="ar"/>
              </w:rPr>
              <w:t>单位：</w:t>
            </w:r>
            <w:r>
              <w:rPr>
                <w:rFonts w:hint="eastAsia" w:ascii="方正仿宋_GBK" w:hAnsi="方正仿宋_GBK" w:eastAsia="方正仿宋_GBK" w:cs="方正仿宋_GBK"/>
              </w:rPr>
              <w:t>万元</w:t>
            </w:r>
          </w:p>
        </w:tc>
      </w:tr>
      <w:tr>
        <w:tblPrEx>
          <w:tblCellMar>
            <w:top w:w="0" w:type="dxa"/>
            <w:left w:w="0" w:type="dxa"/>
            <w:bottom w:w="0" w:type="dxa"/>
            <w:right w:w="0" w:type="dxa"/>
          </w:tblCellMar>
        </w:tblPrEx>
        <w:trPr>
          <w:trHeight w:val="308" w:hRule="atLeast"/>
        </w:trPr>
        <w:tc>
          <w:tcPr>
            <w:tcW w:w="7845"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项目</w:t>
            </w:r>
          </w:p>
        </w:tc>
        <w:tc>
          <w:tcPr>
            <w:tcW w:w="14455"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本年支出</w:t>
            </w:r>
          </w:p>
        </w:tc>
      </w:tr>
      <w:tr>
        <w:tblPrEx>
          <w:tblCellMar>
            <w:top w:w="0" w:type="dxa"/>
            <w:left w:w="0" w:type="dxa"/>
            <w:bottom w:w="0" w:type="dxa"/>
            <w:right w:w="0" w:type="dxa"/>
          </w:tblCellMar>
        </w:tblPrEx>
        <w:trPr>
          <w:trHeight w:val="312" w:hRule="atLeast"/>
        </w:trPr>
        <w:tc>
          <w:tcPr>
            <w:tcW w:w="2694"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功能分类科目编码</w:t>
            </w:r>
          </w:p>
        </w:tc>
        <w:tc>
          <w:tcPr>
            <w:tcW w:w="515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项目（按“项”级功能分类科目）</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合计</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基本支出</w:t>
            </w:r>
          </w:p>
        </w:tc>
        <w:tc>
          <w:tcPr>
            <w:tcW w:w="482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项目支出</w:t>
            </w:r>
          </w:p>
        </w:tc>
      </w:tr>
      <w:tr>
        <w:tblPrEx>
          <w:tblCellMar>
            <w:top w:w="0" w:type="dxa"/>
            <w:left w:w="0" w:type="dxa"/>
            <w:bottom w:w="0" w:type="dxa"/>
            <w:right w:w="0" w:type="dxa"/>
          </w:tblCellMar>
        </w:tblPrEx>
        <w:trPr>
          <w:trHeight w:val="312"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r>
      <w:tr>
        <w:tblPrEx>
          <w:tblCellMar>
            <w:top w:w="0" w:type="dxa"/>
            <w:left w:w="0" w:type="dxa"/>
            <w:bottom w:w="0" w:type="dxa"/>
            <w:right w:w="0" w:type="dxa"/>
          </w:tblCellMar>
        </w:tblPrEx>
        <w:trPr>
          <w:trHeight w:val="615"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r>
      <w:tr>
        <w:tblPrEx>
          <w:tblCellMar>
            <w:top w:w="0" w:type="dxa"/>
            <w:left w:w="0" w:type="dxa"/>
            <w:bottom w:w="0" w:type="dxa"/>
            <w:right w:w="0" w:type="dxa"/>
          </w:tblCellMar>
        </w:tblPrEx>
        <w:trPr>
          <w:trHeight w:val="308" w:hRule="atLeast"/>
        </w:trPr>
        <w:tc>
          <w:tcPr>
            <w:tcW w:w="7845"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合计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bCs/>
                <w:color w:val="000000"/>
                <w:sz w:val="21"/>
                <w:szCs w:val="21"/>
                <w:lang w:bidi="ar"/>
              </w:rPr>
              <w:t xml:space="preserve">2,726.81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bCs/>
                <w:color w:val="000000"/>
                <w:sz w:val="21"/>
                <w:szCs w:val="21"/>
                <w:lang w:bidi="ar"/>
              </w:rPr>
              <w:t xml:space="preserve">1,300.43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bCs/>
                <w:color w:val="000000"/>
                <w:sz w:val="21"/>
                <w:szCs w:val="21"/>
                <w:lang w:bidi="ar"/>
              </w:rPr>
              <w:t xml:space="preserve">1,426.38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一般公共服务支出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1,130.22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632.80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497.42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20101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人大事务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154.28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154.28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2010102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148.21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148.21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2010108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代表工作</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4.57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4.57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2010199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其他人大事务支出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1.50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1.50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20103</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政府办公厅（室）及相关机构事务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794.03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632.80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161.22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2010301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行政运行</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632.80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632.80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2010302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161.22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161.22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20105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统计信息事务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3.35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3.35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2010507</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专项普查活动</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3.35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3.35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20113</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商贸事务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64.40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64.40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2011302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11.94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11.94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2011308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招商引资</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52.46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52.46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20131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党委办公厅（室）及相关机构事务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10.30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10.30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2013102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2.30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2.30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2013199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其他党委办公厅（室）及相关机构事务支出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8.00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8.00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20132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组织事务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10.10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10.10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2013202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10.10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10.10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20134</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统战事务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3.60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3.60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2013402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3.60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3.60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20136</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其他共产党事务支出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88.18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88.18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2013699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其他共产党事务支出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88.18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88.18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20138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市场监督管理事务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2.00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2.00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2013816</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食品安全监管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2.00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2.00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204</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公共安全支出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15.10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15.10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20402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公安</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7.15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7.15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2040299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其他公安支出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7.15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7.15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20499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其他公共安全支出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7.95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7.95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2049999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其他公共安全支出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7.95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7.95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207</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文化旅游体育与传媒支出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2.12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2.12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20701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文化和旅游</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2.12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2.12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2070199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其他文化和旅游支出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2.12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2.12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社会保障和就业支出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223.87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181.68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42.19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20805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行政事业单位养老支出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181.68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181.68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2080505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机关事业单位基本养老保险缴费支出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79.64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79.64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2080506</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机关事业单位职业年金缴费支出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30.19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30.19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2080599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其他行政事业单位养老支出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71.86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71.86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20809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退役安置</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0.40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0.40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2080999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其他退役安置支出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0.40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0.40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20810</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社会福利</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24.60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24.60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2081006</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养老服务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24.60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24.60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20811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残疾人事业</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5.83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5.83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2081105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残疾人就业</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2081199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其他残疾人事业支出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4.83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4.83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20828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退役军人管理事务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11.36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11.36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2082899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其他退役军人事务管理支出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11.36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11.36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210</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卫生健康支出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44.98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41.80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3.18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21004</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公共卫生</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1.12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1.12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2100410</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突发公共卫生事件应急处理</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1.12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1.12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21007</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计划生育事务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0.13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0.13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2100799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其他计划生育事务支出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0.13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0.13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21011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行政事业单位医疗</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41.80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41.80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2101101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行政单位医疗</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41.80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41.80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21014</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优抚对象医疗</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1.93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1.93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2101401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优抚对象医疗补助</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1.93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1.93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城乡社区支出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82.22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82.22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21203</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城乡社区公共设施</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55.00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55.00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2120303</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小城镇基础设施建设</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55.00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55.00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21205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城乡社区环境卫生</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27.22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27.22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2120501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城乡社区环境卫生</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27.22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27.22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213</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农林水支出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825.07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402.39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422.68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21301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农业农村</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29.80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29.80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2130108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病虫害控制</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1.50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1.50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2130135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农业资源保护修复与利用</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18.30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18.30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2130148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渔业发展</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10.00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10.00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21302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林业和草原</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21.78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21.78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2130205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森林资源培育</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21.78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21.78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21303</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水利</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0.45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0.45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2130316</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农村水利</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0.45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0.45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21305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巩固脱贫攻坚成果衔接乡村振兴</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19.30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19.30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2130599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其他巩固脱贫攻坚成果衔接乡村振兴支出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19.30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19.30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21307</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农村综合改革</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753.74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402.39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351.35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2130701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对村级公益事业建设的补助</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233.00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233.00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2130705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对村民委员会和村党支部的补助</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520.74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402.39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118.35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214</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交通运输支出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288.33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288.33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21401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公路水路运输</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79.02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79.02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2140104</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公路建设</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63.11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63.11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2140106</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公路养护</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15.91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15.91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21406</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车辆购置税支出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209.31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209.31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2140601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车辆购置税用于公路等基础设施建设支出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209.31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209.31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资源勘探工业信息等支出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45.20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45.20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21508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支持中小企业发展和管理支出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45.20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45.20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2150899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其他支持中小企业发展和管理支出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45.20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45.20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221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住房保障支出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57.21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41.76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15.45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22101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保障性安居工程支出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15.45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15.45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2210105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农村危房改造</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15.45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15.45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22102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住房改革支出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41.76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41.76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2210201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住房公积金</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41.76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41.76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224</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灾害防治及应急管理支出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12.50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12.50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22401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应急管理事务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3.00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3.00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2240108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应急救援</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3.00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3.00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22406</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自然灾害防治</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2.00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2.00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2240601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地质灾害防治</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2.00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2.00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22407</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自然灾害救灾及恢复重建支出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7.50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7.50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2240703</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自然灾害救灾补助</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7.50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7.50 </w:t>
            </w:r>
          </w:p>
        </w:tc>
      </w:tr>
    </w:tbl>
    <w:p>
      <w:pPr>
        <w:rPr>
          <w:rFonts w:hint="eastAsia" w:ascii="方正仿宋_GBK" w:hAnsi="方正仿宋_GBK" w:eastAsia="方正仿宋_GBK" w:cs="方正仿宋_GBK"/>
          <w:sz w:val="21"/>
          <w:szCs w:val="21"/>
          <w:lang w:bidi="ar"/>
        </w:rPr>
      </w:pPr>
      <w:r>
        <w:rPr>
          <w:rFonts w:hint="eastAsia" w:ascii="方正仿宋_GBK" w:hAnsi="方正仿宋_GBK" w:eastAsia="方正仿宋_GBK" w:cs="方正仿宋_GBK"/>
          <w:sz w:val="21"/>
          <w:szCs w:val="21"/>
          <w:lang w:bidi="ar"/>
        </w:rPr>
        <w:t>备注：1.本表反映单位本年度一般公共预算财政拨款支出情况。</w:t>
      </w:r>
    </w:p>
    <w:p>
      <w:pPr>
        <w:rPr>
          <w:rFonts w:hint="eastAsia" w:ascii="方正仿宋_GBK" w:hAnsi="方正仿宋_GBK" w:eastAsia="方正仿宋_GBK" w:cs="方正仿宋_GBK"/>
          <w:sz w:val="21"/>
          <w:szCs w:val="21"/>
          <w:lang w:bidi="ar"/>
        </w:rPr>
      </w:pPr>
      <w:r>
        <w:rPr>
          <w:rFonts w:hint="eastAsia" w:ascii="方正仿宋_GBK" w:hAnsi="方正仿宋_GBK" w:eastAsia="方正仿宋_GBK" w:cs="方正仿宋_GBK"/>
          <w:sz w:val="21"/>
          <w:szCs w:val="21"/>
          <w:lang w:bidi="ar"/>
        </w:rPr>
        <w:t xml:space="preserve">      2.本套报表金额单位转换时可能存在尾数误差。</w:t>
      </w:r>
    </w:p>
    <w:p>
      <w:pPr>
        <w:rPr>
          <w:rFonts w:hint="eastAsia" w:ascii="方正仿宋_GBK" w:hAnsi="方正仿宋_GBK" w:eastAsia="方正仿宋_GBK" w:cs="方正仿宋_GBK"/>
          <w:sz w:val="21"/>
          <w:szCs w:val="21"/>
          <w:lang w:bidi="ar"/>
        </w:rPr>
      </w:pPr>
    </w:p>
    <w:p>
      <w:pPr>
        <w:rPr>
          <w:rFonts w:hint="eastAsia" w:ascii="方正仿宋_GBK" w:hAnsi="方正仿宋_GBK" w:eastAsia="方正仿宋_GBK" w:cs="方正仿宋_GBK"/>
          <w:sz w:val="21"/>
          <w:szCs w:val="21"/>
          <w:lang w:bidi="ar"/>
        </w:rPr>
      </w:pPr>
    </w:p>
    <w:p>
      <w:pPr>
        <w:ind w:firstLine="630" w:firstLineChars="30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br w:type="page"/>
      </w:r>
    </w:p>
    <w:tbl>
      <w:tblPr>
        <w:tblStyle w:val="7"/>
        <w:tblW w:w="22280" w:type="dxa"/>
        <w:tblInd w:w="0" w:type="dxa"/>
        <w:tblLayout w:type="fixed"/>
        <w:tblCellMar>
          <w:top w:w="0" w:type="dxa"/>
          <w:left w:w="0" w:type="dxa"/>
          <w:bottom w:w="0" w:type="dxa"/>
          <w:right w:w="0" w:type="dxa"/>
        </w:tblCellMar>
      </w:tblPr>
      <w:tblGrid>
        <w:gridCol w:w="1289"/>
        <w:gridCol w:w="3495"/>
        <w:gridCol w:w="2829"/>
        <w:gridCol w:w="1122"/>
        <w:gridCol w:w="2330"/>
        <w:gridCol w:w="2747"/>
        <w:gridCol w:w="1509"/>
        <w:gridCol w:w="4465"/>
        <w:gridCol w:w="2494"/>
      </w:tblGrid>
      <w:tr>
        <w:tblPrEx>
          <w:tblCellMar>
            <w:top w:w="0" w:type="dxa"/>
            <w:left w:w="0" w:type="dxa"/>
            <w:bottom w:w="0" w:type="dxa"/>
            <w:right w:w="0" w:type="dxa"/>
          </w:tblCellMar>
        </w:tblPrEx>
        <w:trPr>
          <w:trHeight w:val="590" w:hRule="atLeast"/>
        </w:trPr>
        <w:tc>
          <w:tcPr>
            <w:tcW w:w="22280" w:type="dxa"/>
            <w:gridSpan w:val="9"/>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eastAsia" w:ascii="方正仿宋_GBK" w:hAnsi="方正仿宋_GBK" w:eastAsia="方正仿宋_GBK" w:cs="方正仿宋_GBK"/>
                <w:b/>
                <w:color w:val="000000"/>
                <w:sz w:val="40"/>
                <w:szCs w:val="40"/>
              </w:rPr>
            </w:pPr>
            <w:r>
              <w:rPr>
                <w:rFonts w:hint="eastAsia" w:ascii="方正仿宋_GBK" w:hAnsi="方正仿宋_GBK" w:eastAsia="方正仿宋_GBK" w:cs="方正仿宋_GBK"/>
                <w:b/>
                <w:color w:val="000000"/>
                <w:sz w:val="44"/>
                <w:szCs w:val="44"/>
                <w:lang w:bidi="ar"/>
              </w:rPr>
              <w:t>一般公共预算财政拨款基本支出决算表</w:t>
            </w:r>
          </w:p>
        </w:tc>
      </w:tr>
      <w:tr>
        <w:tblPrEx>
          <w:tblCellMar>
            <w:top w:w="0" w:type="dxa"/>
            <w:left w:w="0" w:type="dxa"/>
            <w:bottom w:w="0" w:type="dxa"/>
            <w:right w:w="0" w:type="dxa"/>
          </w:tblCellMar>
        </w:tblPrEx>
        <w:trPr>
          <w:trHeight w:val="302" w:hRule="atLeast"/>
        </w:trPr>
        <w:tc>
          <w:tcPr>
            <w:tcW w:w="4784" w:type="dxa"/>
            <w:gridSpan w:val="2"/>
            <w:vMerge w:val="restart"/>
            <w:tcBorders>
              <w:top w:val="nil"/>
              <w:left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rPr>
              <w:t>公开单位</w:t>
            </w:r>
            <w:r>
              <w:rPr>
                <w:rFonts w:hint="eastAsia" w:ascii="方正仿宋_GBK" w:hAnsi="方正仿宋_GBK" w:eastAsia="方正仿宋_GBK" w:cs="方正仿宋_GBK"/>
                <w:color w:val="000000"/>
                <w:lang w:bidi="ar"/>
              </w:rPr>
              <w:t xml:space="preserve">： </w:t>
            </w:r>
            <w:r>
              <w:rPr>
                <w:rFonts w:hint="eastAsia" w:ascii="方正仿宋_GBK" w:hAnsi="方正仿宋_GBK" w:eastAsia="方正仿宋_GBK" w:cs="方正仿宋_GBK"/>
                <w:color w:val="000000"/>
              </w:rPr>
              <w:t>垫江县砚台镇人民政府（本级）</w:t>
            </w:r>
          </w:p>
        </w:tc>
        <w:tc>
          <w:tcPr>
            <w:tcW w:w="2829"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1122"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2330"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2747"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1509"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4465"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2494"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eastAsia" w:ascii="方正仿宋_GBK" w:hAnsi="方正仿宋_GBK" w:eastAsia="方正仿宋_GBK" w:cs="方正仿宋_GBK"/>
                <w:color w:val="000000"/>
              </w:rPr>
            </w:pPr>
            <w:r>
              <w:rPr>
                <w:rFonts w:hint="eastAsia" w:ascii="方正仿宋_GBK" w:hAnsi="方正仿宋_GBK" w:eastAsia="方正仿宋_GBK" w:cs="方正仿宋_GBK"/>
                <w:color w:val="000000"/>
                <w:lang w:bidi="ar"/>
              </w:rPr>
              <w:t>公开06表</w:t>
            </w:r>
          </w:p>
        </w:tc>
      </w:tr>
      <w:tr>
        <w:tblPrEx>
          <w:tblCellMar>
            <w:top w:w="0" w:type="dxa"/>
            <w:left w:w="0" w:type="dxa"/>
            <w:bottom w:w="0" w:type="dxa"/>
            <w:right w:w="0" w:type="dxa"/>
          </w:tblCellMar>
        </w:tblPrEx>
        <w:trPr>
          <w:trHeight w:val="302" w:hRule="atLeast"/>
        </w:trPr>
        <w:tc>
          <w:tcPr>
            <w:tcW w:w="4784" w:type="dxa"/>
            <w:gridSpan w:val="2"/>
            <w:vMerge w:val="continue"/>
            <w:tcBorders>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2829"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1122"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2330"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2747"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1509"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4465"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2494"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eastAsia" w:ascii="方正仿宋_GBK" w:hAnsi="方正仿宋_GBK" w:eastAsia="方正仿宋_GBK" w:cs="方正仿宋_GBK"/>
                <w:color w:val="000000"/>
              </w:rPr>
            </w:pPr>
            <w:r>
              <w:rPr>
                <w:rFonts w:hint="eastAsia" w:ascii="方正仿宋_GBK" w:hAnsi="方正仿宋_GBK" w:eastAsia="方正仿宋_GBK" w:cs="方正仿宋_GBK"/>
                <w:color w:val="000000"/>
                <w:lang w:bidi="ar"/>
              </w:rPr>
              <w:t>单位：</w:t>
            </w:r>
            <w:r>
              <w:rPr>
                <w:rFonts w:hint="eastAsia" w:ascii="方正仿宋_GBK" w:hAnsi="方正仿宋_GBK" w:eastAsia="方正仿宋_GBK" w:cs="方正仿宋_GBK"/>
              </w:rPr>
              <w:t>万元</w:t>
            </w:r>
          </w:p>
        </w:tc>
      </w:tr>
      <w:tr>
        <w:tblPrEx>
          <w:tblCellMar>
            <w:top w:w="0" w:type="dxa"/>
            <w:left w:w="0" w:type="dxa"/>
            <w:bottom w:w="0" w:type="dxa"/>
            <w:right w:w="0" w:type="dxa"/>
          </w:tblCellMar>
        </w:tblPrEx>
        <w:trPr>
          <w:trHeight w:val="311" w:hRule="atLeast"/>
        </w:trPr>
        <w:tc>
          <w:tcPr>
            <w:tcW w:w="7613" w:type="dxa"/>
            <w:gridSpan w:val="3"/>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人员经费</w:t>
            </w:r>
          </w:p>
        </w:tc>
        <w:tc>
          <w:tcPr>
            <w:tcW w:w="14667" w:type="dxa"/>
            <w:gridSpan w:val="6"/>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公用经费</w:t>
            </w:r>
          </w:p>
        </w:tc>
      </w:tr>
      <w:tr>
        <w:tblPrEx>
          <w:tblCellMar>
            <w:top w:w="0" w:type="dxa"/>
            <w:left w:w="0" w:type="dxa"/>
            <w:bottom w:w="0" w:type="dxa"/>
            <w:right w:w="0" w:type="dxa"/>
          </w:tblCellMar>
        </w:tblPrEx>
        <w:trPr>
          <w:trHeight w:val="312" w:hRule="atLeast"/>
        </w:trPr>
        <w:tc>
          <w:tcPr>
            <w:tcW w:w="128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经济分类科目编码</w:t>
            </w:r>
          </w:p>
        </w:tc>
        <w:tc>
          <w:tcPr>
            <w:tcW w:w="349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经济分类科目（按“款”级功能分类科目）</w:t>
            </w:r>
          </w:p>
        </w:tc>
        <w:tc>
          <w:tcPr>
            <w:tcW w:w="282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金额</w:t>
            </w:r>
          </w:p>
        </w:tc>
        <w:tc>
          <w:tcPr>
            <w:tcW w:w="112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经济分类科目编码</w:t>
            </w:r>
          </w:p>
        </w:tc>
        <w:tc>
          <w:tcPr>
            <w:tcW w:w="233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经济分类科目（按“款”级功能分类科目）</w:t>
            </w:r>
          </w:p>
        </w:tc>
        <w:tc>
          <w:tcPr>
            <w:tcW w:w="274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金额</w:t>
            </w:r>
          </w:p>
        </w:tc>
        <w:tc>
          <w:tcPr>
            <w:tcW w:w="150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经济分类科目编码</w:t>
            </w:r>
          </w:p>
        </w:tc>
        <w:tc>
          <w:tcPr>
            <w:tcW w:w="446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经济分类科目（按“款”级功能分类科目）</w:t>
            </w:r>
          </w:p>
        </w:tc>
        <w:tc>
          <w:tcPr>
            <w:tcW w:w="249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金额</w:t>
            </w:r>
          </w:p>
        </w:tc>
      </w:tr>
      <w:tr>
        <w:tblPrEx>
          <w:tblCellMar>
            <w:top w:w="0" w:type="dxa"/>
            <w:left w:w="0" w:type="dxa"/>
            <w:bottom w:w="0" w:type="dxa"/>
            <w:right w:w="0" w:type="dxa"/>
          </w:tblCellMar>
        </w:tblPrEx>
        <w:trPr>
          <w:trHeight w:val="799" w:hRule="atLeast"/>
        </w:trPr>
        <w:tc>
          <w:tcPr>
            <w:tcW w:w="128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349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82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112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33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74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150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446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49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703.73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122.46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30101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基本工资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129.78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30201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办公费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12.64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31001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房屋建筑物购建</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30102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津贴补贴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114.06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30202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印刷费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31002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办公设备购置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30103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奖金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239.11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30203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咨询费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31003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专用设备购置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30106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伙食补助费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30204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手续费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31005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基础设施建设</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30107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绩效工资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30205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水费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1.81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31006</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大型修缮</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30108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机关事业单位基本养老保险缴费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79.64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30206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14.70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31007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信息网络及软件购置更新</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30109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职业年金缴费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30.19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30207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邮电费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26.80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31008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物资储备</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64"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30110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职工基本医疗保险缴费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41.80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30208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取暖费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31009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土地补偿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30111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公务员医疗补助缴费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30209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物业管理费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31010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安置补助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30112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其他社会保障缴费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9.60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30211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差旅费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18.43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31011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地上附着物和青苗补偿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30113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住房公积金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41.76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30212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因公出国（境）费用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31012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拆迁补偿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30114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医疗费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4.84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30213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维修（护）费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31013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公务用车购置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30199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其他工资福利支出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12.95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30214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租赁费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31019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其他交通工具购置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474.25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30215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会议费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31021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文物和陈列品购置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离休费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30216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培训费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31022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无形资产购置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30302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退休费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30217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公务接待费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4.38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31099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其他资本性支出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退职（役）费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30218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专用材料费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30304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抚恤金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30224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被装购置费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31201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资本金注入</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30305</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生活补助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468.45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30225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专用燃料费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31203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政府投资基金股权投资</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30306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救济费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30226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劳务费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31204</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费用补贴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30307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医疗费补助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5.80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30227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委托业务费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31205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利息补贴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30308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助学金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30228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工会经费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14.03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31299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其他对企业补助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30309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奖励金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30229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福利费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30310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个人农业生产补贴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30231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公务用车运行维护费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0.95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39907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国家赔偿费用支出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30311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代缴社会保险费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30239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其他交通费用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28.72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39908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对民间非营利组织和群众性自治组织补贴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30399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其他对个人和家庭的补助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30240</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税金及附加费用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39909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经常性赠与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30299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其他商品和服务支出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39910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资本性赠与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债务利息及费用支出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39999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30701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国内债务付息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30702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国外债务付息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30703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国内债务发行费用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30704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国外债务发行费用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2"/>
                <w:szCs w:val="22"/>
              </w:rPr>
            </w:pPr>
          </w:p>
        </w:tc>
      </w:tr>
      <w:tr>
        <w:tblPrEx>
          <w:tblCellMar>
            <w:top w:w="0" w:type="dxa"/>
            <w:left w:w="0" w:type="dxa"/>
            <w:bottom w:w="0" w:type="dxa"/>
            <w:right w:w="0" w:type="dxa"/>
          </w:tblCellMar>
        </w:tblPrEx>
        <w:trPr>
          <w:trHeight w:val="321" w:hRule="atLeast"/>
        </w:trPr>
        <w:tc>
          <w:tcPr>
            <w:tcW w:w="4784"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人员经费合计</w:t>
            </w:r>
          </w:p>
        </w:tc>
        <w:tc>
          <w:tcPr>
            <w:tcW w:w="28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1,177.98 </w:t>
            </w:r>
          </w:p>
        </w:tc>
        <w:tc>
          <w:tcPr>
            <w:tcW w:w="12173" w:type="dxa"/>
            <w:gridSpan w:val="5"/>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公用经费合计</w:t>
            </w:r>
          </w:p>
        </w:tc>
        <w:tc>
          <w:tcPr>
            <w:tcW w:w="24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122.46 </w:t>
            </w:r>
          </w:p>
        </w:tc>
      </w:tr>
    </w:tbl>
    <w:p>
      <w:pPr>
        <w:rPr>
          <w:rFonts w:hint="eastAsia" w:ascii="方正仿宋_GBK" w:hAnsi="方正仿宋_GBK" w:eastAsia="方正仿宋_GBK" w:cs="方正仿宋_GBK"/>
          <w:sz w:val="21"/>
          <w:szCs w:val="21"/>
          <w:lang w:bidi="ar"/>
        </w:rPr>
      </w:pPr>
      <w:r>
        <w:rPr>
          <w:rFonts w:hint="eastAsia" w:ascii="方正仿宋_GBK" w:hAnsi="方正仿宋_GBK" w:eastAsia="方正仿宋_GBK" w:cs="方正仿宋_GBK"/>
          <w:sz w:val="21"/>
          <w:szCs w:val="21"/>
          <w:lang w:bidi="ar"/>
        </w:rPr>
        <w:t>备注：1.本表反映单位本年度一般公共预算财政拨款基本支出明细情况。</w:t>
      </w:r>
    </w:p>
    <w:p>
      <w:pPr>
        <w:rPr>
          <w:rFonts w:hint="eastAsia" w:ascii="方正仿宋_GBK" w:hAnsi="方正仿宋_GBK" w:eastAsia="方正仿宋_GBK" w:cs="方正仿宋_GBK"/>
          <w:sz w:val="21"/>
          <w:szCs w:val="21"/>
          <w:lang w:bidi="ar"/>
        </w:rPr>
      </w:pPr>
      <w:r>
        <w:rPr>
          <w:rFonts w:hint="eastAsia" w:ascii="方正仿宋_GBK" w:hAnsi="方正仿宋_GBK" w:eastAsia="方正仿宋_GBK" w:cs="方正仿宋_GBK"/>
          <w:sz w:val="21"/>
          <w:szCs w:val="21"/>
          <w:lang w:bidi="ar"/>
        </w:rPr>
        <w:t xml:space="preserve">      2.本套报表金额单位转换时可能存在尾数误差。</w:t>
      </w:r>
    </w:p>
    <w:p>
      <w:pPr>
        <w:rPr>
          <w:rFonts w:hint="eastAsia" w:ascii="方正仿宋_GBK" w:hAnsi="方正仿宋_GBK" w:eastAsia="方正仿宋_GBK" w:cs="方正仿宋_GBK"/>
          <w:sz w:val="21"/>
          <w:szCs w:val="21"/>
          <w:lang w:bidi="ar"/>
        </w:rPr>
      </w:pPr>
    </w:p>
    <w:p>
      <w:pPr>
        <w:rPr>
          <w:rFonts w:hint="eastAsia" w:ascii="方正仿宋_GBK" w:hAnsi="方正仿宋_GBK" w:eastAsia="方正仿宋_GBK" w:cs="方正仿宋_GBK"/>
          <w:sz w:val="21"/>
          <w:szCs w:val="21"/>
          <w:lang w:bidi="ar"/>
        </w:rPr>
      </w:pPr>
    </w:p>
    <w:p>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br w:type="page"/>
      </w:r>
    </w:p>
    <w:tbl>
      <w:tblPr>
        <w:tblStyle w:val="7"/>
        <w:tblW w:w="22240" w:type="dxa"/>
        <w:tblInd w:w="0" w:type="dxa"/>
        <w:tblLayout w:type="fixed"/>
        <w:tblCellMar>
          <w:top w:w="0" w:type="dxa"/>
          <w:left w:w="0" w:type="dxa"/>
          <w:bottom w:w="0" w:type="dxa"/>
          <w:right w:w="0" w:type="dxa"/>
        </w:tblCellMar>
      </w:tblPr>
      <w:tblGrid>
        <w:gridCol w:w="2686"/>
        <w:gridCol w:w="4465"/>
        <w:gridCol w:w="2473"/>
        <w:gridCol w:w="2473"/>
        <w:gridCol w:w="2473"/>
        <w:gridCol w:w="2473"/>
        <w:gridCol w:w="2558"/>
        <w:gridCol w:w="2639"/>
      </w:tblGrid>
      <w:tr>
        <w:tblPrEx>
          <w:tblCellMar>
            <w:top w:w="0" w:type="dxa"/>
            <w:left w:w="0" w:type="dxa"/>
            <w:bottom w:w="0" w:type="dxa"/>
            <w:right w:w="0" w:type="dxa"/>
          </w:tblCellMar>
        </w:tblPrEx>
        <w:trPr>
          <w:trHeight w:val="644" w:hRule="atLeast"/>
        </w:trPr>
        <w:tc>
          <w:tcPr>
            <w:tcW w:w="22240"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eastAsia" w:ascii="方正仿宋_GBK" w:hAnsi="方正仿宋_GBK" w:eastAsia="方正仿宋_GBK" w:cs="方正仿宋_GBK"/>
                <w:b/>
                <w:color w:val="000000"/>
                <w:sz w:val="40"/>
                <w:szCs w:val="40"/>
              </w:rPr>
            </w:pPr>
            <w:r>
              <w:rPr>
                <w:rFonts w:hint="eastAsia" w:ascii="方正仿宋_GBK" w:hAnsi="方正仿宋_GBK" w:eastAsia="方正仿宋_GBK" w:cs="方正仿宋_GBK"/>
                <w:b/>
                <w:color w:val="000000"/>
                <w:sz w:val="44"/>
                <w:szCs w:val="44"/>
                <w:lang w:bidi="ar"/>
              </w:rPr>
              <w:t>政府性基金预算财政拨款收入支出决算表</w:t>
            </w:r>
          </w:p>
        </w:tc>
      </w:tr>
      <w:tr>
        <w:tblPrEx>
          <w:tblCellMar>
            <w:top w:w="0" w:type="dxa"/>
            <w:left w:w="0" w:type="dxa"/>
            <w:bottom w:w="0" w:type="dxa"/>
            <w:right w:w="0" w:type="dxa"/>
          </w:tblCellMar>
        </w:tblPrEx>
        <w:trPr>
          <w:trHeight w:val="329" w:hRule="atLeast"/>
        </w:trPr>
        <w:tc>
          <w:tcPr>
            <w:tcW w:w="7151" w:type="dxa"/>
            <w:gridSpan w:val="2"/>
            <w:vMerge w:val="restart"/>
            <w:tcBorders>
              <w:top w:val="nil"/>
              <w:left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rPr>
              <w:t>公开单位</w:t>
            </w:r>
            <w:r>
              <w:rPr>
                <w:rFonts w:hint="eastAsia" w:ascii="方正仿宋_GBK" w:hAnsi="方正仿宋_GBK" w:eastAsia="方正仿宋_GBK" w:cs="方正仿宋_GBK"/>
                <w:color w:val="000000"/>
                <w:lang w:bidi="ar"/>
              </w:rPr>
              <w:t xml:space="preserve">： </w:t>
            </w:r>
            <w:r>
              <w:rPr>
                <w:rFonts w:hint="eastAsia" w:ascii="方正仿宋_GBK" w:hAnsi="方正仿宋_GBK" w:eastAsia="方正仿宋_GBK" w:cs="方正仿宋_GBK"/>
                <w:color w:val="000000"/>
              </w:rPr>
              <w:t>垫江县砚台镇人民政府（本级）</w:t>
            </w:r>
          </w:p>
        </w:tc>
        <w:tc>
          <w:tcPr>
            <w:tcW w:w="2473"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2473"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2473"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2473"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2558"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2639"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eastAsia" w:ascii="方正仿宋_GBK" w:hAnsi="方正仿宋_GBK" w:eastAsia="方正仿宋_GBK" w:cs="方正仿宋_GBK"/>
                <w:color w:val="000000"/>
              </w:rPr>
            </w:pPr>
            <w:r>
              <w:rPr>
                <w:rFonts w:hint="eastAsia" w:ascii="方正仿宋_GBK" w:hAnsi="方正仿宋_GBK" w:eastAsia="方正仿宋_GBK" w:cs="方正仿宋_GBK"/>
                <w:color w:val="000000"/>
                <w:lang w:bidi="ar"/>
              </w:rPr>
              <w:t>公开07表</w:t>
            </w:r>
          </w:p>
        </w:tc>
      </w:tr>
      <w:tr>
        <w:tblPrEx>
          <w:tblCellMar>
            <w:top w:w="0" w:type="dxa"/>
            <w:left w:w="0" w:type="dxa"/>
            <w:bottom w:w="0" w:type="dxa"/>
            <w:right w:w="0" w:type="dxa"/>
          </w:tblCellMar>
        </w:tblPrEx>
        <w:trPr>
          <w:trHeight w:val="329" w:hRule="atLeast"/>
        </w:trPr>
        <w:tc>
          <w:tcPr>
            <w:tcW w:w="7151" w:type="dxa"/>
            <w:gridSpan w:val="2"/>
            <w:vMerge w:val="continue"/>
            <w:tcBorders>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2473"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2473"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2473"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2473"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2558"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2639"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eastAsia" w:ascii="方正仿宋_GBK" w:hAnsi="方正仿宋_GBK" w:eastAsia="方正仿宋_GBK" w:cs="方正仿宋_GBK"/>
                <w:color w:val="000000"/>
              </w:rPr>
            </w:pPr>
            <w:r>
              <w:rPr>
                <w:rFonts w:hint="eastAsia" w:ascii="方正仿宋_GBK" w:hAnsi="方正仿宋_GBK" w:eastAsia="方正仿宋_GBK" w:cs="方正仿宋_GBK"/>
                <w:color w:val="000000"/>
                <w:lang w:bidi="ar"/>
              </w:rPr>
              <w:t>单位：</w:t>
            </w:r>
            <w:r>
              <w:rPr>
                <w:rFonts w:hint="eastAsia" w:ascii="方正仿宋_GBK" w:hAnsi="方正仿宋_GBK" w:eastAsia="方正仿宋_GBK" w:cs="方正仿宋_GBK"/>
              </w:rPr>
              <w:t>万元</w:t>
            </w:r>
          </w:p>
        </w:tc>
      </w:tr>
      <w:tr>
        <w:tblPrEx>
          <w:tblCellMar>
            <w:top w:w="0" w:type="dxa"/>
            <w:left w:w="0" w:type="dxa"/>
            <w:bottom w:w="0" w:type="dxa"/>
            <w:right w:w="0" w:type="dxa"/>
          </w:tblCellMar>
        </w:tblPrEx>
        <w:trPr>
          <w:trHeight w:val="339" w:hRule="atLeast"/>
        </w:trPr>
        <w:tc>
          <w:tcPr>
            <w:tcW w:w="7151"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项目</w:t>
            </w:r>
          </w:p>
        </w:tc>
        <w:tc>
          <w:tcPr>
            <w:tcW w:w="247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年初结转和结余</w:t>
            </w:r>
          </w:p>
        </w:tc>
        <w:tc>
          <w:tcPr>
            <w:tcW w:w="247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本年收入</w:t>
            </w:r>
          </w:p>
        </w:tc>
        <w:tc>
          <w:tcPr>
            <w:tcW w:w="7504"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本年支出</w:t>
            </w:r>
          </w:p>
        </w:tc>
        <w:tc>
          <w:tcPr>
            <w:tcW w:w="263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年末结转和结余</w:t>
            </w:r>
          </w:p>
        </w:tc>
      </w:tr>
      <w:tr>
        <w:tblPrEx>
          <w:tblCellMar>
            <w:top w:w="0" w:type="dxa"/>
            <w:left w:w="0" w:type="dxa"/>
            <w:bottom w:w="0" w:type="dxa"/>
            <w:right w:w="0" w:type="dxa"/>
          </w:tblCellMar>
        </w:tblPrEx>
        <w:trPr>
          <w:trHeight w:val="335" w:hRule="atLeast"/>
        </w:trPr>
        <w:tc>
          <w:tcPr>
            <w:tcW w:w="268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功能分类科目编码</w:t>
            </w:r>
          </w:p>
        </w:tc>
        <w:tc>
          <w:tcPr>
            <w:tcW w:w="446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项目（按“项”级功能分类科目）</w:t>
            </w: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合计</w:t>
            </w: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基本支出</w:t>
            </w:r>
          </w:p>
        </w:tc>
        <w:tc>
          <w:tcPr>
            <w:tcW w:w="2558"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项目支出</w:t>
            </w: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r>
      <w:tr>
        <w:tblPrEx>
          <w:tblCellMar>
            <w:top w:w="0" w:type="dxa"/>
            <w:left w:w="0" w:type="dxa"/>
            <w:bottom w:w="0" w:type="dxa"/>
            <w:right w:w="0" w:type="dxa"/>
          </w:tblCellMar>
        </w:tblPrEx>
        <w:trPr>
          <w:trHeight w:val="33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r>
      <w:tr>
        <w:tblPrEx>
          <w:tblCellMar>
            <w:top w:w="0" w:type="dxa"/>
            <w:left w:w="0" w:type="dxa"/>
            <w:bottom w:w="0" w:type="dxa"/>
            <w:right w:w="0" w:type="dxa"/>
          </w:tblCellMar>
        </w:tblPrEx>
        <w:trPr>
          <w:trHeight w:val="64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r>
      <w:tr>
        <w:tblPrEx>
          <w:tblCellMar>
            <w:top w:w="0" w:type="dxa"/>
            <w:left w:w="0" w:type="dxa"/>
            <w:bottom w:w="0" w:type="dxa"/>
            <w:right w:w="0" w:type="dxa"/>
          </w:tblCellMar>
        </w:tblPrEx>
        <w:trPr>
          <w:trHeight w:val="339" w:hRule="atLeast"/>
        </w:trPr>
        <w:tc>
          <w:tcPr>
            <w:tcW w:w="7151"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合计</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bCs/>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bCs/>
                <w:color w:val="000000"/>
                <w:sz w:val="21"/>
                <w:szCs w:val="21"/>
                <w:lang w:bidi="ar"/>
              </w:rPr>
              <w:t xml:space="preserve">903.99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bCs/>
                <w:color w:val="000000"/>
                <w:sz w:val="21"/>
                <w:szCs w:val="21"/>
                <w:lang w:bidi="ar"/>
              </w:rPr>
              <w:t xml:space="preserve">903.99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bCs/>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bCs/>
                <w:color w:val="000000"/>
                <w:sz w:val="21"/>
                <w:szCs w:val="21"/>
                <w:lang w:bidi="ar"/>
              </w:rPr>
              <w:t xml:space="preserve">903.99 </w:t>
            </w:r>
          </w:p>
        </w:tc>
        <w:tc>
          <w:tcPr>
            <w:tcW w:w="26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bCs/>
                <w:color w:val="000000"/>
                <w:sz w:val="21"/>
                <w:szCs w:val="21"/>
                <w:lang w:bidi="ar"/>
              </w:rPr>
              <w:t xml:space="preserve"> </w:t>
            </w:r>
          </w:p>
        </w:tc>
      </w:tr>
      <w:tr>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212</w:t>
            </w:r>
          </w:p>
        </w:tc>
        <w:tc>
          <w:tcPr>
            <w:tcW w:w="4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城乡社区支出</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800.68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800.68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800.68 </w:t>
            </w:r>
          </w:p>
        </w:tc>
        <w:tc>
          <w:tcPr>
            <w:tcW w:w="26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21208</w:t>
            </w:r>
          </w:p>
        </w:tc>
        <w:tc>
          <w:tcPr>
            <w:tcW w:w="4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国有土地使用权出让收入安排的支出</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800.68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800.68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800.68 </w:t>
            </w:r>
          </w:p>
        </w:tc>
        <w:tc>
          <w:tcPr>
            <w:tcW w:w="26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2120899</w:t>
            </w:r>
          </w:p>
        </w:tc>
        <w:tc>
          <w:tcPr>
            <w:tcW w:w="4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其他国有土地使用权出让收入安排的支出</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800.68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800.68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800.68 </w:t>
            </w:r>
          </w:p>
        </w:tc>
        <w:tc>
          <w:tcPr>
            <w:tcW w:w="26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229</w:t>
            </w:r>
          </w:p>
        </w:tc>
        <w:tc>
          <w:tcPr>
            <w:tcW w:w="4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其他支出</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103.31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103.31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103.31 </w:t>
            </w:r>
          </w:p>
        </w:tc>
        <w:tc>
          <w:tcPr>
            <w:tcW w:w="26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22960</w:t>
            </w:r>
          </w:p>
        </w:tc>
        <w:tc>
          <w:tcPr>
            <w:tcW w:w="4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彩票公益金安排的支出</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103.31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103.31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103.31 </w:t>
            </w:r>
          </w:p>
        </w:tc>
        <w:tc>
          <w:tcPr>
            <w:tcW w:w="26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2296099</w:t>
            </w:r>
          </w:p>
        </w:tc>
        <w:tc>
          <w:tcPr>
            <w:tcW w:w="4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用于其他社会公益事业的彩票公益金支出</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103.31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103.31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103.31 </w:t>
            </w:r>
          </w:p>
        </w:tc>
        <w:tc>
          <w:tcPr>
            <w:tcW w:w="26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r>
    </w:tbl>
    <w:p>
      <w:pPr>
        <w:rPr>
          <w:rFonts w:hint="eastAsia" w:ascii="方正仿宋_GBK" w:hAnsi="方正仿宋_GBK" w:eastAsia="方正仿宋_GBK" w:cs="方正仿宋_GBK"/>
          <w:sz w:val="21"/>
          <w:szCs w:val="21"/>
          <w:lang w:bidi="ar"/>
        </w:rPr>
      </w:pPr>
      <w:r>
        <w:rPr>
          <w:rFonts w:hint="eastAsia" w:ascii="方正仿宋_GBK" w:hAnsi="方正仿宋_GBK" w:eastAsia="方正仿宋_GBK" w:cs="方正仿宋_GBK"/>
          <w:sz w:val="21"/>
          <w:szCs w:val="21"/>
          <w:lang w:bidi="ar"/>
        </w:rPr>
        <w:t>备注：1.本表反映单位本年度政府性基金预算财政拨款收入支出及结转和结余情况。</w:t>
      </w:r>
    </w:p>
    <w:p>
      <w:pPr>
        <w:rPr>
          <w:rFonts w:hint="eastAsia" w:ascii="方正仿宋_GBK" w:hAnsi="方正仿宋_GBK" w:eastAsia="方正仿宋_GBK" w:cs="方正仿宋_GBK"/>
          <w:sz w:val="21"/>
          <w:szCs w:val="21"/>
          <w:lang w:bidi="ar"/>
        </w:rPr>
      </w:pPr>
      <w:r>
        <w:rPr>
          <w:rFonts w:hint="eastAsia" w:ascii="方正仿宋_GBK" w:hAnsi="方正仿宋_GBK" w:eastAsia="方正仿宋_GBK" w:cs="方正仿宋_GBK"/>
          <w:sz w:val="21"/>
          <w:szCs w:val="21"/>
          <w:lang w:bidi="ar"/>
        </w:rPr>
        <w:t xml:space="preserve">      2.本套报表金额单位转换时可能存在尾数误差。</w:t>
      </w:r>
    </w:p>
    <w:p>
      <w:pPr>
        <w:rPr>
          <w:rFonts w:hint="eastAsia" w:ascii="方正仿宋_GBK" w:hAnsi="方正仿宋_GBK" w:eastAsia="方正仿宋_GBK" w:cs="方正仿宋_GBK"/>
          <w:sz w:val="21"/>
          <w:szCs w:val="21"/>
          <w:lang w:bidi="ar"/>
        </w:rPr>
      </w:pPr>
    </w:p>
    <w:p>
      <w:pPr>
        <w:rPr>
          <w:rFonts w:hint="eastAsia" w:ascii="方正仿宋_GBK" w:hAnsi="方正仿宋_GBK" w:eastAsia="方正仿宋_GBK" w:cs="方正仿宋_GBK"/>
          <w:sz w:val="21"/>
          <w:szCs w:val="21"/>
          <w:lang w:bidi="ar"/>
        </w:rPr>
      </w:pPr>
    </w:p>
    <w:p>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br w:type="page"/>
      </w:r>
    </w:p>
    <w:tbl>
      <w:tblPr>
        <w:tblStyle w:val="7"/>
        <w:tblW w:w="22220" w:type="dxa"/>
        <w:tblInd w:w="0" w:type="dxa"/>
        <w:tblLayout w:type="fixed"/>
        <w:tblCellMar>
          <w:top w:w="0" w:type="dxa"/>
          <w:left w:w="0" w:type="dxa"/>
          <w:bottom w:w="0" w:type="dxa"/>
          <w:right w:w="0" w:type="dxa"/>
        </w:tblCellMar>
      </w:tblPr>
      <w:tblGrid>
        <w:gridCol w:w="2729"/>
        <w:gridCol w:w="4420"/>
        <w:gridCol w:w="4736"/>
        <w:gridCol w:w="5423"/>
        <w:gridCol w:w="4912"/>
      </w:tblGrid>
      <w:tr>
        <w:tblPrEx>
          <w:tblCellMar>
            <w:top w:w="0" w:type="dxa"/>
            <w:left w:w="0" w:type="dxa"/>
            <w:bottom w:w="0" w:type="dxa"/>
            <w:right w:w="0" w:type="dxa"/>
          </w:tblCellMar>
        </w:tblPrEx>
        <w:trPr>
          <w:trHeight w:val="650" w:hRule="atLeast"/>
        </w:trPr>
        <w:tc>
          <w:tcPr>
            <w:tcW w:w="22220"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eastAsia" w:ascii="方正仿宋_GBK" w:hAnsi="方正仿宋_GBK" w:eastAsia="方正仿宋_GBK" w:cs="方正仿宋_GBK"/>
                <w:b/>
                <w:color w:val="000000"/>
                <w:sz w:val="40"/>
                <w:szCs w:val="40"/>
              </w:rPr>
            </w:pPr>
            <w:r>
              <w:rPr>
                <w:rFonts w:hint="eastAsia" w:ascii="方正仿宋_GBK" w:hAnsi="方正仿宋_GBK" w:eastAsia="方正仿宋_GBK" w:cs="方正仿宋_GBK"/>
                <w:b/>
                <w:color w:val="000000"/>
                <w:sz w:val="44"/>
                <w:szCs w:val="44"/>
                <w:lang w:bidi="ar"/>
              </w:rPr>
              <w:t>国有资本经营预算财政拨款支出决算表</w:t>
            </w:r>
          </w:p>
        </w:tc>
      </w:tr>
      <w:tr>
        <w:tblPrEx>
          <w:tblCellMar>
            <w:top w:w="0" w:type="dxa"/>
            <w:left w:w="0" w:type="dxa"/>
            <w:bottom w:w="0" w:type="dxa"/>
            <w:right w:w="0" w:type="dxa"/>
          </w:tblCellMar>
        </w:tblPrEx>
        <w:trPr>
          <w:trHeight w:val="332" w:hRule="atLeast"/>
        </w:trPr>
        <w:tc>
          <w:tcPr>
            <w:tcW w:w="7149" w:type="dxa"/>
            <w:gridSpan w:val="2"/>
            <w:vMerge w:val="restart"/>
            <w:tcBorders>
              <w:top w:val="nil"/>
              <w:left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rPr>
              <w:t>公开单位</w:t>
            </w:r>
            <w:r>
              <w:rPr>
                <w:rFonts w:hint="eastAsia" w:ascii="方正仿宋_GBK" w:hAnsi="方正仿宋_GBK" w:eastAsia="方正仿宋_GBK" w:cs="方正仿宋_GBK"/>
                <w:color w:val="000000"/>
                <w:lang w:bidi="ar"/>
              </w:rPr>
              <w:t xml:space="preserve">： </w:t>
            </w:r>
            <w:r>
              <w:rPr>
                <w:rFonts w:hint="eastAsia" w:ascii="方正仿宋_GBK" w:hAnsi="方正仿宋_GBK" w:eastAsia="方正仿宋_GBK" w:cs="方正仿宋_GBK"/>
                <w:color w:val="000000"/>
              </w:rPr>
              <w:t>垫江县砚台镇人民政府（本级）</w:t>
            </w:r>
          </w:p>
        </w:tc>
        <w:tc>
          <w:tcPr>
            <w:tcW w:w="4736"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5423"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4912"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eastAsia" w:ascii="方正仿宋_GBK" w:hAnsi="方正仿宋_GBK" w:eastAsia="方正仿宋_GBK" w:cs="方正仿宋_GBK"/>
                <w:color w:val="000000"/>
              </w:rPr>
            </w:pPr>
            <w:r>
              <w:rPr>
                <w:rFonts w:hint="eastAsia" w:ascii="方正仿宋_GBK" w:hAnsi="方正仿宋_GBK" w:eastAsia="方正仿宋_GBK" w:cs="方正仿宋_GBK"/>
                <w:color w:val="000000"/>
                <w:lang w:bidi="ar"/>
              </w:rPr>
              <w:t>公开08表</w:t>
            </w:r>
          </w:p>
        </w:tc>
      </w:tr>
      <w:tr>
        <w:tblPrEx>
          <w:tblCellMar>
            <w:top w:w="0" w:type="dxa"/>
            <w:left w:w="0" w:type="dxa"/>
            <w:bottom w:w="0" w:type="dxa"/>
            <w:right w:w="0" w:type="dxa"/>
          </w:tblCellMar>
        </w:tblPrEx>
        <w:trPr>
          <w:trHeight w:val="332" w:hRule="atLeast"/>
        </w:trPr>
        <w:tc>
          <w:tcPr>
            <w:tcW w:w="7149" w:type="dxa"/>
            <w:gridSpan w:val="2"/>
            <w:vMerge w:val="continue"/>
            <w:tcBorders>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4736"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5423"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4912"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eastAsia" w:ascii="方正仿宋_GBK" w:hAnsi="方正仿宋_GBK" w:eastAsia="方正仿宋_GBK" w:cs="方正仿宋_GBK"/>
                <w:color w:val="000000"/>
              </w:rPr>
            </w:pPr>
            <w:r>
              <w:rPr>
                <w:rFonts w:hint="eastAsia" w:ascii="方正仿宋_GBK" w:hAnsi="方正仿宋_GBK" w:eastAsia="方正仿宋_GBK" w:cs="方正仿宋_GBK"/>
                <w:color w:val="000000"/>
                <w:lang w:bidi="ar"/>
              </w:rPr>
              <w:t>单位：</w:t>
            </w:r>
            <w:r>
              <w:rPr>
                <w:rFonts w:hint="eastAsia" w:ascii="方正仿宋_GBK" w:hAnsi="方正仿宋_GBK" w:eastAsia="方正仿宋_GBK" w:cs="方正仿宋_GBK"/>
              </w:rPr>
              <w:t>万元</w:t>
            </w:r>
          </w:p>
        </w:tc>
      </w:tr>
      <w:tr>
        <w:tblPrEx>
          <w:tblCellMar>
            <w:top w:w="0" w:type="dxa"/>
            <w:left w:w="0" w:type="dxa"/>
            <w:bottom w:w="0" w:type="dxa"/>
            <w:right w:w="0" w:type="dxa"/>
          </w:tblCellMar>
        </w:tblPrEx>
        <w:trPr>
          <w:trHeight w:val="422"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jc w:val="center"/>
              <w:textAlignment w:val="bottom"/>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项目</w:t>
            </w:r>
          </w:p>
        </w:tc>
        <w:tc>
          <w:tcPr>
            <w:tcW w:w="15071" w:type="dxa"/>
            <w:gridSpan w:val="3"/>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jc w:val="center"/>
              <w:textAlignment w:val="bottom"/>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本年支出</w:t>
            </w:r>
          </w:p>
        </w:tc>
      </w:tr>
      <w:tr>
        <w:tblPrEx>
          <w:tblCellMar>
            <w:top w:w="0" w:type="dxa"/>
            <w:left w:w="0" w:type="dxa"/>
            <w:bottom w:w="0" w:type="dxa"/>
            <w:right w:w="0" w:type="dxa"/>
          </w:tblCellMar>
        </w:tblPrEx>
        <w:trPr>
          <w:trHeight w:val="339" w:hRule="atLeast"/>
        </w:trPr>
        <w:tc>
          <w:tcPr>
            <w:tcW w:w="272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功能分类科目编码</w:t>
            </w:r>
          </w:p>
        </w:tc>
        <w:tc>
          <w:tcPr>
            <w:tcW w:w="442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科目名称</w:t>
            </w:r>
          </w:p>
        </w:tc>
        <w:tc>
          <w:tcPr>
            <w:tcW w:w="4736"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合计</w:t>
            </w:r>
          </w:p>
        </w:tc>
        <w:tc>
          <w:tcPr>
            <w:tcW w:w="542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基本支出</w:t>
            </w:r>
          </w:p>
        </w:tc>
        <w:tc>
          <w:tcPr>
            <w:tcW w:w="491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项目支出</w:t>
            </w:r>
          </w:p>
        </w:tc>
      </w:tr>
      <w:tr>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r>
      <w:tr>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r>
      <w:tr>
        <w:tblPrEx>
          <w:tblCellMar>
            <w:top w:w="0" w:type="dxa"/>
            <w:left w:w="0" w:type="dxa"/>
            <w:bottom w:w="0" w:type="dxa"/>
            <w:right w:w="0" w:type="dxa"/>
          </w:tblCellMar>
        </w:tblPrEx>
        <w:trPr>
          <w:trHeight w:val="312"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r>
      <w:tr>
        <w:tblPrEx>
          <w:tblCellMar>
            <w:top w:w="0" w:type="dxa"/>
            <w:left w:w="0" w:type="dxa"/>
            <w:bottom w:w="0" w:type="dxa"/>
            <w:right w:w="0" w:type="dxa"/>
          </w:tblCellMar>
        </w:tblPrEx>
        <w:trPr>
          <w:trHeight w:val="611"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合计</w:t>
            </w:r>
          </w:p>
        </w:tc>
        <w:tc>
          <w:tcPr>
            <w:tcW w:w="47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bCs/>
                <w:color w:val="000000"/>
                <w:sz w:val="21"/>
                <w:szCs w:val="21"/>
                <w:lang w:bidi="ar"/>
              </w:rPr>
              <w:t xml:space="preserve">0.04 </w:t>
            </w:r>
          </w:p>
        </w:tc>
        <w:tc>
          <w:tcPr>
            <w:tcW w:w="54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b/>
                <w:color w:val="000000"/>
                <w:sz w:val="22"/>
                <w:szCs w:val="22"/>
              </w:rPr>
            </w:pPr>
          </w:p>
        </w:tc>
        <w:tc>
          <w:tcPr>
            <w:tcW w:w="49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bCs/>
                <w:color w:val="000000"/>
                <w:sz w:val="21"/>
                <w:szCs w:val="21"/>
                <w:lang w:bidi="ar"/>
              </w:rPr>
              <w:t xml:space="preserve">0.04 </w:t>
            </w:r>
          </w:p>
        </w:tc>
      </w:tr>
      <w:tr>
        <w:tblPrEx>
          <w:tblCellMar>
            <w:top w:w="0" w:type="dxa"/>
            <w:left w:w="0" w:type="dxa"/>
            <w:bottom w:w="0" w:type="dxa"/>
            <w:right w:w="0" w:type="dxa"/>
          </w:tblCellMar>
        </w:tblPrEx>
        <w:trPr>
          <w:trHeight w:val="488" w:hRule="atLeast"/>
        </w:trPr>
        <w:tc>
          <w:tcPr>
            <w:tcW w:w="27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223</w:t>
            </w:r>
          </w:p>
        </w:tc>
        <w:tc>
          <w:tcPr>
            <w:tcW w:w="44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国有资本经营预算支出</w:t>
            </w:r>
          </w:p>
        </w:tc>
        <w:tc>
          <w:tcPr>
            <w:tcW w:w="47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0.04 </w:t>
            </w:r>
          </w:p>
        </w:tc>
        <w:tc>
          <w:tcPr>
            <w:tcW w:w="54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b/>
                <w:color w:val="000000"/>
                <w:sz w:val="22"/>
                <w:szCs w:val="22"/>
              </w:rPr>
            </w:pPr>
          </w:p>
        </w:tc>
        <w:tc>
          <w:tcPr>
            <w:tcW w:w="49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0.04 </w:t>
            </w:r>
          </w:p>
        </w:tc>
      </w:tr>
      <w:tr>
        <w:tblPrEx>
          <w:tblCellMar>
            <w:top w:w="0" w:type="dxa"/>
            <w:left w:w="0" w:type="dxa"/>
            <w:bottom w:w="0" w:type="dxa"/>
            <w:right w:w="0" w:type="dxa"/>
          </w:tblCellMar>
        </w:tblPrEx>
        <w:trPr>
          <w:trHeight w:val="488" w:hRule="atLeast"/>
        </w:trPr>
        <w:tc>
          <w:tcPr>
            <w:tcW w:w="27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22301</w:t>
            </w:r>
          </w:p>
        </w:tc>
        <w:tc>
          <w:tcPr>
            <w:tcW w:w="44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解决历史遗留问题及改革成本支出</w:t>
            </w:r>
          </w:p>
        </w:tc>
        <w:tc>
          <w:tcPr>
            <w:tcW w:w="47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0.04 </w:t>
            </w:r>
          </w:p>
        </w:tc>
        <w:tc>
          <w:tcPr>
            <w:tcW w:w="54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b/>
                <w:color w:val="000000"/>
                <w:sz w:val="22"/>
                <w:szCs w:val="22"/>
              </w:rPr>
            </w:pPr>
          </w:p>
        </w:tc>
        <w:tc>
          <w:tcPr>
            <w:tcW w:w="49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0.04 </w:t>
            </w:r>
          </w:p>
        </w:tc>
      </w:tr>
      <w:tr>
        <w:tblPrEx>
          <w:tblCellMar>
            <w:top w:w="0" w:type="dxa"/>
            <w:left w:w="0" w:type="dxa"/>
            <w:bottom w:w="0" w:type="dxa"/>
            <w:right w:w="0" w:type="dxa"/>
          </w:tblCellMar>
        </w:tblPrEx>
        <w:trPr>
          <w:trHeight w:val="488" w:hRule="atLeast"/>
        </w:trPr>
        <w:tc>
          <w:tcPr>
            <w:tcW w:w="27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2230105</w:t>
            </w:r>
          </w:p>
        </w:tc>
        <w:tc>
          <w:tcPr>
            <w:tcW w:w="44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国有企业退休人员社会化管理补助支出</w:t>
            </w:r>
          </w:p>
        </w:tc>
        <w:tc>
          <w:tcPr>
            <w:tcW w:w="47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0.04 </w:t>
            </w:r>
          </w:p>
        </w:tc>
        <w:tc>
          <w:tcPr>
            <w:tcW w:w="54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b/>
                <w:color w:val="000000"/>
                <w:sz w:val="22"/>
                <w:szCs w:val="22"/>
              </w:rPr>
            </w:pPr>
          </w:p>
        </w:tc>
        <w:tc>
          <w:tcPr>
            <w:tcW w:w="49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0.04 </w:t>
            </w:r>
          </w:p>
        </w:tc>
      </w:tr>
    </w:tbl>
    <w:p>
      <w:pPr>
        <w:rPr>
          <w:rFonts w:hint="eastAsia" w:ascii="方正仿宋_GBK" w:hAnsi="方正仿宋_GBK" w:eastAsia="方正仿宋_GBK" w:cs="方正仿宋_GBK"/>
          <w:sz w:val="21"/>
          <w:szCs w:val="21"/>
          <w:lang w:bidi="ar"/>
        </w:rPr>
      </w:pPr>
      <w:r>
        <w:rPr>
          <w:rFonts w:hint="eastAsia" w:ascii="方正仿宋_GBK" w:hAnsi="方正仿宋_GBK" w:eastAsia="方正仿宋_GBK" w:cs="方正仿宋_GBK"/>
          <w:sz w:val="21"/>
          <w:szCs w:val="21"/>
          <w:lang w:bidi="ar"/>
        </w:rPr>
        <w:t>备注：1.本表反映单位本年度国有资本经营预算财政拨款支出情况。</w:t>
      </w:r>
    </w:p>
    <w:p>
      <w:pPr>
        <w:rPr>
          <w:rFonts w:hint="eastAsia" w:ascii="方正仿宋_GBK" w:hAnsi="方正仿宋_GBK" w:eastAsia="方正仿宋_GBK" w:cs="方正仿宋_GBK"/>
          <w:sz w:val="21"/>
          <w:szCs w:val="21"/>
          <w:lang w:bidi="ar"/>
        </w:rPr>
      </w:pPr>
      <w:r>
        <w:rPr>
          <w:rFonts w:hint="eastAsia" w:ascii="方正仿宋_GBK" w:hAnsi="方正仿宋_GBK" w:eastAsia="方正仿宋_GBK" w:cs="方正仿宋_GBK"/>
          <w:sz w:val="21"/>
          <w:szCs w:val="21"/>
          <w:lang w:bidi="ar"/>
        </w:rPr>
        <w:t xml:space="preserve">      2.本套报表金额单位转换时可能存在尾数误差。</w:t>
      </w:r>
    </w:p>
    <w:p>
      <w:pPr>
        <w:rPr>
          <w:rFonts w:hint="eastAsia" w:ascii="方正仿宋_GBK" w:hAnsi="方正仿宋_GBK" w:eastAsia="方正仿宋_GBK" w:cs="方正仿宋_GBK"/>
          <w:sz w:val="21"/>
          <w:szCs w:val="21"/>
          <w:lang w:bidi="ar"/>
        </w:rPr>
      </w:pPr>
    </w:p>
    <w:p>
      <w:pPr>
        <w:rPr>
          <w:rFonts w:hint="eastAsia" w:ascii="方正仿宋_GBK" w:hAnsi="方正仿宋_GBK" w:eastAsia="方正仿宋_GBK" w:cs="方正仿宋_GBK"/>
          <w:sz w:val="21"/>
          <w:szCs w:val="21"/>
          <w:lang w:bidi="ar"/>
        </w:rPr>
      </w:pPr>
    </w:p>
    <w:p>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br w:type="page"/>
      </w:r>
    </w:p>
    <w:tbl>
      <w:tblPr>
        <w:tblStyle w:val="7"/>
        <w:tblW w:w="22168" w:type="dxa"/>
        <w:tblInd w:w="0" w:type="dxa"/>
        <w:tblLayout w:type="fixed"/>
        <w:tblCellMar>
          <w:top w:w="0" w:type="dxa"/>
          <w:left w:w="0" w:type="dxa"/>
          <w:bottom w:w="0" w:type="dxa"/>
          <w:right w:w="0" w:type="dxa"/>
        </w:tblCellMar>
      </w:tblPr>
      <w:tblGrid>
        <w:gridCol w:w="5159"/>
        <w:gridCol w:w="3822"/>
        <w:gridCol w:w="3281"/>
        <w:gridCol w:w="6581"/>
        <w:gridCol w:w="3325"/>
      </w:tblGrid>
      <w:tr>
        <w:tblPrEx>
          <w:tblCellMar>
            <w:top w:w="0" w:type="dxa"/>
            <w:left w:w="0" w:type="dxa"/>
            <w:bottom w:w="0" w:type="dxa"/>
            <w:right w:w="0" w:type="dxa"/>
          </w:tblCellMar>
        </w:tblPrEx>
        <w:trPr>
          <w:trHeight w:val="510" w:hRule="atLeast"/>
        </w:trPr>
        <w:tc>
          <w:tcPr>
            <w:tcW w:w="22168"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eastAsia" w:ascii="方正仿宋_GBK" w:hAnsi="方正仿宋_GBK" w:eastAsia="方正仿宋_GBK" w:cs="方正仿宋_GBK"/>
                <w:b/>
                <w:color w:val="000000"/>
                <w:sz w:val="40"/>
                <w:szCs w:val="40"/>
              </w:rPr>
            </w:pPr>
            <w:r>
              <w:rPr>
                <w:rFonts w:hint="eastAsia" w:ascii="方正仿宋_GBK" w:hAnsi="方正仿宋_GBK" w:eastAsia="方正仿宋_GBK" w:cs="方正仿宋_GBK"/>
                <w:b/>
                <w:color w:val="000000"/>
                <w:sz w:val="44"/>
                <w:szCs w:val="44"/>
                <w:lang w:bidi="ar"/>
              </w:rPr>
              <w:t>机构运行信息表</w:t>
            </w:r>
          </w:p>
        </w:tc>
      </w:tr>
      <w:tr>
        <w:tblPrEx>
          <w:tblCellMar>
            <w:top w:w="0" w:type="dxa"/>
            <w:left w:w="0" w:type="dxa"/>
            <w:bottom w:w="0" w:type="dxa"/>
            <w:right w:w="0" w:type="dxa"/>
          </w:tblCellMar>
        </w:tblPrEx>
        <w:trPr>
          <w:trHeight w:val="255" w:hRule="atLeast"/>
        </w:trPr>
        <w:tc>
          <w:tcPr>
            <w:tcW w:w="5159"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3822" w:type="dxa"/>
            <w:tcBorders>
              <w:top w:val="nil"/>
              <w:left w:val="nil"/>
              <w:bottom w:val="nil"/>
              <w:right w:val="nil"/>
            </w:tcBorders>
            <w:shd w:val="clear" w:color="auto" w:fill="auto"/>
            <w:tcMar>
              <w:top w:w="15" w:type="dxa"/>
              <w:left w:w="15" w:type="dxa"/>
              <w:right w:w="15" w:type="dxa"/>
            </w:tcMar>
            <w:vAlign w:val="bottom"/>
          </w:tcPr>
          <w:p>
            <w:pPr>
              <w:jc w:val="center"/>
              <w:rPr>
                <w:rFonts w:hint="eastAsia" w:ascii="方正仿宋_GBK" w:hAnsi="方正仿宋_GBK" w:eastAsia="方正仿宋_GBK" w:cs="方正仿宋_GBK"/>
                <w:color w:val="000000"/>
                <w:sz w:val="20"/>
                <w:szCs w:val="20"/>
              </w:rPr>
            </w:pPr>
          </w:p>
        </w:tc>
        <w:tc>
          <w:tcPr>
            <w:tcW w:w="3281" w:type="dxa"/>
            <w:tcBorders>
              <w:top w:val="nil"/>
              <w:left w:val="nil"/>
              <w:bottom w:val="nil"/>
              <w:right w:val="nil"/>
            </w:tcBorders>
            <w:shd w:val="clear" w:color="auto" w:fill="auto"/>
            <w:tcMar>
              <w:top w:w="15" w:type="dxa"/>
              <w:left w:w="15" w:type="dxa"/>
              <w:right w:w="15" w:type="dxa"/>
            </w:tcMar>
            <w:vAlign w:val="bottom"/>
          </w:tcPr>
          <w:p>
            <w:pPr>
              <w:jc w:val="right"/>
              <w:rPr>
                <w:rFonts w:hint="eastAsia" w:ascii="方正仿宋_GBK" w:hAnsi="方正仿宋_GBK" w:eastAsia="方正仿宋_GBK" w:cs="方正仿宋_GBK"/>
                <w:color w:val="000000"/>
                <w:sz w:val="20"/>
                <w:szCs w:val="20"/>
              </w:rPr>
            </w:pPr>
          </w:p>
        </w:tc>
        <w:tc>
          <w:tcPr>
            <w:tcW w:w="6581"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332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eastAsia" w:ascii="方正仿宋_GBK" w:hAnsi="方正仿宋_GBK" w:eastAsia="方正仿宋_GBK" w:cs="方正仿宋_GBK"/>
                <w:color w:val="000000"/>
              </w:rPr>
            </w:pPr>
            <w:r>
              <w:rPr>
                <w:rFonts w:hint="eastAsia" w:ascii="方正仿宋_GBK" w:hAnsi="方正仿宋_GBK" w:eastAsia="方正仿宋_GBK" w:cs="方正仿宋_GBK"/>
                <w:color w:val="000000"/>
                <w:lang w:bidi="ar"/>
              </w:rPr>
              <w:t>公开09表</w:t>
            </w:r>
          </w:p>
        </w:tc>
      </w:tr>
      <w:tr>
        <w:tblPrEx>
          <w:tblCellMar>
            <w:top w:w="0" w:type="dxa"/>
            <w:left w:w="0" w:type="dxa"/>
            <w:bottom w:w="0" w:type="dxa"/>
            <w:right w:w="0" w:type="dxa"/>
          </w:tblCellMar>
        </w:tblPrEx>
        <w:trPr>
          <w:trHeight w:val="285" w:hRule="atLeast"/>
        </w:trPr>
        <w:tc>
          <w:tcPr>
            <w:tcW w:w="5159" w:type="dxa"/>
            <w:tcBorders>
              <w:top w:val="nil"/>
              <w:left w:val="nil"/>
              <w:bottom w:val="nil"/>
              <w:right w:val="nil"/>
            </w:tcBorders>
            <w:shd w:val="clear" w:color="auto" w:fill="auto"/>
            <w:tcMar>
              <w:top w:w="15" w:type="dxa"/>
              <w:left w:w="15" w:type="dxa"/>
              <w:right w:w="15" w:type="dxa"/>
            </w:tcMar>
            <w:vAlign w:val="bottom"/>
          </w:tcPr>
          <w:p>
            <w:pPr>
              <w:textAlignment w:val="bottom"/>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rPr>
              <w:t>公开单位</w:t>
            </w:r>
            <w:r>
              <w:rPr>
                <w:rFonts w:hint="eastAsia" w:ascii="方正仿宋_GBK" w:hAnsi="方正仿宋_GBK" w:eastAsia="方正仿宋_GBK" w:cs="方正仿宋_GBK"/>
                <w:color w:val="000000"/>
                <w:lang w:bidi="ar"/>
              </w:rPr>
              <w:t xml:space="preserve">： </w:t>
            </w:r>
            <w:r>
              <w:rPr>
                <w:rFonts w:hint="eastAsia" w:ascii="方正仿宋_GBK" w:hAnsi="方正仿宋_GBK" w:eastAsia="方正仿宋_GBK" w:cs="方正仿宋_GBK"/>
                <w:color w:val="000000"/>
              </w:rPr>
              <w:t>垫江县砚台镇人民政府（本级）</w:t>
            </w:r>
          </w:p>
        </w:tc>
        <w:tc>
          <w:tcPr>
            <w:tcW w:w="3822" w:type="dxa"/>
            <w:tcBorders>
              <w:top w:val="nil"/>
              <w:left w:val="nil"/>
              <w:bottom w:val="nil"/>
              <w:right w:val="nil"/>
            </w:tcBorders>
            <w:shd w:val="clear" w:color="auto" w:fill="auto"/>
            <w:tcMar>
              <w:top w:w="15" w:type="dxa"/>
              <w:left w:w="15" w:type="dxa"/>
              <w:right w:w="15" w:type="dxa"/>
            </w:tcMar>
            <w:vAlign w:val="bottom"/>
          </w:tcPr>
          <w:p>
            <w:pPr>
              <w:jc w:val="center"/>
              <w:rPr>
                <w:rFonts w:hint="eastAsia" w:ascii="方正仿宋_GBK" w:hAnsi="方正仿宋_GBK" w:eastAsia="方正仿宋_GBK" w:cs="方正仿宋_GBK"/>
                <w:color w:val="000000"/>
                <w:sz w:val="22"/>
                <w:szCs w:val="22"/>
              </w:rPr>
            </w:pPr>
          </w:p>
        </w:tc>
        <w:tc>
          <w:tcPr>
            <w:tcW w:w="3281" w:type="dxa"/>
            <w:tcBorders>
              <w:top w:val="nil"/>
              <w:left w:val="nil"/>
              <w:bottom w:val="nil"/>
              <w:right w:val="nil"/>
            </w:tcBorders>
            <w:shd w:val="clear" w:color="auto" w:fill="auto"/>
            <w:tcMar>
              <w:top w:w="15" w:type="dxa"/>
              <w:left w:w="15" w:type="dxa"/>
              <w:right w:w="15" w:type="dxa"/>
            </w:tcMar>
            <w:vAlign w:val="bottom"/>
          </w:tcPr>
          <w:p>
            <w:pPr>
              <w:jc w:val="right"/>
              <w:rPr>
                <w:rFonts w:hint="eastAsia" w:ascii="方正仿宋_GBK" w:hAnsi="方正仿宋_GBK" w:eastAsia="方正仿宋_GBK" w:cs="方正仿宋_GBK"/>
                <w:color w:val="000000"/>
                <w:sz w:val="22"/>
                <w:szCs w:val="22"/>
              </w:rPr>
            </w:pPr>
          </w:p>
        </w:tc>
        <w:tc>
          <w:tcPr>
            <w:tcW w:w="6581"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332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eastAsia" w:ascii="方正仿宋_GBK" w:hAnsi="方正仿宋_GBK" w:eastAsia="方正仿宋_GBK" w:cs="方正仿宋_GBK"/>
                <w:color w:val="000000"/>
              </w:rPr>
            </w:pPr>
            <w:r>
              <w:rPr>
                <w:rFonts w:hint="eastAsia" w:ascii="方正仿宋_GBK" w:hAnsi="方正仿宋_GBK" w:eastAsia="方正仿宋_GBK" w:cs="方正仿宋_GBK"/>
                <w:color w:val="000000"/>
                <w:lang w:bidi="ar"/>
              </w:rPr>
              <w:t>单位：</w:t>
            </w:r>
            <w:r>
              <w:rPr>
                <w:rFonts w:hint="eastAsia" w:ascii="方正仿宋_GBK" w:hAnsi="方正仿宋_GBK" w:eastAsia="方正仿宋_GBK" w:cs="方正仿宋_GBK"/>
              </w:rPr>
              <w:t>万元</w:t>
            </w:r>
          </w:p>
        </w:tc>
      </w:tr>
      <w:tr>
        <w:tblPrEx>
          <w:tblCellMar>
            <w:top w:w="0" w:type="dxa"/>
            <w:left w:w="0" w:type="dxa"/>
            <w:bottom w:w="0" w:type="dxa"/>
            <w:right w:w="0" w:type="dxa"/>
          </w:tblCellMar>
        </w:tblPrEx>
        <w:trPr>
          <w:trHeight w:val="308" w:hRule="atLeast"/>
        </w:trPr>
        <w:tc>
          <w:tcPr>
            <w:tcW w:w="5159" w:type="dxa"/>
            <w:tcBorders>
              <w:top w:val="single" w:color="000000" w:sz="4" w:space="0"/>
              <w:left w:val="single" w:color="000000" w:sz="4" w:space="0"/>
              <w:bottom w:val="single" w:color="000000" w:sz="4" w:space="0"/>
              <w:right w:val="nil"/>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项  目</w:t>
            </w:r>
          </w:p>
        </w:tc>
        <w:tc>
          <w:tcPr>
            <w:tcW w:w="38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预算数</w:t>
            </w:r>
          </w:p>
        </w:tc>
        <w:tc>
          <w:tcPr>
            <w:tcW w:w="3281" w:type="dxa"/>
            <w:tcBorders>
              <w:top w:val="single" w:color="000000" w:sz="4" w:space="0"/>
              <w:left w:val="nil"/>
              <w:bottom w:val="nil"/>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决算数</w:t>
            </w:r>
          </w:p>
        </w:tc>
        <w:tc>
          <w:tcPr>
            <w:tcW w:w="6581"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项  目</w:t>
            </w:r>
          </w:p>
        </w:tc>
        <w:tc>
          <w:tcPr>
            <w:tcW w:w="3325" w:type="dxa"/>
            <w:tcBorders>
              <w:top w:val="single" w:color="000000" w:sz="4" w:space="0"/>
              <w:left w:val="nil"/>
              <w:bottom w:val="nil"/>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决算数</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一、“三公”经费支出</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四、机关运行经费</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122.46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（一）支出合计</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5.33 </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5.33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（一）行政单位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122.46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1．因公出国（境）费</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（二）参照公务员法管理事业单位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2．公务用车购置及运行维护费</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0.95 </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0.95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五、资产信息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（1）公务用车购置费</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（一）车辆数合计（辆）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2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（2）公务用车运行维护费</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0.95 </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0.95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1．副部（省）级及以上领导用车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3．公务接待费</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4.38 </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4.38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2．主要领导干部用车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（1）国内接待费</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4.38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3．机要通信用车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1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其中：外事接待费</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4．应急保障用车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1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（2）国（境）外接待费</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5．执法执勤用车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（二）相关统计数</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6．特种专业技术用车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1．因公出国（境）团组数（个）</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7．离退休干部用车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2．因公出国（境）人次数（人）</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8．其他用车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3．公务用车购置数（辆）</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（二）单价100万元（含）以上设备（不含车辆）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4．公务用车保有量（辆）</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2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六、政府采购支出信息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5．国内公务接待批次（个）</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15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（一）政府采购支出合计</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其中：外事接待批次（个）</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1．政府采购货物支出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6．国内公务接待人次（人）</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230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2．政府采购工程支出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其中：外事接待人次（人）</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3．政府采购服务支出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7．国（境）外公务接待批次（个）</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（二）政府采购授予中小企业合同金额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8．国（境）外公务接待人次（人）</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其中：授予小微企业合同金额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二、会议费</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4.30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right"/>
              <w:rPr>
                <w:rFonts w:hint="eastAsia" w:ascii="方正仿宋_GBK" w:hAnsi="方正仿宋_GBK" w:eastAsia="方正仿宋_GBK" w:cs="方正仿宋_GBK"/>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三、培训费</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0.27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right"/>
              <w:rPr>
                <w:rFonts w:hint="eastAsia" w:ascii="方正仿宋_GBK" w:hAnsi="方正仿宋_GBK" w:eastAsia="方正仿宋_GBK" w:cs="方正仿宋_GBK"/>
                <w:color w:val="000000"/>
                <w:sz w:val="20"/>
                <w:szCs w:val="20"/>
              </w:rPr>
            </w:pPr>
          </w:p>
        </w:tc>
      </w:tr>
    </w:tbl>
    <w:p>
      <w:pPr>
        <w:rPr>
          <w:rFonts w:hint="eastAsia" w:ascii="方正仿宋_GBK" w:hAnsi="方正仿宋_GBK" w:eastAsia="方正仿宋_GBK" w:cs="方正仿宋_GBK"/>
          <w:sz w:val="21"/>
          <w:szCs w:val="21"/>
          <w:lang w:bidi="ar"/>
        </w:rPr>
      </w:pPr>
      <w:r>
        <w:rPr>
          <w:rFonts w:hint="eastAsia" w:ascii="方正仿宋_GBK" w:hAnsi="方正仿宋_GBK" w:eastAsia="方正仿宋_GBK" w:cs="方正仿宋_GBK"/>
          <w:sz w:val="21"/>
          <w:szCs w:val="21"/>
          <w:lang w:bidi="ar"/>
        </w:rPr>
        <w:t>备注：1.本表反映单位本年度财政拨款“三公”经费支出预决算情况。其中，预算数为“三公”经费全年预算数，反映按规定程序调整后的预算数；决算数为包括本年度财政拨款和以前年度结转资金安排的实际支出。</w:t>
      </w:r>
    </w:p>
    <w:p>
      <w:pPr>
        <w:rPr>
          <w:rFonts w:hint="eastAsia" w:ascii="方正仿宋_GBK" w:hAnsi="方正仿宋_GBK" w:eastAsia="方正仿宋_GBK" w:cs="方正仿宋_GBK"/>
          <w:sz w:val="21"/>
          <w:szCs w:val="21"/>
          <w:lang w:bidi="ar"/>
        </w:rPr>
      </w:pPr>
      <w:r>
        <w:rPr>
          <w:rFonts w:hint="eastAsia" w:ascii="方正仿宋_GBK" w:hAnsi="方正仿宋_GBK" w:eastAsia="方正仿宋_GBK" w:cs="方正仿宋_GBK"/>
          <w:sz w:val="21"/>
          <w:szCs w:val="21"/>
          <w:lang w:bidi="ar"/>
        </w:rPr>
        <w:t xml:space="preserve">      2.本套报表金额单位转换时可能存在尾数误差。</w:t>
      </w:r>
    </w:p>
    <w:p>
      <w:pPr>
        <w:rPr>
          <w:rFonts w:hint="eastAsia" w:ascii="方正仿宋_GBK" w:hAnsi="方正仿宋_GBK" w:eastAsia="方正仿宋_GBK" w:cs="方正仿宋_GBK"/>
          <w:sz w:val="21"/>
          <w:szCs w:val="21"/>
          <w:lang w:bidi="ar"/>
        </w:rPr>
      </w:pPr>
    </w:p>
    <w:p>
      <w:pPr>
        <w:rPr>
          <w:rFonts w:hint="eastAsia" w:ascii="方正仿宋_GBK" w:hAnsi="方正仿宋_GBK" w:eastAsia="方正仿宋_GBK" w:cs="方正仿宋_GBK"/>
          <w:sz w:val="21"/>
          <w:szCs w:val="21"/>
          <w:lang w:bidi="ar"/>
        </w:rPr>
      </w:pPr>
    </w:p>
    <w:p>
      <w:pPr>
        <w:rPr>
          <w:rFonts w:hint="eastAsia" w:ascii="方正仿宋_GBK" w:hAnsi="方正仿宋_GBK" w:eastAsia="方正仿宋_GBK" w:cs="方正仿宋_GBK"/>
          <w:color w:val="000000"/>
          <w:sz w:val="21"/>
          <w:szCs w:val="21"/>
          <w:lang w:bidi="ar"/>
        </w:rPr>
      </w:pPr>
    </w:p>
    <w:p>
      <w:pPr>
        <w:rPr>
          <w:rFonts w:hint="eastAsia" w:ascii="方正仿宋_GBK" w:hAnsi="方正仿宋_GBK" w:eastAsia="方正仿宋_GBK" w:cs="方正仿宋_GBK"/>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pStyle w:val="11"/>
        <w:autoSpaceDE w:val="0"/>
        <w:ind w:firstLine="0" w:firstLineChars="0"/>
        <w:rPr>
          <w:rFonts w:cs="宋体"/>
          <w:sz w:val="21"/>
          <w:szCs w:val="21"/>
        </w:rPr>
      </w:pPr>
    </w:p>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rPr>
                          </w:pPr>
                          <w:r>
                            <w:fldChar w:fldCharType="begin"/>
                          </w:r>
                          <w:r>
                            <w:instrText xml:space="preserve"> PAGE  \* MERGEFORMAT </w:instrText>
                          </w:r>
                          <w:r>
                            <w:fldChar w:fldCharType="separate"/>
                          </w:r>
                          <w:r>
                            <w:rPr>
                              <w:rFonts w:hint="default"/>
                            </w:rPr>
                            <w:t>- 11 -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F037D0"/>
    <w:multiLevelType w:val="singleLevel"/>
    <w:tmpl w:val="8FF037D0"/>
    <w:lvl w:ilvl="0" w:tentative="0">
      <w:start w:val="1"/>
      <w:numFmt w:val="chineseCounting"/>
      <w:suff w:val="nothing"/>
      <w:lvlText w:val="%1、"/>
      <w:lvlJc w:val="left"/>
      <w:rPr>
        <w:rFonts w:hint="eastAsia"/>
      </w:rPr>
    </w:lvl>
  </w:abstractNum>
  <w:abstractNum w:abstractNumId="1">
    <w:nsid w:val="A158245F"/>
    <w:multiLevelType w:val="singleLevel"/>
    <w:tmpl w:val="A158245F"/>
    <w:lvl w:ilvl="0" w:tentative="0">
      <w:start w:val="4"/>
      <w:numFmt w:val="chineseCounting"/>
      <w:suff w:val="nothing"/>
      <w:lvlText w:val="%1、"/>
      <w:lvlJc w:val="left"/>
      <w:rPr>
        <w:rFonts w:hint="eastAsia"/>
      </w:rPr>
    </w:lvl>
  </w:abstractNum>
  <w:abstractNum w:abstractNumId="2">
    <w:nsid w:val="C5339A02"/>
    <w:multiLevelType w:val="singleLevel"/>
    <w:tmpl w:val="C5339A02"/>
    <w:lvl w:ilvl="0" w:tentative="0">
      <w:start w:val="5"/>
      <w:numFmt w:val="chineseCounting"/>
      <w:suff w:val="nothing"/>
      <w:lvlText w:val="%1、"/>
      <w:lvlJc w:val="left"/>
      <w:rPr>
        <w:rFonts w:hint="eastAsia"/>
      </w:rPr>
    </w:lvl>
  </w:abstractNum>
  <w:abstractNum w:abstractNumId="3">
    <w:nsid w:val="70E104E4"/>
    <w:multiLevelType w:val="singleLevel"/>
    <w:tmpl w:val="70E104E4"/>
    <w:lvl w:ilvl="0" w:tentative="0">
      <w:start w:val="3"/>
      <w:numFmt w:val="chineseCounting"/>
      <w:suff w:val="nothing"/>
      <w:lvlText w:val="（%1）"/>
      <w:lvlJc w:val="left"/>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4MWM2YmFhNjI2ZjBiMzdmZDQ5YWQxZGNmMDQ4ZWEifQ=="/>
  </w:docVars>
  <w:rsids>
    <w:rsidRoot w:val="00B03CCD"/>
    <w:rsid w:val="00550ABE"/>
    <w:rsid w:val="005C6EA6"/>
    <w:rsid w:val="005E63D9"/>
    <w:rsid w:val="007B419D"/>
    <w:rsid w:val="009B67B8"/>
    <w:rsid w:val="00A20962"/>
    <w:rsid w:val="00B03CCD"/>
    <w:rsid w:val="00F73F90"/>
    <w:rsid w:val="01474EBF"/>
    <w:rsid w:val="01F3521E"/>
    <w:rsid w:val="03B87EA0"/>
    <w:rsid w:val="03E3214F"/>
    <w:rsid w:val="044C50BA"/>
    <w:rsid w:val="04BC09BE"/>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0E2B31"/>
    <w:rsid w:val="0B4E3368"/>
    <w:rsid w:val="0B9335CE"/>
    <w:rsid w:val="0BB825FF"/>
    <w:rsid w:val="0BF2311A"/>
    <w:rsid w:val="0C7927C4"/>
    <w:rsid w:val="0C9B098C"/>
    <w:rsid w:val="0D673E11"/>
    <w:rsid w:val="0DDA54E4"/>
    <w:rsid w:val="0DF044DF"/>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1B4067E"/>
    <w:rsid w:val="22403BD3"/>
    <w:rsid w:val="22486A69"/>
    <w:rsid w:val="24B92327"/>
    <w:rsid w:val="24C14514"/>
    <w:rsid w:val="2533755C"/>
    <w:rsid w:val="25791755"/>
    <w:rsid w:val="258C3417"/>
    <w:rsid w:val="26396DF4"/>
    <w:rsid w:val="27167136"/>
    <w:rsid w:val="27B23302"/>
    <w:rsid w:val="29310A5F"/>
    <w:rsid w:val="29C37A35"/>
    <w:rsid w:val="2A076083"/>
    <w:rsid w:val="2A73162E"/>
    <w:rsid w:val="2B167953"/>
    <w:rsid w:val="2B200583"/>
    <w:rsid w:val="2B8209DE"/>
    <w:rsid w:val="2BBF4438"/>
    <w:rsid w:val="2C636760"/>
    <w:rsid w:val="2C6762A3"/>
    <w:rsid w:val="2FCA4B37"/>
    <w:rsid w:val="2FE029D7"/>
    <w:rsid w:val="2FF06E00"/>
    <w:rsid w:val="30586FEC"/>
    <w:rsid w:val="30715F3A"/>
    <w:rsid w:val="315F0B22"/>
    <w:rsid w:val="31D84415"/>
    <w:rsid w:val="32285F6F"/>
    <w:rsid w:val="32770556"/>
    <w:rsid w:val="329C0913"/>
    <w:rsid w:val="32AA0460"/>
    <w:rsid w:val="3337290D"/>
    <w:rsid w:val="3343054F"/>
    <w:rsid w:val="33C478D8"/>
    <w:rsid w:val="33E31118"/>
    <w:rsid w:val="33EF7674"/>
    <w:rsid w:val="342D7BC6"/>
    <w:rsid w:val="352930DB"/>
    <w:rsid w:val="35573069"/>
    <w:rsid w:val="355F6038"/>
    <w:rsid w:val="358C217E"/>
    <w:rsid w:val="36C9128A"/>
    <w:rsid w:val="37841E99"/>
    <w:rsid w:val="378D708A"/>
    <w:rsid w:val="37BF1123"/>
    <w:rsid w:val="383C3F15"/>
    <w:rsid w:val="38BE4696"/>
    <w:rsid w:val="38CC527F"/>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74C1D"/>
    <w:rsid w:val="3F885DCC"/>
    <w:rsid w:val="3FCD675E"/>
    <w:rsid w:val="4004000C"/>
    <w:rsid w:val="411B6CE5"/>
    <w:rsid w:val="412070D7"/>
    <w:rsid w:val="41314E40"/>
    <w:rsid w:val="41E0734B"/>
    <w:rsid w:val="426C1EA8"/>
    <w:rsid w:val="42736402"/>
    <w:rsid w:val="42E86A87"/>
    <w:rsid w:val="43307B09"/>
    <w:rsid w:val="439A3EB9"/>
    <w:rsid w:val="43BB152F"/>
    <w:rsid w:val="440E1469"/>
    <w:rsid w:val="44C37687"/>
    <w:rsid w:val="44EB413B"/>
    <w:rsid w:val="45CB699A"/>
    <w:rsid w:val="465B470D"/>
    <w:rsid w:val="468C3EB4"/>
    <w:rsid w:val="469D6AD4"/>
    <w:rsid w:val="471E6C84"/>
    <w:rsid w:val="4748792B"/>
    <w:rsid w:val="475D719D"/>
    <w:rsid w:val="47674801"/>
    <w:rsid w:val="48225EF7"/>
    <w:rsid w:val="48695B04"/>
    <w:rsid w:val="488F422B"/>
    <w:rsid w:val="48E36915"/>
    <w:rsid w:val="48EB6572"/>
    <w:rsid w:val="495C4A24"/>
    <w:rsid w:val="497135DF"/>
    <w:rsid w:val="4A263DF2"/>
    <w:rsid w:val="4A6F6675"/>
    <w:rsid w:val="4B135857"/>
    <w:rsid w:val="4B7951CB"/>
    <w:rsid w:val="4B7C315C"/>
    <w:rsid w:val="4D950505"/>
    <w:rsid w:val="4DAC4ACA"/>
    <w:rsid w:val="4DBE01D2"/>
    <w:rsid w:val="4EF60C52"/>
    <w:rsid w:val="4F0C6BA3"/>
    <w:rsid w:val="4F186D58"/>
    <w:rsid w:val="4FB05ACA"/>
    <w:rsid w:val="50A8346A"/>
    <w:rsid w:val="50F06B6E"/>
    <w:rsid w:val="51D21804"/>
    <w:rsid w:val="52234D33"/>
    <w:rsid w:val="522F6E0C"/>
    <w:rsid w:val="52463BA1"/>
    <w:rsid w:val="52F163D4"/>
    <w:rsid w:val="53080EFD"/>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D134D8"/>
    <w:rsid w:val="5BCA2D3A"/>
    <w:rsid w:val="5C263CE4"/>
    <w:rsid w:val="5C5D2777"/>
    <w:rsid w:val="5CF66BF3"/>
    <w:rsid w:val="5D290C69"/>
    <w:rsid w:val="5F2D4A41"/>
    <w:rsid w:val="600B6B29"/>
    <w:rsid w:val="60B22D99"/>
    <w:rsid w:val="60C74F6C"/>
    <w:rsid w:val="61025A59"/>
    <w:rsid w:val="613D5BBC"/>
    <w:rsid w:val="61536C39"/>
    <w:rsid w:val="62944DD7"/>
    <w:rsid w:val="6319381F"/>
    <w:rsid w:val="63642896"/>
    <w:rsid w:val="63C25DC5"/>
    <w:rsid w:val="63C62057"/>
    <w:rsid w:val="645454A8"/>
    <w:rsid w:val="64571EF5"/>
    <w:rsid w:val="64FB113D"/>
    <w:rsid w:val="656152C6"/>
    <w:rsid w:val="6587477F"/>
    <w:rsid w:val="658C3A08"/>
    <w:rsid w:val="65C031CA"/>
    <w:rsid w:val="65CE6852"/>
    <w:rsid w:val="66267C04"/>
    <w:rsid w:val="663F505A"/>
    <w:rsid w:val="66EE5541"/>
    <w:rsid w:val="677B207E"/>
    <w:rsid w:val="67924660"/>
    <w:rsid w:val="68407834"/>
    <w:rsid w:val="6883293E"/>
    <w:rsid w:val="688412AD"/>
    <w:rsid w:val="68D51CA5"/>
    <w:rsid w:val="68EB1B71"/>
    <w:rsid w:val="6947605A"/>
    <w:rsid w:val="6AAD2300"/>
    <w:rsid w:val="6B474EF5"/>
    <w:rsid w:val="6C0A5AC5"/>
    <w:rsid w:val="6C560CAE"/>
    <w:rsid w:val="6C576495"/>
    <w:rsid w:val="6D903FF5"/>
    <w:rsid w:val="6D9D4874"/>
    <w:rsid w:val="6DA955B8"/>
    <w:rsid w:val="6DE346AB"/>
    <w:rsid w:val="6DE5391A"/>
    <w:rsid w:val="6EFD1324"/>
    <w:rsid w:val="6F5A53AC"/>
    <w:rsid w:val="6FAC003D"/>
    <w:rsid w:val="6FD367D2"/>
    <w:rsid w:val="6FE55E12"/>
    <w:rsid w:val="6FFB2E76"/>
    <w:rsid w:val="70591166"/>
    <w:rsid w:val="708F6F7F"/>
    <w:rsid w:val="70D94BD3"/>
    <w:rsid w:val="71C34D91"/>
    <w:rsid w:val="72DB435C"/>
    <w:rsid w:val="72E2613A"/>
    <w:rsid w:val="72F771F4"/>
    <w:rsid w:val="732634CD"/>
    <w:rsid w:val="73934AD2"/>
    <w:rsid w:val="750837F0"/>
    <w:rsid w:val="754758CF"/>
    <w:rsid w:val="764F62AB"/>
    <w:rsid w:val="765C45EC"/>
    <w:rsid w:val="768A7619"/>
    <w:rsid w:val="772E1EBA"/>
    <w:rsid w:val="77B03DC0"/>
    <w:rsid w:val="781926BC"/>
    <w:rsid w:val="792F374A"/>
    <w:rsid w:val="796D60A4"/>
    <w:rsid w:val="79A031D5"/>
    <w:rsid w:val="7A1525F7"/>
    <w:rsid w:val="7B420052"/>
    <w:rsid w:val="7BD06A28"/>
    <w:rsid w:val="7C3A7C0B"/>
    <w:rsid w:val="7C5248E4"/>
    <w:rsid w:val="7C566698"/>
    <w:rsid w:val="7C5866A3"/>
    <w:rsid w:val="7D7406BB"/>
    <w:rsid w:val="7DE037D3"/>
    <w:rsid w:val="7DE94331"/>
    <w:rsid w:val="7F122690"/>
    <w:rsid w:val="7F446A19"/>
    <w:rsid w:val="7F7452B9"/>
    <w:rsid w:val="EE3F43E7"/>
    <w:rsid w:val="FF782A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autoRedefine/>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autoRedefine/>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autoRedefine/>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46</Pages>
  <Words>14266</Words>
  <Characters>20099</Characters>
  <Lines>192</Lines>
  <Paragraphs>54</Paragraphs>
  <TotalTime>39</TotalTime>
  <ScaleCrop>false</ScaleCrop>
  <LinksUpToDate>false</LinksUpToDate>
  <CharactersWithSpaces>22633</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WPS_1664260647</cp:lastModifiedBy>
  <dcterms:modified xsi:type="dcterms:W3CDTF">2025-09-24T03:19:19Z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BB46EABDBB2749749395447164B066B3_12</vt:lpwstr>
  </property>
</Properties>
</file>