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Times New Roman" w:hAnsi="Times New Roman" w:eastAsia="方正小标宋_GBK"/>
          <w:sz w:val="44"/>
          <w:szCs w:val="44"/>
        </w:rPr>
      </w:pPr>
      <w:bookmarkStart w:id="0" w:name="_GoBack"/>
      <w:bookmarkEnd w:id="0"/>
      <w:r>
        <w:rPr>
          <w:rFonts w:hint="default" w:ascii="Times New Roman" w:hAnsi="Times New Roman" w:eastAsia="方正小标宋_GBK"/>
          <w:sz w:val="44"/>
          <w:szCs w:val="44"/>
        </w:rPr>
        <w:t>垫江县砚台镇人民政府</w:t>
      </w:r>
    </w:p>
    <w:p>
      <w:pPr>
        <w:pStyle w:val="9"/>
        <w:spacing w:before="0" w:beforeAutospacing="0" w:after="0" w:afterAutospacing="0" w:line="596"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pPr>
        <w:pStyle w:val="9"/>
        <w:spacing w:before="0" w:beforeAutospacing="0" w:after="0" w:afterAutospacing="0" w:line="596" w:lineRule="exact"/>
        <w:jc w:val="center"/>
        <w:rPr>
          <w:rFonts w:hint="default" w:ascii="Times New Roman" w:hAnsi="Times New Roman" w:eastAsia="方正小标宋_GBK"/>
          <w:sz w:val="44"/>
          <w:szCs w:val="44"/>
          <w:shd w:val="clear" w:color="auto" w:fill="FFFFFF"/>
        </w:rPr>
      </w:pPr>
    </w:p>
    <w:p>
      <w:pPr>
        <w:spacing w:line="594"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一、部门基本情况</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（一）职能职责</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1.党群办：</w:t>
      </w:r>
      <w:r>
        <w:rPr>
          <w:rFonts w:hint="default" w:ascii="Times New Roman" w:hAnsi="Times New Roman" w:eastAsia="方正仿宋_GBK"/>
          <w:sz w:val="32"/>
          <w:szCs w:val="32"/>
        </w:rPr>
        <w:t>负责党的建设、组织、宣传、统战、民宗侨台、机构编制、人事、群团、纪检、武装、政务公开、党务公开等工作。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2.党政办：</w:t>
      </w:r>
      <w:r>
        <w:rPr>
          <w:rFonts w:hint="default" w:ascii="Times New Roman" w:hAnsi="Times New Roman" w:eastAsia="方正仿宋_GBK"/>
          <w:sz w:val="32"/>
          <w:szCs w:val="32"/>
        </w:rPr>
        <w:t>负责机关文秘、会务、档案、保密、后勤服务和绩效管理等工作。负责牵头协调办理人大代表和政协委员的议案、提案、建议、意见。负责镇公共服务中心和村（社区）便民服务中心的监督和管理等工作。完成党委、政府交办的其他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3.人大办：</w:t>
      </w:r>
      <w:r>
        <w:rPr>
          <w:rFonts w:hint="default" w:ascii="Times New Roman" w:hAnsi="Times New Roman" w:eastAsia="方正仿宋_GBK"/>
          <w:sz w:val="32"/>
          <w:szCs w:val="32"/>
        </w:rPr>
        <w:t xml:space="preserve">负责镇人民代表大会、主席团履行法定职权的具体工作。组织人大代表视察、调研、评议等工作。完成党委、人大主席团交办的其他工作。 </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4.经济发展办公室：</w:t>
      </w:r>
      <w:r>
        <w:rPr>
          <w:rFonts w:hint="default" w:ascii="Times New Roman" w:hAnsi="Times New Roman" w:eastAsia="方正仿宋_GBK"/>
          <w:sz w:val="32"/>
          <w:szCs w:val="32"/>
        </w:rPr>
        <w:t>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5.财政办：</w:t>
      </w:r>
      <w:r>
        <w:rPr>
          <w:rFonts w:hint="default" w:ascii="Times New Roman" w:hAnsi="Times New Roman" w:eastAsia="方正仿宋_GBK"/>
          <w:sz w:val="32"/>
          <w:szCs w:val="32"/>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6.民政和社会事务办公室：</w:t>
      </w:r>
      <w:r>
        <w:rPr>
          <w:rFonts w:hint="default" w:ascii="Times New Roman" w:hAnsi="Times New Roman" w:eastAsia="方正仿宋_GBK"/>
          <w:sz w:val="32"/>
          <w:szCs w:val="32"/>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7.平安办：</w:t>
      </w:r>
      <w:r>
        <w:rPr>
          <w:rFonts w:hint="default" w:ascii="Times New Roman" w:hAnsi="Times New Roman" w:eastAsia="方正仿宋_GBK"/>
          <w:sz w:val="32"/>
          <w:szCs w:val="32"/>
        </w:rPr>
        <w:t>负责普法教育、防邪、禁毒、综治、信访、维稳等工作。负责基层民间矛盾纠纷调解工作。组织、指导、协调、检查、督促辖区内各基层组织和企事业单位的社会治安综合治理等工作。完成党委、政府交办的其他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8.规划建设环保办：</w:t>
      </w:r>
      <w:r>
        <w:rPr>
          <w:rFonts w:hint="default" w:ascii="Times New Roman" w:hAnsi="Times New Roman" w:eastAsia="方正仿宋_GBK"/>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9.应急办：</w:t>
      </w:r>
      <w:r>
        <w:rPr>
          <w:rFonts w:hint="default" w:ascii="Times New Roman" w:hAnsi="Times New Roman" w:eastAsia="方正仿宋_GBK"/>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10.执法办：</w:t>
      </w:r>
      <w:r>
        <w:rPr>
          <w:rFonts w:hint="default" w:ascii="Times New Roman" w:hAnsi="Times New Roman" w:eastAsia="方正仿宋_GBK"/>
          <w:sz w:val="32"/>
          <w:szCs w:val="32"/>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5个相当于行政正股级财政全额拨款公益一类事业单位。具体设置及主要职责分别是：</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（1）农业服务中心</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宗旨：推广先进农业技术，促进农业发展。</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主要职责：</w:t>
      </w:r>
      <w:r>
        <w:rPr>
          <w:rFonts w:hint="default" w:ascii="Times New Roman" w:hAnsi="Times New Roman" w:eastAsia="方正仿宋_GBK"/>
          <w:sz w:val="32"/>
          <w:szCs w:val="32"/>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（2）文化服务中心</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宗旨：组织群众文化活动，繁荣文化旅游事业。</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主要职责：</w:t>
      </w:r>
      <w:r>
        <w:rPr>
          <w:rFonts w:hint="default" w:ascii="Times New Roman" w:hAnsi="Times New Roman" w:eastAsia="方正仿宋_GBK"/>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（3）劳动就业和社会保障服务所</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宗旨：为辖区劳动就业和社会保障提供服务。</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主要职责：</w:t>
      </w:r>
      <w:r>
        <w:rPr>
          <w:rFonts w:hint="default" w:ascii="Times New Roman" w:hAnsi="Times New Roman" w:eastAsia="方正仿宋_GBK"/>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（4）退役军人服务站</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宗旨：为退役军人提供服务。</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主要职责：</w:t>
      </w:r>
      <w:r>
        <w:rPr>
          <w:rFonts w:hint="default" w:ascii="Times New Roman" w:hAnsi="Times New Roman" w:eastAsia="方正仿宋_GBK"/>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（5）综合行政执法大队</w:t>
      </w:r>
    </w:p>
    <w:p>
      <w:pPr>
        <w:spacing w:line="594" w:lineRule="exact"/>
        <w:ind w:firstLine="643" w:firstLineChars="200"/>
        <w:rPr>
          <w:rFonts w:hint="default" w:ascii="Times New Roman" w:hAnsi="Times New Roman" w:eastAsia="方正仿宋_GBK"/>
          <w:b/>
          <w:bCs/>
          <w:sz w:val="32"/>
          <w:szCs w:val="32"/>
        </w:rPr>
      </w:pPr>
      <w:r>
        <w:rPr>
          <w:rFonts w:hint="default" w:ascii="Times New Roman" w:hAnsi="Times New Roman" w:eastAsia="方正仿宋_GBK"/>
          <w:b/>
          <w:bCs/>
          <w:sz w:val="32"/>
          <w:szCs w:val="32"/>
        </w:rPr>
        <w:t>宗旨：弘扬法治精神，建设法治政府、法治社会。</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主要职责：</w:t>
      </w:r>
      <w:r>
        <w:rPr>
          <w:rFonts w:hint="default" w:ascii="Times New Roman" w:hAnsi="Times New Roman" w:eastAsia="方正仿宋_GBK"/>
          <w:sz w:val="32"/>
          <w:szCs w:val="32"/>
        </w:rPr>
        <w:t>负责配合综合行政执法办公室做好有关农林水利、规划建设、卫生健康、市容环卫、环境保护、文化旅游、民政管理、消防等方面的执法工作。</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（二）机构设置</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党委、政府综合办事机构10个：党政办公室、党群工作办公室、</w:t>
      </w:r>
      <w:r>
        <w:rPr>
          <w:rFonts w:hint="eastAsia" w:ascii="Times New Roman" w:hAnsi="Times New Roman" w:eastAsia="方正仿宋_GBK"/>
          <w:sz w:val="32"/>
          <w:szCs w:val="32"/>
          <w:lang w:eastAsia="zh-CN"/>
        </w:rPr>
        <w:t>人大常委会办公室</w:t>
      </w:r>
      <w:r>
        <w:rPr>
          <w:rFonts w:hint="default" w:ascii="Times New Roman" w:hAnsi="Times New Roman" w:eastAsia="方正仿宋_GBK"/>
          <w:sz w:val="32"/>
          <w:szCs w:val="32"/>
        </w:rPr>
        <w:t>、经济发展办公室、财政办公室、民政和社会事务办公室、平安建设办公室、规划建设管理环保办公室、应急管理办公室、综合行政执法办公室；5个相当于行政正股级财政全额拨款公益一类事业单位：农业服务中心、文化服务中心、劳动就业和社会保障服务所、退役军人服务站、综合行政执法大队。</w:t>
      </w:r>
    </w:p>
    <w:p>
      <w:pPr>
        <w:spacing w:line="594"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二、部门决算收支情况说明</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（一）收入支出决算总体情况说明</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1.总体情况。</w:t>
      </w:r>
      <w:r>
        <w:rPr>
          <w:rFonts w:hint="default" w:ascii="Times New Roman" w:hAnsi="Times New Roman" w:eastAsia="方正仿宋_GBK"/>
          <w:sz w:val="32"/>
          <w:szCs w:val="32"/>
        </w:rPr>
        <w:t>2024年度收入总计3440.89万元，支出总计3440.89万元。收、支与2023年度相比，减少797.08万元，下降18</w:t>
      </w:r>
      <w:r>
        <w:rPr>
          <w:rFonts w:ascii="Times New Roman" w:hAnsi="Times New Roman" w:eastAsia="方正仿宋_GBK"/>
          <w:sz w:val="32"/>
          <w:szCs w:val="32"/>
        </w:rPr>
        <w:t>.80%</w:t>
      </w:r>
      <w:r>
        <w:rPr>
          <w:rFonts w:hint="default" w:ascii="Times New Roman" w:hAnsi="Times New Roman" w:eastAsia="方正仿宋_GBK"/>
          <w:sz w:val="32"/>
          <w:szCs w:val="32"/>
        </w:rPr>
        <w:t>，主要原因是2024年度严格遵守中央八项规定，压缩公用经费开支。</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2.收入情况。</w:t>
      </w:r>
      <w:r>
        <w:rPr>
          <w:rFonts w:hint="default" w:ascii="Times New Roman" w:hAnsi="Times New Roman" w:eastAsia="方正仿宋_GBK"/>
          <w:sz w:val="32"/>
          <w:szCs w:val="32"/>
        </w:rPr>
        <w:t>2024年度收入合计3433.50万元，与2023年度相比，减少765.95万元，下降18</w:t>
      </w:r>
      <w:r>
        <w:rPr>
          <w:rFonts w:ascii="Times New Roman" w:hAnsi="Times New Roman" w:eastAsia="方正仿宋_GBK"/>
          <w:sz w:val="32"/>
          <w:szCs w:val="32"/>
        </w:rPr>
        <w:t>.20%</w:t>
      </w:r>
      <w:r>
        <w:rPr>
          <w:rFonts w:hint="default" w:ascii="Times New Roman" w:hAnsi="Times New Roman" w:eastAsia="方正仿宋_GBK"/>
          <w:sz w:val="32"/>
          <w:szCs w:val="32"/>
        </w:rPr>
        <w:t>，主要原因是2024年度严格遵守中央八项规定，压缩公用经费开支。其中：财政拨款收入3433.50万元，占100.00%；事业收入0.00万元，占0.00%；经营收入0.00万元，占0.00%；其他收入0.00万元，占0.00%。此外，使用非财政拨款结余和专用结余0.00万元，年初结转和结余7.39万元。</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3.支出情况。</w:t>
      </w:r>
      <w:r>
        <w:rPr>
          <w:rFonts w:hint="default" w:ascii="Times New Roman" w:hAnsi="Times New Roman" w:eastAsia="方正仿宋_GBK"/>
          <w:sz w:val="32"/>
          <w:szCs w:val="32"/>
        </w:rPr>
        <w:t>2024年度支出合计3440.89万元，与2023年度相比，减少797.08万元，下降18</w:t>
      </w:r>
      <w:r>
        <w:rPr>
          <w:rFonts w:ascii="Times New Roman" w:hAnsi="Times New Roman" w:eastAsia="方正仿宋_GBK"/>
          <w:sz w:val="32"/>
          <w:szCs w:val="32"/>
        </w:rPr>
        <w:t>.80%</w:t>
      </w:r>
      <w:r>
        <w:rPr>
          <w:rFonts w:hint="default" w:ascii="Times New Roman" w:hAnsi="Times New Roman" w:eastAsia="方正仿宋_GBK"/>
          <w:sz w:val="32"/>
          <w:szCs w:val="32"/>
        </w:rPr>
        <w:t>，主要原因是2024年度严格遵守中央八项规定，压缩公用经费开支。其中：基本支出2038.04万元，占59.23%；项目支出1402.85万元，占40.77%；经营支出0.00万元，占0.00%。此外，结余分配0.00万元。</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4.结转结余情况。</w:t>
      </w:r>
      <w:r>
        <w:rPr>
          <w:rFonts w:hint="default" w:ascii="Times New Roman" w:hAnsi="Times New Roman" w:eastAsia="方正仿宋_GBK"/>
          <w:sz w:val="32"/>
          <w:szCs w:val="32"/>
        </w:rPr>
        <w:t>2024年度年末结转和结余0.00万元，与2023年度相比，无增减，主要原因是本年度无结转结余。</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（二）财政拨款收入支出决算总体情况说明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2024年度财政拨款收、支总计3440.89万元。与2023年相比，财政拨款收、支总计各减少797.08万元，下降18</w:t>
      </w:r>
      <w:r>
        <w:rPr>
          <w:rFonts w:ascii="Times New Roman" w:hAnsi="Times New Roman" w:eastAsia="方正仿宋_GBK"/>
          <w:sz w:val="32"/>
          <w:szCs w:val="32"/>
        </w:rPr>
        <w:t>.80%</w:t>
      </w:r>
      <w:r>
        <w:rPr>
          <w:rFonts w:hint="default" w:ascii="Times New Roman" w:hAnsi="Times New Roman" w:eastAsia="方正仿宋_GBK"/>
          <w:sz w:val="32"/>
          <w:szCs w:val="32"/>
        </w:rPr>
        <w:t>。主要原因是2024年度严格遵守中央八项规定，压缩公用经费开支。</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（三）一般公共预算财政拨款收入支出决算情况说明</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1.收入情况。</w:t>
      </w:r>
      <w:r>
        <w:rPr>
          <w:rFonts w:hint="default" w:ascii="Times New Roman" w:hAnsi="Times New Roman" w:eastAsia="方正仿宋_GBK"/>
          <w:sz w:val="32"/>
          <w:szCs w:val="32"/>
        </w:rPr>
        <w:t>2024年度一般公共预算财政拨款收入3291.69万元，与2023年度相比，减少3.73万元，下降0</w:t>
      </w:r>
      <w:r>
        <w:rPr>
          <w:rFonts w:ascii="Times New Roman" w:hAnsi="Times New Roman" w:eastAsia="方正仿宋_GBK"/>
          <w:sz w:val="32"/>
          <w:szCs w:val="32"/>
        </w:rPr>
        <w:t>.10%</w:t>
      </w:r>
      <w:r>
        <w:rPr>
          <w:rFonts w:hint="default" w:ascii="Times New Roman" w:hAnsi="Times New Roman" w:eastAsia="方正仿宋_GBK"/>
          <w:sz w:val="32"/>
          <w:szCs w:val="32"/>
        </w:rPr>
        <w:t>。主要原因是2024年度严格压缩日常公用经费。较年初预算数增加597.50万元，增长22</w:t>
      </w:r>
      <w:r>
        <w:rPr>
          <w:rFonts w:ascii="Times New Roman" w:hAnsi="Times New Roman" w:eastAsia="方正仿宋_GBK"/>
          <w:sz w:val="32"/>
          <w:szCs w:val="32"/>
        </w:rPr>
        <w:t>.20%</w:t>
      </w:r>
      <w:r>
        <w:rPr>
          <w:rFonts w:hint="default" w:ascii="Times New Roman" w:hAnsi="Times New Roman" w:eastAsia="方正仿宋_GBK"/>
          <w:sz w:val="32"/>
          <w:szCs w:val="32"/>
        </w:rPr>
        <w:t>。主要原因是2024年度项目收入增多。此外，年初财政拨款结转和结余7.39万元。</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2.支出情况。</w:t>
      </w:r>
      <w:r>
        <w:rPr>
          <w:rFonts w:hint="default" w:ascii="Times New Roman" w:hAnsi="Times New Roman" w:eastAsia="方正仿宋_GBK"/>
          <w:sz w:val="32"/>
          <w:szCs w:val="32"/>
        </w:rPr>
        <w:t>2024年度一般公共预算财政拨款支出3299.08万元，与2023年度相比，减少34.86万元，下降1</w:t>
      </w:r>
      <w:r>
        <w:rPr>
          <w:rFonts w:ascii="Times New Roman" w:hAnsi="Times New Roman" w:eastAsia="方正仿宋_GBK"/>
          <w:sz w:val="32"/>
          <w:szCs w:val="32"/>
        </w:rPr>
        <w:t>.10%</w:t>
      </w:r>
      <w:r>
        <w:rPr>
          <w:rFonts w:hint="default" w:ascii="Times New Roman" w:hAnsi="Times New Roman" w:eastAsia="方正仿宋_GBK"/>
          <w:sz w:val="32"/>
          <w:szCs w:val="32"/>
        </w:rPr>
        <w:t>。主要原因是2024年度严格压缩日常公用经费。较年初预算数增加604.89万元，增长22</w:t>
      </w:r>
      <w:r>
        <w:rPr>
          <w:rFonts w:ascii="Times New Roman" w:hAnsi="Times New Roman" w:eastAsia="方正仿宋_GBK"/>
          <w:sz w:val="32"/>
          <w:szCs w:val="32"/>
        </w:rPr>
        <w:t>.50%</w:t>
      </w:r>
      <w:r>
        <w:rPr>
          <w:rFonts w:hint="default" w:ascii="Times New Roman" w:hAnsi="Times New Roman" w:eastAsia="方正仿宋_GBK"/>
          <w:sz w:val="32"/>
          <w:szCs w:val="32"/>
        </w:rPr>
        <w:t>。主要原因是项目支出增加。</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3.结转结余情况。</w:t>
      </w:r>
      <w:r>
        <w:rPr>
          <w:rFonts w:hint="default" w:ascii="Times New Roman" w:hAnsi="Times New Roman" w:eastAsia="方正仿宋_GBK"/>
          <w:sz w:val="32"/>
          <w:szCs w:val="32"/>
        </w:rPr>
        <w:t>2024年度年末一般公共预算财政拨款结转和结余0.00万元，与2023年度相比，无增减，主要原因是本年度无结转结余。</w:t>
      </w:r>
    </w:p>
    <w:p>
      <w:pPr>
        <w:spacing w:line="594" w:lineRule="exact"/>
        <w:ind w:firstLine="643" w:firstLineChars="200"/>
        <w:rPr>
          <w:rFonts w:hint="default" w:ascii="Times New Roman" w:hAnsi="Times New Roman" w:eastAsia="方正仿宋_GBK"/>
          <w:sz w:val="32"/>
          <w:szCs w:val="32"/>
        </w:rPr>
      </w:pPr>
      <w:r>
        <w:rPr>
          <w:rFonts w:hint="default" w:ascii="Times New Roman" w:hAnsi="Times New Roman" w:eastAsia="方正仿宋_GBK"/>
          <w:b/>
          <w:bCs/>
          <w:sz w:val="32"/>
          <w:szCs w:val="32"/>
        </w:rPr>
        <w:t xml:space="preserve"> 4.比较情况。</w:t>
      </w:r>
      <w:r>
        <w:rPr>
          <w:rFonts w:hint="default" w:ascii="Times New Roman" w:hAnsi="Times New Roman" w:eastAsia="方正仿宋_GBK"/>
          <w:sz w:val="32"/>
          <w:szCs w:val="32"/>
        </w:rPr>
        <w:t>本部门2024年度一般公共预算财政拨款支出主要用于以下几个方面：</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（1）一般公共服务支出954.42万元，占28.93%，较年初预算数减少330.59万元，下降25</w:t>
      </w:r>
      <w:r>
        <w:rPr>
          <w:rFonts w:ascii="Times New Roman" w:hAnsi="Times New Roman" w:eastAsia="方正仿宋_GBK"/>
          <w:sz w:val="32"/>
          <w:szCs w:val="32"/>
        </w:rPr>
        <w:t>.70%</w:t>
      </w:r>
      <w:r>
        <w:rPr>
          <w:rFonts w:hint="default" w:ascii="Times New Roman" w:hAnsi="Times New Roman" w:eastAsia="方正仿宋_GBK"/>
          <w:sz w:val="32"/>
          <w:szCs w:val="32"/>
        </w:rPr>
        <w:t>，主要原因是2024年度严格遵守中央八项规定，压缩公用经费开支。</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（2）文化旅游体育与传媒支出77.89万元，占2.36%，较年初预算数增加1.50万元，增长2</w:t>
      </w:r>
      <w:r>
        <w:rPr>
          <w:rFonts w:ascii="Times New Roman" w:hAnsi="Times New Roman" w:eastAsia="方正仿宋_GBK"/>
          <w:sz w:val="32"/>
          <w:szCs w:val="32"/>
        </w:rPr>
        <w:t>.00%</w:t>
      </w:r>
      <w:r>
        <w:rPr>
          <w:rFonts w:hint="default" w:ascii="Times New Roman" w:hAnsi="Times New Roman" w:eastAsia="方正仿宋_GBK"/>
          <w:sz w:val="32"/>
          <w:szCs w:val="32"/>
        </w:rPr>
        <w:t>，主要原因是全民健身中心地质灾害风险评估费1.5万元。</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（3）社会保障与就业支出525.32万元，占15.92%，较年初预算数增加169.20万元，增长47</w:t>
      </w:r>
      <w:r>
        <w:rPr>
          <w:rFonts w:ascii="Times New Roman" w:hAnsi="Times New Roman" w:eastAsia="方正仿宋_GBK"/>
          <w:sz w:val="32"/>
          <w:szCs w:val="32"/>
        </w:rPr>
        <w:t>.50%</w:t>
      </w:r>
      <w:r>
        <w:rPr>
          <w:rFonts w:hint="default" w:ascii="Times New Roman" w:hAnsi="Times New Roman" w:eastAsia="方正仿宋_GBK"/>
          <w:sz w:val="32"/>
          <w:szCs w:val="32"/>
        </w:rPr>
        <w:t>，主要原因是发放2023年健康修养费31万元、养老服务站点建设及运营经费29万元、其他退役安置、残疾人保障等支出项目增加；调整事业人员21-24年养老保险和职业年金保险缴费基数并补缴差额。</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（4）卫生健康支出79.24万元，占2.40%，较年初预算数增加22.07万元，增长38</w:t>
      </w:r>
      <w:r>
        <w:rPr>
          <w:rFonts w:ascii="Times New Roman" w:hAnsi="Times New Roman" w:eastAsia="方正仿宋_GBK"/>
          <w:sz w:val="32"/>
          <w:szCs w:val="32"/>
        </w:rPr>
        <w:t>.60%</w:t>
      </w:r>
      <w:r>
        <w:rPr>
          <w:rFonts w:hint="default" w:ascii="Times New Roman" w:hAnsi="Times New Roman" w:eastAsia="方正仿宋_GBK"/>
          <w:sz w:val="32"/>
          <w:szCs w:val="32"/>
        </w:rPr>
        <w:t>，主要原因是优抚对象救助增加、人员医疗缴费基数正常调整。</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（5）城乡社区支出182.51万元，占5.53%，较年初预算数增加0.23万元，增长0</w:t>
      </w:r>
      <w:r>
        <w:rPr>
          <w:rFonts w:ascii="Times New Roman" w:hAnsi="Times New Roman" w:eastAsia="方正仿宋_GBK"/>
          <w:sz w:val="32"/>
          <w:szCs w:val="32"/>
        </w:rPr>
        <w:t>.10%</w:t>
      </w:r>
      <w:r>
        <w:rPr>
          <w:rFonts w:hint="default" w:ascii="Times New Roman" w:hAnsi="Times New Roman" w:eastAsia="方正仿宋_GBK"/>
          <w:sz w:val="32"/>
          <w:szCs w:val="32"/>
        </w:rPr>
        <w:t>，主要原因是新增采购场镇街道花箱142个，金额4万元。</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（6）农林水支出1119.39万元，占33.93%，较年初预算数增加465.41万元，增长71</w:t>
      </w:r>
      <w:r>
        <w:rPr>
          <w:rFonts w:ascii="Times New Roman" w:hAnsi="Times New Roman" w:eastAsia="方正仿宋_GBK"/>
          <w:sz w:val="32"/>
          <w:szCs w:val="32"/>
        </w:rPr>
        <w:t>.20%</w:t>
      </w:r>
      <w:r>
        <w:rPr>
          <w:rFonts w:hint="default" w:ascii="Times New Roman" w:hAnsi="Times New Roman" w:eastAsia="方正仿宋_GBK"/>
          <w:sz w:val="32"/>
          <w:szCs w:val="32"/>
        </w:rPr>
        <w:t>，主要原因是村干部工资、生产便道建设等项目支出增多。</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（7）交通运输支出218.99万元，占6.64%，较年初预算数增加218.99万元，增长100</w:t>
      </w:r>
      <w:r>
        <w:rPr>
          <w:rFonts w:ascii="Times New Roman" w:hAnsi="Times New Roman" w:eastAsia="方正仿宋_GBK"/>
          <w:sz w:val="32"/>
          <w:szCs w:val="32"/>
        </w:rPr>
        <w:t>.00%</w:t>
      </w:r>
      <w:r>
        <w:rPr>
          <w:rFonts w:hint="default" w:ascii="Times New Roman" w:hAnsi="Times New Roman" w:eastAsia="方正仿宋_GBK"/>
          <w:sz w:val="32"/>
          <w:szCs w:val="32"/>
        </w:rPr>
        <w:t>，主要原因是汪家丰家林桥建设工程108万元、村社道路公路拓宽工程89万元、危桥整治工程13万元。</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（8）资源勘探信息等支出15.00万元，占0.45%，较年初预算数增加15.00万元，增长100</w:t>
      </w:r>
      <w:r>
        <w:rPr>
          <w:rFonts w:ascii="Times New Roman" w:hAnsi="Times New Roman" w:eastAsia="方正仿宋_GBK"/>
          <w:sz w:val="32"/>
          <w:szCs w:val="32"/>
        </w:rPr>
        <w:t>.00%</w:t>
      </w:r>
      <w:r>
        <w:rPr>
          <w:rFonts w:hint="default" w:ascii="Times New Roman" w:hAnsi="Times New Roman" w:eastAsia="方正仿宋_GBK"/>
          <w:sz w:val="32"/>
          <w:szCs w:val="32"/>
        </w:rPr>
        <w:t>，主要原因是扶持公司设备升级改造经费。</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（9）商业服务业等支出10.42万元，占0.32%，较年初预算数增加10.42万元，增长100</w:t>
      </w:r>
      <w:r>
        <w:rPr>
          <w:rFonts w:ascii="Times New Roman" w:hAnsi="Times New Roman" w:eastAsia="方正仿宋_GBK"/>
          <w:sz w:val="32"/>
          <w:szCs w:val="32"/>
        </w:rPr>
        <w:t>.00%</w:t>
      </w:r>
      <w:r>
        <w:rPr>
          <w:rFonts w:hint="default" w:ascii="Times New Roman" w:hAnsi="Times New Roman" w:eastAsia="方正仿宋_GBK"/>
          <w:sz w:val="32"/>
          <w:szCs w:val="32"/>
        </w:rPr>
        <w:t>，主要原因是支出限额以上商贸企业个体发展奖励。</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（10）住房保障支出101.39万元，占3.07%，较年初预算数增加27.75万元，增长37</w:t>
      </w:r>
      <w:r>
        <w:rPr>
          <w:rFonts w:ascii="Times New Roman" w:hAnsi="Times New Roman" w:eastAsia="方正仿宋_GBK"/>
          <w:sz w:val="32"/>
          <w:szCs w:val="32"/>
        </w:rPr>
        <w:t>.70%</w:t>
      </w:r>
      <w:r>
        <w:rPr>
          <w:rFonts w:hint="default" w:ascii="Times New Roman" w:hAnsi="Times New Roman" w:eastAsia="方正仿宋_GBK"/>
          <w:sz w:val="32"/>
          <w:szCs w:val="32"/>
        </w:rPr>
        <w:t>，主要原因是住房公积金缴费基数因人员增资而每年正常调增、低收入群众住房补助9万元。</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（11）灾害防治及应急管理支出12.90万元，占0.39%，较年初预算数增加4.90万元，增长61</w:t>
      </w:r>
      <w:r>
        <w:rPr>
          <w:rFonts w:ascii="Times New Roman" w:hAnsi="Times New Roman" w:eastAsia="方正仿宋_GBK"/>
          <w:sz w:val="32"/>
          <w:szCs w:val="32"/>
        </w:rPr>
        <w:t>.30%</w:t>
      </w:r>
      <w:r>
        <w:rPr>
          <w:rFonts w:hint="default" w:ascii="Times New Roman" w:hAnsi="Times New Roman" w:eastAsia="方正仿宋_GBK"/>
          <w:sz w:val="32"/>
          <w:szCs w:val="32"/>
        </w:rPr>
        <w:t>，主要原因是地质灾害应急搬迁补助1.2万元、汪家社区大河坝道路安全隐患整治2.4万元。</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（四）一般公共预算财政拨款基本支出决算情况说明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2024年度一般公共财政拨款基本支出2038.04万元。其中：人员经费1857.46万元，与2023年度相比，增加124.72万元，增长7</w:t>
      </w:r>
      <w:r>
        <w:rPr>
          <w:rFonts w:ascii="Times New Roman" w:hAnsi="Times New Roman" w:eastAsia="方正仿宋_GBK"/>
          <w:sz w:val="32"/>
          <w:szCs w:val="32"/>
        </w:rPr>
        <w:t>.20%</w:t>
      </w:r>
      <w:r>
        <w:rPr>
          <w:rFonts w:hint="default" w:ascii="Times New Roman" w:hAnsi="Times New Roman" w:eastAsia="方正仿宋_GBK"/>
          <w:sz w:val="32"/>
          <w:szCs w:val="32"/>
        </w:rPr>
        <w:t>，主要原因是人员增多以及人员薪级晋升和晋级晋档等人员经费正常增加、按文件要求调整事业人员21-24年养老保险和职业年金保险缴费基数并补缴差额。人员经费用途主要包括基本工资、津贴补贴、奖金、社会保障缴费。公用经费180.58万元，与2023年度相比，增加5.77万元，增长3</w:t>
      </w:r>
      <w:r>
        <w:rPr>
          <w:rFonts w:ascii="Times New Roman" w:hAnsi="Times New Roman" w:eastAsia="方正仿宋_GBK"/>
          <w:sz w:val="32"/>
          <w:szCs w:val="32"/>
        </w:rPr>
        <w:t>.30%</w:t>
      </w:r>
      <w:r>
        <w:rPr>
          <w:rFonts w:hint="default" w:ascii="Times New Roman" w:hAnsi="Times New Roman" w:eastAsia="方正仿宋_GBK"/>
          <w:sz w:val="32"/>
          <w:szCs w:val="32"/>
        </w:rPr>
        <w:t>，主要原因是宣传相关印刷费、办公设备维修支出增加。公用经费用途主要包括办公费、印刷费、咨询费、手续费、车辆维修维护。</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（五）政府性基金预算收支决算情况说明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2024年度政府性基金预算财政拨款年初结转结余0.00万元，年末结转结余0.00万元。本年收入141.82万元，与2023年度相比，减少762.17万元，下降84</w:t>
      </w:r>
      <w:r>
        <w:rPr>
          <w:rFonts w:ascii="Times New Roman" w:hAnsi="Times New Roman" w:eastAsia="方正仿宋_GBK"/>
          <w:sz w:val="32"/>
          <w:szCs w:val="32"/>
        </w:rPr>
        <w:t>.30%</w:t>
      </w:r>
      <w:r>
        <w:rPr>
          <w:rFonts w:hint="default" w:ascii="Times New Roman" w:hAnsi="Times New Roman" w:eastAsia="方正仿宋_GBK"/>
          <w:sz w:val="32"/>
          <w:szCs w:val="32"/>
        </w:rPr>
        <w:t>，主要原因是南部快速通道占地补偿、土地征收等项目收入减少。本年支出141.82万元，与2023年度相比，减少762.17万元，下降84</w:t>
      </w:r>
      <w:r>
        <w:rPr>
          <w:rFonts w:ascii="Times New Roman" w:hAnsi="Times New Roman" w:eastAsia="方正仿宋_GBK"/>
          <w:sz w:val="32"/>
          <w:szCs w:val="32"/>
        </w:rPr>
        <w:t>.30%</w:t>
      </w:r>
      <w:r>
        <w:rPr>
          <w:rFonts w:hint="default" w:ascii="Times New Roman" w:hAnsi="Times New Roman" w:eastAsia="方正仿宋_GBK"/>
          <w:sz w:val="32"/>
          <w:szCs w:val="32"/>
        </w:rPr>
        <w:t>，主要原因是南部快速通道占地补偿、土地征收等项目收入减少。</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（六）国有资本经营预算财政拨款支出决算情况说明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2024年度国有资本经营预算财政拨本年支出0.00万元，基本支出0.00万元，项目支出0.00万元</w:t>
      </w:r>
      <w:r>
        <w:rPr>
          <w:rFonts w:ascii="Times New Roman" w:hAnsi="Times New Roman" w:eastAsia="方正仿宋_GBK"/>
          <w:sz w:val="32"/>
          <w:szCs w:val="32"/>
        </w:rPr>
        <w:t>。</w:t>
      </w:r>
      <w:r>
        <w:rPr>
          <w:rFonts w:hint="default" w:ascii="Times New Roman" w:hAnsi="Times New Roman" w:eastAsia="方正仿宋_GBK"/>
          <w:sz w:val="32"/>
          <w:szCs w:val="32"/>
        </w:rPr>
        <w:t>本部门2024年度无国有资本经营预算财政拨款支出。</w:t>
      </w:r>
    </w:p>
    <w:p>
      <w:pPr>
        <w:spacing w:line="594"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三、财政拨款“三公”经费情况说明</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（一）“三公”经费支出总体情况说明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2024年度“三公”经费支出共计1.09万元，较年初预算数减少1.91万元，下降63</w:t>
      </w:r>
      <w:r>
        <w:rPr>
          <w:rFonts w:ascii="Times New Roman" w:hAnsi="Times New Roman" w:eastAsia="方正仿宋_GBK"/>
          <w:sz w:val="32"/>
          <w:szCs w:val="32"/>
        </w:rPr>
        <w:t>.70%</w:t>
      </w:r>
      <w:r>
        <w:rPr>
          <w:rFonts w:hint="default" w:ascii="Times New Roman" w:hAnsi="Times New Roman" w:eastAsia="方正仿宋_GBK"/>
          <w:sz w:val="32"/>
          <w:szCs w:val="32"/>
        </w:rPr>
        <w:t>，主要原因是2024年度严格遵守中央八项规定，减少接待次数。较上年支出数减少4.24万元，下降79</w:t>
      </w:r>
      <w:r>
        <w:rPr>
          <w:rFonts w:ascii="Times New Roman" w:hAnsi="Times New Roman" w:eastAsia="方正仿宋_GBK"/>
          <w:sz w:val="32"/>
          <w:szCs w:val="32"/>
        </w:rPr>
        <w:t>.60%</w:t>
      </w:r>
      <w:r>
        <w:rPr>
          <w:rFonts w:hint="default" w:ascii="Times New Roman" w:hAnsi="Times New Roman" w:eastAsia="方正仿宋_GBK"/>
          <w:sz w:val="32"/>
          <w:szCs w:val="32"/>
        </w:rPr>
        <w:t>，主要原因是2024年度严格遵守中央八项规定，减少接待次数。</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（二）“三公”经费分项支出情况</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2024年度本部门因公出国（境）费用0.00万元，主要是用于因公出国（境）、招商引资等。费用支出较年初预算数无增减，主要原因是本部门2024年度无因公出国（境）经费支出。与2023年度相比，无增减，主要原因是本部门2024年度无因公出国（境）经费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公务车购置费0.00万元，主要用于因公出行、安全生产检查、招商引资、财政业务检查等工作所需公务车购置费用。费用支出较年初预算数无增减，主要原因是本部门2024年度无公务车购置费支出。与2023年度相比，无增减，主要原因是本部门2024年度无公务车购置费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公务车运行维护费0.98万元，主要用于因公出行、安全生产检查、招商引资、财政业务检查等工作所需车辆的燃料费、维修费、过桥过路费、保险费等。费用支出较年初预算数减少0.02万元，下降2</w:t>
      </w:r>
      <w:r>
        <w:rPr>
          <w:rFonts w:ascii="Times New Roman" w:hAnsi="Times New Roman" w:eastAsia="方正仿宋_GBK"/>
          <w:sz w:val="32"/>
          <w:szCs w:val="32"/>
        </w:rPr>
        <w:t>.00%</w:t>
      </w:r>
      <w:r>
        <w:rPr>
          <w:rFonts w:hint="default" w:ascii="Times New Roman" w:hAnsi="Times New Roman" w:eastAsia="方正仿宋_GBK"/>
          <w:sz w:val="32"/>
          <w:szCs w:val="32"/>
        </w:rPr>
        <w:t>，主要原因是招商引资次数减少，公务车运行费支出减少。较上年支出数增加0.03万元，增长3</w:t>
      </w:r>
      <w:r>
        <w:rPr>
          <w:rFonts w:ascii="Times New Roman" w:hAnsi="Times New Roman" w:eastAsia="方正仿宋_GBK"/>
          <w:sz w:val="32"/>
          <w:szCs w:val="32"/>
        </w:rPr>
        <w:t>.20%</w:t>
      </w:r>
      <w:r>
        <w:rPr>
          <w:rFonts w:hint="default" w:ascii="Times New Roman" w:hAnsi="Times New Roman" w:eastAsia="方正仿宋_GBK"/>
          <w:sz w:val="32"/>
          <w:szCs w:val="32"/>
        </w:rPr>
        <w:t>，主要原因是公务车维护费增加。</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公务接待费0.11万元，主要用于接待上级各部门到我单位学习、调研工作，接受相关部门检查指导工作以及招商引资发生的接待支出。费用支出较年初预算数减少1.89万元，下降94</w:t>
      </w:r>
      <w:r>
        <w:rPr>
          <w:rFonts w:ascii="Times New Roman" w:hAnsi="Times New Roman" w:eastAsia="方正仿宋_GBK"/>
          <w:sz w:val="32"/>
          <w:szCs w:val="32"/>
        </w:rPr>
        <w:t>.50%</w:t>
      </w:r>
      <w:r>
        <w:rPr>
          <w:rFonts w:hint="default" w:ascii="Times New Roman" w:hAnsi="Times New Roman" w:eastAsia="方正仿宋_GBK"/>
          <w:sz w:val="32"/>
          <w:szCs w:val="32"/>
        </w:rPr>
        <w:t>，主要原因是2024年度严格遵守中央八项规定，减少接待次数。较上年支出数减少4.27万元，下降97</w:t>
      </w:r>
      <w:r>
        <w:rPr>
          <w:rFonts w:ascii="Times New Roman" w:hAnsi="Times New Roman" w:eastAsia="方正仿宋_GBK"/>
          <w:sz w:val="32"/>
          <w:szCs w:val="32"/>
        </w:rPr>
        <w:t>.50%</w:t>
      </w:r>
      <w:r>
        <w:rPr>
          <w:rFonts w:hint="default" w:ascii="Times New Roman" w:hAnsi="Times New Roman" w:eastAsia="方正仿宋_GBK"/>
          <w:sz w:val="32"/>
          <w:szCs w:val="32"/>
        </w:rPr>
        <w:t>，主要原因是2024年度严格遵守中央八项规定，减少接待次数。</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（三）“三公”经费实物量情况</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2024年度本部门因公出国（境）共计0个团组，0人；公务用车购置0辆，公务车保有量为2辆；国内公务接待3批次19人，其中：国内外事接待0批次，0人；国（境）外公务接待0批次，0人。2024年本部门人均接待费60.16元，车均购置费0万元，车均维护费0.49万元。</w:t>
      </w:r>
    </w:p>
    <w:p>
      <w:pPr>
        <w:spacing w:line="594"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四、其他需要说明的事项</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（一）财政拨款会议费和培训费情况说明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本年度会议费支出4.41万元，与2023年度相比，增加0.11万元，增长2</w:t>
      </w:r>
      <w:r>
        <w:rPr>
          <w:rFonts w:ascii="Times New Roman" w:hAnsi="Times New Roman" w:eastAsia="方正仿宋_GBK"/>
          <w:sz w:val="32"/>
          <w:szCs w:val="32"/>
        </w:rPr>
        <w:t>.60%</w:t>
      </w:r>
      <w:r>
        <w:rPr>
          <w:rFonts w:hint="default" w:ascii="Times New Roman" w:hAnsi="Times New Roman" w:eastAsia="方正仿宋_GBK"/>
          <w:sz w:val="32"/>
          <w:szCs w:val="32"/>
        </w:rPr>
        <w:t>，主要原因是本年度会议费开支增加。本年度培训费支出1.54万元，与2023年度相比，增加1.27万元，增长470</w:t>
      </w:r>
      <w:r>
        <w:rPr>
          <w:rFonts w:ascii="Times New Roman" w:hAnsi="Times New Roman" w:eastAsia="方正仿宋_GBK"/>
          <w:sz w:val="32"/>
          <w:szCs w:val="32"/>
        </w:rPr>
        <w:t>.40%</w:t>
      </w:r>
      <w:r>
        <w:rPr>
          <w:rFonts w:hint="default" w:ascii="Times New Roman" w:hAnsi="Times New Roman" w:eastAsia="方正仿宋_GBK"/>
          <w:sz w:val="32"/>
          <w:szCs w:val="32"/>
        </w:rPr>
        <w:t>，主要原因是人员增加，人员培训增加。</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（二）机关运行经费情况说明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2024年度本部门机关运行经费支出132.52万元，机关运行经费主要用于开支购买货物和服务等的各项公用经费，包括办公及印刷费、邮电费、差旅费、会议费、福利费、日常维护费等。机关运行经费较上年支出数增加10.06万元，增长8</w:t>
      </w:r>
      <w:r>
        <w:rPr>
          <w:rFonts w:ascii="Times New Roman" w:hAnsi="Times New Roman" w:eastAsia="方正仿宋_GBK"/>
          <w:sz w:val="32"/>
          <w:szCs w:val="32"/>
        </w:rPr>
        <w:t>.20%</w:t>
      </w:r>
      <w:r>
        <w:rPr>
          <w:rFonts w:hint="default" w:ascii="Times New Roman" w:hAnsi="Times New Roman" w:eastAsia="方正仿宋_GBK"/>
          <w:sz w:val="32"/>
          <w:szCs w:val="32"/>
        </w:rPr>
        <w:t>，主要原因是档案数字化加工服务费、宣传相关的印刷费用、工会经费等开支增加。</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（三）国有资产占用情况说明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截至2024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（四）政府采购支出情况说明</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2024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w:t>
      </w:r>
      <w:r>
        <w:rPr>
          <w:rFonts w:ascii="Times New Roman" w:hAnsi="Times New Roman" w:eastAsia="方正仿宋_GBK"/>
          <w:sz w:val="32"/>
          <w:szCs w:val="32"/>
        </w:rPr>
        <w:t>部门</w:t>
      </w:r>
      <w:r>
        <w:rPr>
          <w:rFonts w:hint="default" w:ascii="Times New Roman" w:hAnsi="Times New Roman" w:eastAsia="方正仿宋_GBK"/>
          <w:sz w:val="32"/>
          <w:szCs w:val="32"/>
        </w:rPr>
        <w:t>未发生政府采购事项，无相关经费支出。</w:t>
      </w:r>
    </w:p>
    <w:p>
      <w:pPr>
        <w:spacing w:line="594" w:lineRule="exact"/>
        <w:ind w:firstLine="643" w:firstLineChars="200"/>
        <w:rPr>
          <w:rFonts w:hint="default" w:ascii="Times New Roman" w:hAnsi="Times New Roman" w:eastAsia="方正黑体_GBK"/>
          <w:sz w:val="32"/>
          <w:szCs w:val="32"/>
        </w:rPr>
      </w:pPr>
      <w:r>
        <w:rPr>
          <w:rStyle w:val="13"/>
          <w:rFonts w:ascii="黑体" w:hAnsi="黑体" w:eastAsia="黑体" w:cs="黑体"/>
          <w:sz w:val="32"/>
          <w:szCs w:val="32"/>
          <w:shd w:val="clear" w:color="auto" w:fill="FFFFFF"/>
        </w:rPr>
        <w:t>五、2024年度预算绩效管理情况说明</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（一）</w:t>
      </w:r>
      <w:r>
        <w:rPr>
          <w:rFonts w:ascii="Times New Roman" w:hAnsi="Times New Roman" w:eastAsia="方正楷体_GBK"/>
          <w:sz w:val="32"/>
          <w:szCs w:val="32"/>
        </w:rPr>
        <w:t>部门</w:t>
      </w:r>
      <w:r>
        <w:rPr>
          <w:rFonts w:hint="default" w:ascii="Times New Roman" w:hAnsi="Times New Roman" w:eastAsia="方正楷体_GBK"/>
          <w:sz w:val="32"/>
          <w:szCs w:val="32"/>
        </w:rPr>
        <w:t>自评情况</w:t>
      </w:r>
    </w:p>
    <w:p>
      <w:pPr>
        <w:spacing w:line="594"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根据预算绩效管理要求，我部门对</w:t>
      </w:r>
      <w:r>
        <w:rPr>
          <w:rFonts w:ascii="Times New Roman" w:hAnsi="Times New Roman" w:eastAsia="方正仿宋_GBK"/>
          <w:sz w:val="32"/>
          <w:szCs w:val="32"/>
        </w:rPr>
        <w:t>部门整体绩效及</w:t>
      </w:r>
      <w:r>
        <w:rPr>
          <w:rFonts w:hint="default" w:ascii="Times New Roman" w:hAnsi="Times New Roman" w:eastAsia="方正仿宋_GBK"/>
          <w:sz w:val="32"/>
          <w:szCs w:val="32"/>
        </w:rPr>
        <w:t>67个二级项目开展了绩效自评，涉及财政拨款项目支出资金1402.85万元。</w:t>
      </w:r>
    </w:p>
    <w:p>
      <w:pPr>
        <w:spacing w:line="594" w:lineRule="exact"/>
        <w:ind w:firstLine="640" w:firstLineChars="200"/>
        <w:rPr>
          <w:rFonts w:hint="default" w:ascii="方正仿宋_GBK" w:hAnsi="方正仿宋_GBK" w:eastAsia="方正仿宋_GBK" w:cs="方正仿宋_GBK"/>
          <w:sz w:val="32"/>
          <w:szCs w:val="32"/>
        </w:rPr>
      </w:pPr>
    </w:p>
    <w:tbl>
      <w:tblPr>
        <w:tblStyle w:val="10"/>
        <w:tblW w:w="9053" w:type="dxa"/>
        <w:tblInd w:w="0" w:type="dxa"/>
        <w:tblLayout w:type="fixed"/>
        <w:tblCellMar>
          <w:top w:w="0" w:type="dxa"/>
          <w:left w:w="0" w:type="dxa"/>
          <w:bottom w:w="0" w:type="dxa"/>
          <w:right w:w="0" w:type="dxa"/>
        </w:tblCellMar>
      </w:tblPr>
      <w:tblGrid>
        <w:gridCol w:w="911"/>
        <w:gridCol w:w="490"/>
        <w:gridCol w:w="490"/>
        <w:gridCol w:w="1019"/>
        <w:gridCol w:w="820"/>
        <w:gridCol w:w="1312"/>
        <w:gridCol w:w="600"/>
        <w:gridCol w:w="1432"/>
        <w:gridCol w:w="490"/>
        <w:gridCol w:w="580"/>
        <w:gridCol w:w="909"/>
      </w:tblGrid>
      <w:tr>
        <w:tblPrEx>
          <w:tblCellMar>
            <w:top w:w="0" w:type="dxa"/>
            <w:left w:w="0" w:type="dxa"/>
            <w:bottom w:w="0" w:type="dxa"/>
            <w:right w:w="0" w:type="dxa"/>
          </w:tblCellMar>
        </w:tblPrEx>
        <w:trPr>
          <w:trHeight w:val="868"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方正公文小标宋" w:hAnsi="方正公文小标宋" w:eastAsia="方正公文小标宋" w:cs="方正公文小标宋"/>
                <w:bCs/>
                <w:color w:val="000000"/>
                <w:sz w:val="40"/>
                <w:szCs w:val="40"/>
                <w:lang w:bidi="ar"/>
              </w:rPr>
              <w:t>2024年度部门整体绩效自评表</w:t>
            </w:r>
          </w:p>
        </w:tc>
      </w:tr>
      <w:tr>
        <w:tblPrEx>
          <w:tblCellMar>
            <w:top w:w="0" w:type="dxa"/>
            <w:left w:w="0" w:type="dxa"/>
            <w:bottom w:w="0" w:type="dxa"/>
            <w:right w:w="0" w:type="dxa"/>
          </w:tblCellMar>
        </w:tblPrEx>
        <w:trPr>
          <w:trHeight w:val="5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ascii="方正仿宋_GBK" w:hAnsi="方正仿宋_GBK" w:eastAsia="方正仿宋_GBK" w:cs="方正仿宋_GBK"/>
                <w:b/>
                <w:color w:val="DA3232"/>
                <w:sz w:val="22"/>
                <w:szCs w:val="22"/>
              </w:rPr>
            </w:pPr>
            <w:r>
              <w:rPr>
                <w:rFonts w:ascii="方正仿宋_GBK" w:hAnsi="方正仿宋_GBK" w:eastAsia="方正仿宋_GBK" w:cs="方正仿宋_GBK"/>
                <w:b/>
                <w:color w:val="DA3232"/>
                <w:sz w:val="22"/>
                <w:szCs w:val="22"/>
                <w:lang w:bidi="ar"/>
              </w:rPr>
              <w:t>状态：绩效审核已审</w:t>
            </w: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项目名称：</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垫江县砚台镇人民政府整体自评</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项目编码：</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50023100024P000145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自评总分：</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b/>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项目主管部门：</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719-垫江县砚台镇人民政府</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财政归口处室：</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014-会计管理核算中心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部门联系人：</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汪兴东</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联系电话：</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74588755</w:t>
            </w: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资金情况</w:t>
            </w:r>
          </w:p>
        </w:tc>
      </w:tr>
      <w:tr>
        <w:tblPrEx>
          <w:tblCellMar>
            <w:top w:w="0" w:type="dxa"/>
            <w:left w:w="0" w:type="dxa"/>
            <w:bottom w:w="0" w:type="dxa"/>
            <w:right w:w="0" w:type="dxa"/>
          </w:tblCellMar>
        </w:tblPrEx>
        <w:trPr>
          <w:trHeight w:val="500" w:hRule="atLeast"/>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年初预算数</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全年（调整）预算数</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全年执行数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执行率权重</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年度总金额</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26,941,922.85</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34,408,932.44</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34,408,932.44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其中：财政拨款</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26,941,922.85</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34,408,932.44</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34,408,932.44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10.00</w:t>
            </w:r>
          </w:p>
        </w:tc>
      </w:tr>
      <w:tr>
        <w:tblPrEx>
          <w:tblCellMar>
            <w:top w:w="0" w:type="dxa"/>
            <w:left w:w="0" w:type="dxa"/>
            <w:bottom w:w="0" w:type="dxa"/>
            <w:right w:w="0" w:type="dxa"/>
          </w:tblCellMar>
        </w:tblPrEx>
        <w:trPr>
          <w:trHeight w:val="500" w:hRule="atLeast"/>
        </w:trPr>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一般公共预算</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26,941,922.85</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32,990,772.25</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32,990,772.25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绩效目标</w:t>
            </w:r>
          </w:p>
        </w:tc>
      </w:tr>
      <w:tr>
        <w:tblPrEx>
          <w:tblCellMar>
            <w:top w:w="0" w:type="dxa"/>
            <w:left w:w="0" w:type="dxa"/>
            <w:bottom w:w="0" w:type="dxa"/>
            <w:right w:w="0" w:type="dxa"/>
          </w:tblCellMar>
        </w:tblPrEx>
        <w:trPr>
          <w:trHeight w:val="500" w:hRule="atLeast"/>
        </w:trPr>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年初绩效目标</w:t>
            </w:r>
          </w:p>
        </w:tc>
        <w:tc>
          <w:tcPr>
            <w:tcW w:w="416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全年（调整）绩效目标</w:t>
            </w: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jc w:val="center"/>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垫江县砚台镇人民政府2024年认真贯彻落实县委县政府的相关政策，在廖伦中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41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jc w:val="center"/>
              <w:rPr>
                <w:rFonts w:hint="default" w:ascii="方正仿宋_GBK" w:hAnsi="方正仿宋_GBK" w:eastAsia="方正仿宋_GBK" w:cs="方正仿宋_GBK"/>
                <w:color w:val="000000"/>
                <w:sz w:val="22"/>
                <w:szCs w:val="22"/>
              </w:rPr>
            </w:pP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jc w:val="center"/>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垫江县砚台镇人民政府2024年认真贯彻落实县委县政府的相关政策，在廖伦中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绩效指标</w:t>
            </w: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指标名称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计量单位</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指标性质</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指标值</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全年完成值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偏离度（%）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得分系数（%）</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指标得分</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是否核心指标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说明</w:t>
            </w: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城区绿化面积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平方米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6000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6000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党建培训人次</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次</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1230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1230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到市、进京非访、集访次数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次</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较大森林火险发生次数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次</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生活垃圾处理量</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吨</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5500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5500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优抚、民政、计生等困难群众补助人数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人次</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882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重大安全事故发生次数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次</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农村卫生厕所改厕覆盖率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80.55</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80.55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辖区农民人均纯收入增长量</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12.6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一般公共预算收入完成率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全年预算支出执行率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三季度预算执行进度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预决算按时公开率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社区网格员覆盖率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辖区河道水质</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类</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应公开的政务信息公开率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征兵完成率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辖区群众满意度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辖区干部满意率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r>
    </w:tbl>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tbl>
      <w:tblPr>
        <w:tblStyle w:val="10"/>
        <w:tblW w:w="9053" w:type="dxa"/>
        <w:tblInd w:w="0" w:type="dxa"/>
        <w:tblLayout w:type="fixed"/>
        <w:tblCellMar>
          <w:top w:w="0" w:type="dxa"/>
          <w:left w:w="0" w:type="dxa"/>
          <w:bottom w:w="0" w:type="dxa"/>
          <w:right w:w="0" w:type="dxa"/>
        </w:tblCellMar>
      </w:tblPr>
      <w:tblGrid>
        <w:gridCol w:w="875"/>
        <w:gridCol w:w="721"/>
        <w:gridCol w:w="692"/>
        <w:gridCol w:w="826"/>
        <w:gridCol w:w="1147"/>
        <w:gridCol w:w="1426"/>
        <w:gridCol w:w="769"/>
        <w:gridCol w:w="489"/>
        <w:gridCol w:w="489"/>
        <w:gridCol w:w="710"/>
        <w:gridCol w:w="909"/>
      </w:tblGrid>
      <w:tr>
        <w:tblPrEx>
          <w:tblCellMar>
            <w:top w:w="0" w:type="dxa"/>
            <w:left w:w="0" w:type="dxa"/>
            <w:bottom w:w="0" w:type="dxa"/>
            <w:right w:w="0" w:type="dxa"/>
          </w:tblCellMar>
        </w:tblPrEx>
        <w:trPr>
          <w:trHeight w:val="8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小标宋简体" w:hAnsi="方正小标宋简体" w:eastAsia="方正小标宋简体" w:cs="方正小标宋简体"/>
                <w:bCs/>
                <w:color w:val="000000"/>
                <w:sz w:val="40"/>
                <w:szCs w:val="40"/>
              </w:rPr>
            </w:pPr>
            <w:r>
              <w:rPr>
                <w:rFonts w:ascii="方正公文小标宋" w:hAnsi="方正公文小标宋" w:eastAsia="方正公文小标宋" w:cs="方正公文小标宋"/>
                <w:b/>
                <w:color w:val="000000"/>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ascii="方正仿宋_GBK" w:hAnsi="方正仿宋_GBK" w:eastAsia="方正仿宋_GBK" w:cs="方正仿宋_GBK"/>
                <w:b/>
                <w:color w:val="DA3232"/>
                <w:sz w:val="22"/>
                <w:szCs w:val="22"/>
              </w:rPr>
            </w:pPr>
            <w:r>
              <w:rPr>
                <w:rFonts w:ascii="方正仿宋_GBK" w:hAnsi="方正仿宋_GBK" w:eastAsia="方正仿宋_GBK" w:cs="方正仿宋_GBK"/>
                <w:b/>
                <w:color w:val="DA3232"/>
                <w:sz w:val="22"/>
                <w:szCs w:val="22"/>
                <w:lang w:bidi="ar"/>
              </w:rPr>
              <w:t>状态：绩效审核已审</w:t>
            </w:r>
          </w:p>
        </w:tc>
      </w:tr>
      <w:tr>
        <w:tblPrEx>
          <w:tblCellMar>
            <w:top w:w="0" w:type="dxa"/>
            <w:left w:w="0" w:type="dxa"/>
            <w:bottom w:w="0" w:type="dxa"/>
            <w:right w:w="0"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项目名称：</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残疾人事业发展</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项目编码：</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50023123T000002763447</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自评总分：</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b/>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项目主管部门：</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719-垫江县砚台镇人民政府</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财政归口处室：</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014-会计管理核算中心</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部门联系人：</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刘春辉</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联系电话：</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74588755</w:t>
            </w: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资金情况</w:t>
            </w:r>
          </w:p>
        </w:tc>
      </w:tr>
      <w:tr>
        <w:tblPrEx>
          <w:tblCellMar>
            <w:top w:w="0" w:type="dxa"/>
            <w:left w:w="0" w:type="dxa"/>
            <w:bottom w:w="0" w:type="dxa"/>
            <w:right w:w="0" w:type="dxa"/>
          </w:tblCellMar>
        </w:tblPrEx>
        <w:trPr>
          <w:trHeight w:val="500"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c>
          <w:tcPr>
            <w:tcW w:w="151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年初预算数</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全年（调整）预算数</w:t>
            </w:r>
          </w:p>
        </w:tc>
        <w:tc>
          <w:tcPr>
            <w:tcW w:w="125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全年执行数</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执行率权重</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年度总金额</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0.00 </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96,200.00</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96,200.00 </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其中：财政拨款</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0.00 </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96,200.00</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96,200.00 </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一般公共预算</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0.00 </w:t>
            </w:r>
          </w:p>
        </w:tc>
        <w:tc>
          <w:tcPr>
            <w:tcW w:w="2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96,200.00 </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96,200.00 </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绩效目标</w:t>
            </w:r>
          </w:p>
        </w:tc>
      </w:tr>
      <w:tr>
        <w:tblPrEx>
          <w:tblCellMar>
            <w:top w:w="0" w:type="dxa"/>
            <w:left w:w="0" w:type="dxa"/>
            <w:bottom w:w="0" w:type="dxa"/>
            <w:right w:w="0" w:type="dxa"/>
          </w:tblCellMar>
        </w:tblPrEx>
        <w:trPr>
          <w:trHeight w:val="500" w:hRule="atLeast"/>
        </w:trPr>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年初绩效目标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全年（调整）绩效目标</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用好残疾人事业发展资金。</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用好残疾人事业发展资金。</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用好残疾人事业发展资金。</w:t>
            </w: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绩效指标</w:t>
            </w:r>
          </w:p>
        </w:tc>
      </w:tr>
      <w:tr>
        <w:tblPrEx>
          <w:tblCellMar>
            <w:top w:w="0" w:type="dxa"/>
            <w:left w:w="0" w:type="dxa"/>
            <w:bottom w:w="0" w:type="dxa"/>
            <w:right w:w="0"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计量单位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指标性质</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指标值</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全年完成值</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偏离度（%）</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得分系数（%）</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指标权重</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指标得分</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是否核心指标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说明</w:t>
            </w:r>
          </w:p>
        </w:tc>
      </w:tr>
      <w:tr>
        <w:tblPrEx>
          <w:tblCellMar>
            <w:top w:w="0" w:type="dxa"/>
            <w:left w:w="0" w:type="dxa"/>
            <w:bottom w:w="0" w:type="dxa"/>
            <w:right w:w="0"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专职委员人数</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人</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16</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服务对象不满数</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资金及时支付率</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社会效益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定性</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良好</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1702"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服务对象满意度</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成本</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元</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96200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96200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bl>
    <w:p>
      <w:pPr>
        <w:pStyle w:val="15"/>
        <w:autoSpaceDE w:val="0"/>
        <w:spacing w:before="0" w:beforeAutospacing="0" w:after="0" w:afterAutospacing="0" w:line="596" w:lineRule="exact"/>
        <w:rPr>
          <w:rFonts w:ascii="楷体" w:hAnsi="楷体" w:eastAsia="楷体" w:cs="楷体"/>
          <w:b/>
          <w:bCs/>
          <w:sz w:val="32"/>
          <w:szCs w:val="32"/>
          <w:shd w:val="clear" w:color="auto" w:fill="FFFFFF"/>
        </w:rPr>
      </w:pPr>
    </w:p>
    <w:tbl>
      <w:tblPr>
        <w:tblStyle w:val="10"/>
        <w:tblW w:w="9053" w:type="dxa"/>
        <w:tblInd w:w="0" w:type="dxa"/>
        <w:tblLayout w:type="fixed"/>
        <w:tblCellMar>
          <w:top w:w="0" w:type="dxa"/>
          <w:left w:w="0" w:type="dxa"/>
          <w:bottom w:w="0" w:type="dxa"/>
          <w:right w:w="0" w:type="dxa"/>
        </w:tblCellMar>
      </w:tblPr>
      <w:tblGrid>
        <w:gridCol w:w="1018"/>
        <w:gridCol w:w="607"/>
        <w:gridCol w:w="607"/>
        <w:gridCol w:w="657"/>
        <w:gridCol w:w="1067"/>
        <w:gridCol w:w="1504"/>
        <w:gridCol w:w="612"/>
        <w:gridCol w:w="1008"/>
        <w:gridCol w:w="488"/>
        <w:gridCol w:w="578"/>
        <w:gridCol w:w="907"/>
      </w:tblGrid>
      <w:tr>
        <w:tblPrEx>
          <w:tblCellMar>
            <w:top w:w="0" w:type="dxa"/>
            <w:left w:w="0" w:type="dxa"/>
            <w:bottom w:w="0" w:type="dxa"/>
            <w:right w:w="0" w:type="dxa"/>
          </w:tblCellMar>
        </w:tblPrEx>
        <w:trPr>
          <w:trHeight w:val="1122"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方正公文小标宋" w:hAnsi="方正公文小标宋" w:eastAsia="方正公文小标宋" w:cs="方正公文小标宋"/>
                <w:bCs/>
                <w:color w:val="000000"/>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ascii="方正仿宋_GBK" w:hAnsi="方正仿宋_GBK" w:eastAsia="方正仿宋_GBK" w:cs="方正仿宋_GBK"/>
                <w:b/>
                <w:color w:val="DA3232"/>
                <w:sz w:val="22"/>
                <w:szCs w:val="22"/>
              </w:rPr>
            </w:pPr>
            <w:r>
              <w:rPr>
                <w:rFonts w:ascii="方正仿宋_GBK" w:hAnsi="方正仿宋_GBK" w:eastAsia="方正仿宋_GBK" w:cs="方正仿宋_GBK"/>
                <w:b/>
                <w:color w:val="DA3232"/>
                <w:sz w:val="22"/>
                <w:szCs w:val="22"/>
                <w:lang w:bidi="ar"/>
              </w:rPr>
              <w:t>状态：绩效审核已审</w:t>
            </w:r>
          </w:p>
        </w:tc>
      </w:tr>
      <w:tr>
        <w:tblPrEx>
          <w:tblCellMar>
            <w:top w:w="0" w:type="dxa"/>
            <w:left w:w="0" w:type="dxa"/>
            <w:bottom w:w="0" w:type="dxa"/>
            <w:right w:w="0" w:type="dxa"/>
          </w:tblCellMar>
        </w:tblPrEx>
        <w:trPr>
          <w:trHeight w:val="851"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项目名称：</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市级自然灾害救灾补助资金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项目编码：</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50023123T000003520143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自评总分：</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100.00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b/>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项目主管部门：</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719-垫江县砚台镇人民政府</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财政归口处室：</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014-会计管理核算中心</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部门联系人：</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谭勇</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联系电话：</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74588755</w:t>
            </w: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资金情况</w:t>
            </w:r>
          </w:p>
        </w:tc>
      </w:tr>
      <w:tr>
        <w:tblPrEx>
          <w:tblCellMar>
            <w:top w:w="0" w:type="dxa"/>
            <w:left w:w="0" w:type="dxa"/>
            <w:bottom w:w="0" w:type="dxa"/>
            <w:right w:w="0" w:type="dxa"/>
          </w:tblCellMar>
        </w:tblPrEx>
        <w:trPr>
          <w:trHeight w:val="500" w:hRule="atLeast"/>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rPr>
                <w:rFonts w:hint="default" w:ascii="方正仿宋_GBK" w:hAnsi="方正仿宋_GBK" w:eastAsia="方正仿宋_GBK" w:cs="方正仿宋_GBK"/>
                <w:color w:val="000000"/>
                <w:sz w:val="22"/>
                <w:szCs w:val="22"/>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年初预算数</w:t>
            </w:r>
          </w:p>
        </w:tc>
        <w:tc>
          <w:tcPr>
            <w:tcW w:w="25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全年（调整）预算数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全年执行数</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执行率权重</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年度总金额</w:t>
            </w:r>
          </w:p>
        </w:tc>
        <w:tc>
          <w:tcPr>
            <w:tcW w:w="6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65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0.00 </w:t>
            </w:r>
          </w:p>
        </w:tc>
        <w:tc>
          <w:tcPr>
            <w:tcW w:w="10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15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60,000.00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60,000.00 </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其中：财政拨款</w:t>
            </w:r>
          </w:p>
        </w:tc>
        <w:tc>
          <w:tcPr>
            <w:tcW w:w="6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65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0.00 </w:t>
            </w:r>
          </w:p>
        </w:tc>
        <w:tc>
          <w:tcPr>
            <w:tcW w:w="10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15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60,000.00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60,000.00 </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一般公共预算</w:t>
            </w:r>
          </w:p>
        </w:tc>
        <w:tc>
          <w:tcPr>
            <w:tcW w:w="60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65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0.00 </w:t>
            </w:r>
          </w:p>
        </w:tc>
        <w:tc>
          <w:tcPr>
            <w:tcW w:w="10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15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60,000.00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 xml:space="preserve">60,000.00 </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绩效目标</w:t>
            </w:r>
          </w:p>
        </w:tc>
      </w:tr>
      <w:tr>
        <w:tblPrEx>
          <w:tblCellMar>
            <w:top w:w="0" w:type="dxa"/>
            <w:left w:w="0" w:type="dxa"/>
            <w:bottom w:w="0" w:type="dxa"/>
            <w:right w:w="0" w:type="dxa"/>
          </w:tblCellMar>
        </w:tblPrEx>
        <w:trPr>
          <w:trHeight w:val="500" w:hRule="atLeast"/>
        </w:trPr>
        <w:tc>
          <w:tcPr>
            <w:tcW w:w="28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年初绩效目标</w:t>
            </w:r>
          </w:p>
        </w:tc>
        <w:tc>
          <w:tcPr>
            <w:tcW w:w="41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全年（调整）绩效目标</w:t>
            </w:r>
          </w:p>
        </w:tc>
        <w:tc>
          <w:tcPr>
            <w:tcW w:w="19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28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砚台镇自然灾害救助全镇16个村（社区）</w:t>
            </w:r>
          </w:p>
        </w:tc>
        <w:tc>
          <w:tcPr>
            <w:tcW w:w="41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砚台镇自然灾害救助全镇16个村（社区）</w:t>
            </w:r>
          </w:p>
        </w:tc>
        <w:tc>
          <w:tcPr>
            <w:tcW w:w="19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460" w:lineRule="exact"/>
              <w:textAlignment w:val="top"/>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br w:type="textWrapping"/>
            </w:r>
            <w:r>
              <w:rPr>
                <w:rFonts w:ascii="方正仿宋_GBK" w:hAnsi="方正仿宋_GBK" w:eastAsia="方正仿宋_GBK" w:cs="方正仿宋_GBK"/>
                <w:color w:val="000000"/>
                <w:sz w:val="22"/>
                <w:szCs w:val="22"/>
                <w:lang w:bidi="ar"/>
              </w:rPr>
              <w:t xml:space="preserve"> </w:t>
            </w:r>
            <w:r>
              <w:rPr>
                <w:rFonts w:ascii="方正仿宋_GBK" w:hAnsi="方正仿宋_GBK" w:eastAsia="方正仿宋_GBK" w:cs="方正仿宋_GBK"/>
                <w:color w:val="000000"/>
                <w:sz w:val="22"/>
                <w:szCs w:val="22"/>
                <w:lang w:bidi="ar"/>
              </w:rPr>
              <w:br w:type="textWrapping"/>
            </w:r>
            <w:r>
              <w:rPr>
                <w:rFonts w:ascii="方正仿宋_GBK" w:hAnsi="方正仿宋_GBK" w:eastAsia="方正仿宋_GBK" w:cs="方正仿宋_GBK"/>
                <w:color w:val="000000"/>
                <w:sz w:val="22"/>
                <w:szCs w:val="22"/>
                <w:lang w:bidi="ar"/>
              </w:rPr>
              <w:t>砚台镇自然灾害救助全镇16个村（社区）</w:t>
            </w:r>
          </w:p>
        </w:tc>
      </w:tr>
      <w:tr>
        <w:tblPrEx>
          <w:tblCellMar>
            <w:top w:w="0" w:type="dxa"/>
            <w:left w:w="0" w:type="dxa"/>
            <w:bottom w:w="0" w:type="dxa"/>
            <w:right w:w="0" w:type="dxa"/>
          </w:tblCellMar>
        </w:tblPrEx>
        <w:trPr>
          <w:trHeight w:val="600" w:hRule="atLeast"/>
        </w:trPr>
        <w:tc>
          <w:tcPr>
            <w:tcW w:w="90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808080"/>
                <w:sz w:val="28"/>
                <w:szCs w:val="28"/>
              </w:rPr>
            </w:pPr>
            <w:r>
              <w:rPr>
                <w:rFonts w:ascii="方正仿宋_GBK" w:hAnsi="方正仿宋_GBK" w:eastAsia="方正仿宋_GBK" w:cs="方正仿宋_GBK"/>
                <w:b/>
                <w:color w:val="808080"/>
                <w:sz w:val="28"/>
                <w:szCs w:val="28"/>
                <w:lang w:bidi="ar"/>
              </w:rPr>
              <w:t>绩效指标</w:t>
            </w: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指标名称</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计量单位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指标性质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指标值</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全年完成值</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偏离度（%）</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得分系数（%）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指标权重</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指标得分</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是否核心指标</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center"/>
              <w:textAlignment w:val="center"/>
              <w:rPr>
                <w:rFonts w:hint="default" w:ascii="方正仿宋_GBK" w:hAnsi="方正仿宋_GBK" w:eastAsia="方正仿宋_GBK" w:cs="方正仿宋_GBK"/>
                <w:b/>
                <w:color w:val="000000"/>
                <w:sz w:val="22"/>
                <w:szCs w:val="22"/>
              </w:rPr>
            </w:pPr>
            <w:r>
              <w:rPr>
                <w:rFonts w:ascii="方正仿宋_GBK" w:hAnsi="方正仿宋_GBK" w:eastAsia="方正仿宋_GBK" w:cs="方正仿宋_GBK"/>
                <w:b/>
                <w:color w:val="000000"/>
                <w:sz w:val="22"/>
                <w:szCs w:val="22"/>
                <w:lang w:bidi="ar"/>
              </w:rPr>
              <w:t>说明</w:t>
            </w: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救助村社区数</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个</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16</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救助困难群众</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人</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高质量完成救助</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救助时间</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月</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救助群众生活质量提升</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定性</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救助群众满意度</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95</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救助自然灾害金额</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万元</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6</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ind w:firstLine="220" w:firstLineChars="100"/>
              <w:jc w:val="right"/>
              <w:textAlignment w:val="center"/>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color w:val="000000"/>
                <w:sz w:val="22"/>
                <w:szCs w:val="22"/>
                <w:lang w:bidi="ar"/>
              </w:rPr>
              <w:t>20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60" w:lineRule="exact"/>
              <w:jc w:val="right"/>
              <w:rPr>
                <w:rFonts w:hint="default" w:ascii="方正仿宋_GBK" w:hAnsi="方正仿宋_GBK" w:eastAsia="方正仿宋_GBK" w:cs="方正仿宋_GBK"/>
                <w:color w:val="000000"/>
                <w:sz w:val="22"/>
                <w:szCs w:val="22"/>
              </w:rPr>
            </w:pPr>
          </w:p>
        </w:tc>
      </w:tr>
    </w:tbl>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（二）部门绩效评价情况</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我部门未组织开展绩效评价。</w:t>
      </w:r>
    </w:p>
    <w:p>
      <w:pPr>
        <w:spacing w:line="594" w:lineRule="exact"/>
        <w:ind w:firstLine="640" w:firstLineChars="200"/>
        <w:rPr>
          <w:rFonts w:hint="default" w:ascii="Times New Roman" w:hAnsi="Times New Roman" w:eastAsia="方正楷体_GBK"/>
          <w:sz w:val="32"/>
          <w:szCs w:val="32"/>
        </w:rPr>
      </w:pPr>
      <w:r>
        <w:rPr>
          <w:rFonts w:hint="default" w:ascii="Times New Roman" w:hAnsi="Times New Roman" w:eastAsia="方正楷体_GBK"/>
          <w:sz w:val="32"/>
          <w:szCs w:val="32"/>
        </w:rPr>
        <w:t>（三）财政绩效评价情况</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县财政局未委托第三方对我部门开展绩效评价。</w:t>
      </w:r>
    </w:p>
    <w:p>
      <w:pPr>
        <w:spacing w:line="594"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六、专业名词解释</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（一）财政拨款收入：</w:t>
      </w:r>
      <w:r>
        <w:rPr>
          <w:rFonts w:hint="default" w:ascii="Times New Roman" w:hAnsi="Times New Roman" w:eastAsia="方正仿宋_GBK"/>
          <w:sz w:val="32"/>
          <w:szCs w:val="32"/>
        </w:rPr>
        <w:t>指本年度从本级财政部门取得的财政拨款，包括一般公共预算财政拨款和政府性基金预算财政拨款。</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（二）事业收入：</w:t>
      </w:r>
      <w:r>
        <w:rPr>
          <w:rFonts w:hint="default" w:ascii="Times New Roman" w:hAnsi="Times New Roman" w:eastAsia="方正仿宋_GBK"/>
          <w:sz w:val="32"/>
          <w:szCs w:val="32"/>
        </w:rPr>
        <w:t>指事业单位开展专业业务活动及其辅助活动取得的现金流入；事业单位收到的财政专户实际核拨的教育收费等资金在此反映。</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（三）经营收入：</w:t>
      </w:r>
      <w:r>
        <w:rPr>
          <w:rFonts w:hint="default" w:ascii="Times New Roman" w:hAnsi="Times New Roman" w:eastAsia="方正仿宋_GBK"/>
          <w:sz w:val="32"/>
          <w:szCs w:val="32"/>
        </w:rPr>
        <w:t>指事业单位在专业业务活动及其辅助活动之外开展非独立核算经营活动取得的现金流入。</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（四）其他收入：</w:t>
      </w:r>
      <w:r>
        <w:rPr>
          <w:rFonts w:hint="default"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（五）使用非财政拨款结余</w:t>
      </w:r>
      <w:r>
        <w:rPr>
          <w:rFonts w:hint="default"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（六）年初结转和结余：</w:t>
      </w:r>
      <w:r>
        <w:rPr>
          <w:rFonts w:hint="default" w:ascii="Times New Roman" w:hAnsi="Times New Roman" w:eastAsia="方正仿宋_GBK"/>
          <w:sz w:val="32"/>
          <w:szCs w:val="32"/>
        </w:rPr>
        <w:t>指单位上年结转本年使用的基本支出结转、项目支出结转和结余、经营结余。</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（七）结余分配：</w:t>
      </w:r>
      <w:r>
        <w:rPr>
          <w:rFonts w:hint="default" w:ascii="Times New Roman" w:hAnsi="Times New Roman" w:eastAsia="方正仿宋_GBK"/>
          <w:sz w:val="32"/>
          <w:szCs w:val="32"/>
        </w:rPr>
        <w:t>指单位按照国家有关规定，缴纳所得税、提取专用基金、转入非财政拨款结余等当年结余的分配情况。</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（八）年末结转和结余：</w:t>
      </w:r>
      <w:r>
        <w:rPr>
          <w:rFonts w:hint="default" w:ascii="Times New Roman" w:hAnsi="Times New Roman" w:eastAsia="方正仿宋_GBK"/>
          <w:sz w:val="32"/>
          <w:szCs w:val="32"/>
        </w:rPr>
        <w:t>指单位结转下年的基本支出结转、项目支出结转和结余、经营结余。</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（九）基本支出：</w:t>
      </w:r>
      <w:r>
        <w:rPr>
          <w:rFonts w:hint="default"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（十）项目支出：</w:t>
      </w:r>
      <w:r>
        <w:rPr>
          <w:rFonts w:hint="default" w:ascii="Times New Roman" w:hAnsi="Times New Roman" w:eastAsia="方正仿宋_GBK"/>
          <w:sz w:val="32"/>
          <w:szCs w:val="32"/>
        </w:rPr>
        <w:t>指在基本支出之外为完成特定行政任务和事业发展目标所发生的支出。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（十一）经营支出：</w:t>
      </w:r>
      <w:r>
        <w:rPr>
          <w:rFonts w:hint="default" w:ascii="Times New Roman" w:hAnsi="Times New Roman" w:eastAsia="方正仿宋_GBK"/>
          <w:sz w:val="32"/>
          <w:szCs w:val="32"/>
        </w:rPr>
        <w:t>指事业单位在专业业务活动及其辅助活动之外开展非独立核算经营活动发生的支出。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（十二）“三公”经费：</w:t>
      </w:r>
      <w:r>
        <w:rPr>
          <w:rFonts w:hint="default"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（十三）机关运行经费：</w:t>
      </w:r>
      <w:r>
        <w:rPr>
          <w:rFonts w:hint="default"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（十四）工资福利支出（支出经济分类科目类级）：</w:t>
      </w:r>
      <w:r>
        <w:rPr>
          <w:rFonts w:hint="default" w:ascii="Times New Roman" w:hAnsi="Times New Roman" w:eastAsia="方正仿宋_GBK"/>
          <w:sz w:val="32"/>
          <w:szCs w:val="32"/>
        </w:rPr>
        <w:t>反映单位开支的在职职工和编制外长期聘用人员的各类劳动报酬，以及为上述人员缴纳的各项社会保险费等。</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（十五）商品和服务支出（支出经济分类科目类级）：</w:t>
      </w:r>
      <w:r>
        <w:rPr>
          <w:rFonts w:hint="default" w:ascii="Times New Roman" w:hAnsi="Times New Roman" w:eastAsia="方正仿宋_GBK"/>
          <w:sz w:val="32"/>
          <w:szCs w:val="32"/>
        </w:rPr>
        <w:t>反映单位购买商品和服务的支出（不包括用于购置固定资产的支出、战略性和应急储备支出）。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（十六）对个人和家庭的补助（支出经济分类科目类级）：</w:t>
      </w:r>
      <w:r>
        <w:rPr>
          <w:rFonts w:hint="default" w:ascii="Times New Roman" w:hAnsi="Times New Roman" w:eastAsia="方正仿宋_GBK"/>
          <w:sz w:val="32"/>
          <w:szCs w:val="32"/>
        </w:rPr>
        <w:t>反映用于对个人和家庭的补助支出。</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楷体_GBK"/>
          <w:sz w:val="32"/>
          <w:szCs w:val="32"/>
        </w:rPr>
        <w:t>（十七）其他资本性支出（支出经济分类科目类级）：</w:t>
      </w:r>
      <w:r>
        <w:rPr>
          <w:rFonts w:hint="default"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spacing w:line="594"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七、决算公开联系方式及信息反馈渠道</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本部门</w:t>
      </w:r>
      <w:r>
        <w:rPr>
          <w:rFonts w:hint="default" w:ascii="Times New Roman" w:hAnsi="Times New Roman" w:eastAsia="方正仿宋_GBK"/>
          <w:sz w:val="32"/>
          <w:szCs w:val="32"/>
        </w:rPr>
        <w:t>决算公开信息反馈和联系方式：023-74588755</w:t>
      </w:r>
    </w:p>
    <w:p>
      <w:pPr>
        <w:spacing w:line="594" w:lineRule="exact"/>
        <w:ind w:firstLine="640" w:firstLineChars="200"/>
        <w:rPr>
          <w:rFonts w:hint="default" w:ascii="Times New Roman" w:hAnsi="Times New Roman" w:eastAsia="方正仿宋_GBK"/>
          <w:sz w:val="32"/>
          <w:szCs w:val="32"/>
        </w:rPr>
      </w:pPr>
    </w:p>
    <w:p>
      <w:pPr>
        <w:spacing w:line="594" w:lineRule="exact"/>
        <w:ind w:firstLine="640" w:firstLineChars="200"/>
        <w:rPr>
          <w:rFonts w:hint="default" w:ascii="Times New Roman" w:hAnsi="Times New Roman" w:eastAsia="方正仿宋_GBK"/>
          <w:sz w:val="32"/>
          <w:szCs w:val="32"/>
        </w:rPr>
      </w:pPr>
    </w:p>
    <w:p>
      <w:pPr>
        <w:spacing w:line="594" w:lineRule="exact"/>
        <w:ind w:firstLine="640" w:firstLineChars="200"/>
        <w:rPr>
          <w:rFonts w:hint="default" w:ascii="Times New Roman" w:hAnsi="Times New Roman" w:eastAsia="方正仿宋_GBK"/>
          <w:sz w:val="32"/>
          <w:szCs w:val="32"/>
        </w:rPr>
      </w:pPr>
    </w:p>
    <w:p>
      <w:pPr>
        <w:spacing w:line="594" w:lineRule="exact"/>
        <w:ind w:firstLine="640" w:firstLineChars="200"/>
        <w:rPr>
          <w:rFonts w:hint="default" w:ascii="Times New Roman" w:hAnsi="Times New Roman" w:eastAsia="方正仿宋_GBK"/>
          <w:sz w:val="32"/>
          <w:szCs w:val="32"/>
        </w:rPr>
      </w:pPr>
    </w:p>
    <w:p>
      <w:pPr>
        <w:spacing w:line="594" w:lineRule="exact"/>
        <w:ind w:firstLine="640" w:firstLineChars="200"/>
        <w:rPr>
          <w:rFonts w:hint="default" w:ascii="Times New Roman" w:hAnsi="Times New Roman" w:eastAsia="方正仿宋_GBK"/>
          <w:sz w:val="32"/>
          <w:szCs w:val="32"/>
        </w:rPr>
      </w:pPr>
    </w:p>
    <w:p>
      <w:pPr>
        <w:spacing w:line="594" w:lineRule="exact"/>
        <w:ind w:firstLine="640" w:firstLineChars="200"/>
        <w:rPr>
          <w:rFonts w:hint="default" w:ascii="方正仿宋_GBK" w:hAnsi="方正仿宋_GBK" w:eastAsia="方正仿宋_GBK" w:cs="方正仿宋_GBK"/>
          <w:sz w:val="32"/>
          <w:szCs w:val="32"/>
        </w:rPr>
      </w:pPr>
    </w:p>
    <w:p>
      <w:pPr>
        <w:spacing w:line="594" w:lineRule="exact"/>
        <w:ind w:firstLine="640" w:firstLineChars="200"/>
        <w:rPr>
          <w:rFonts w:hint="default" w:ascii="方正仿宋_GBK" w:hAnsi="方正仿宋_GBK" w:eastAsia="方正仿宋_GBK" w:cs="方正仿宋_GBK"/>
          <w:sz w:val="32"/>
          <w:szCs w:val="32"/>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方正仿宋_GBK" w:hAnsi="方正仿宋_GBK" w:eastAsia="方正仿宋_GBK" w:cs="方正仿宋_GBK"/>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sz w:val="22"/>
                <w:szCs w:val="22"/>
              </w:rPr>
            </w:pPr>
            <w:r>
              <w:rPr>
                <w:rFonts w:ascii="方正仿宋_GBK" w:hAnsi="方正仿宋_GBK" w:eastAsia="方正仿宋_GBK" w:cs="方正仿宋_GBK"/>
                <w:sz w:val="20"/>
                <w:szCs w:val="20"/>
              </w:rPr>
              <w:t>部门：</w:t>
            </w:r>
            <w:r>
              <w:rPr>
                <w:rFonts w:ascii="方正仿宋_GBK" w:hAnsi="方正仿宋_GBK" w:eastAsia="方正仿宋_GBK" w:cs="方正仿宋_GBK"/>
                <w:sz w:val="20"/>
              </w:rPr>
              <w:t>垫江县砚台镇人民政府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3,291.69</w:t>
            </w: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954.42</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141.82</w:t>
            </w: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77.89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525.32</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79.24</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321.33</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1,119.39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218.99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10.42</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101.39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12.90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方正仿宋_GBK" w:hAnsi="方正仿宋_GBK" w:eastAsia="方正仿宋_GBK" w:cs="方正仿宋_GBK"/>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3,433.50</w:t>
            </w: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3,440.89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7.39</w:t>
            </w: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方正仿宋_GBK" w:hAnsi="方正仿宋_GBK" w:eastAsia="方正仿宋_GBK" w:cs="方正仿宋_GBK"/>
                <w:b/>
                <w:bCs/>
                <w:color w:val="000000"/>
                <w:sz w:val="20"/>
                <w:szCs w:val="20"/>
              </w:rPr>
            </w:pPr>
            <w:r>
              <w:rPr>
                <w:rFonts w:ascii="方正仿宋_GBK" w:hAnsi="方正仿宋_GBK" w:eastAsia="方正仿宋_GBK" w:cs="方正仿宋_GBK"/>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3,440.89</w:t>
            </w:r>
            <w:r>
              <w:rPr>
                <w:rFonts w:ascii="方正仿宋_GBK" w:hAnsi="方正仿宋_GBK" w:eastAsia="方正仿宋_GBK" w:cs="方正仿宋_GBK"/>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3,440.89</w:t>
            </w:r>
            <w:r>
              <w:rPr>
                <w:rFonts w:ascii="方正仿宋_GBK" w:hAnsi="方正仿宋_GBK" w:eastAsia="方正仿宋_GBK" w:cs="方正仿宋_GBK"/>
                <w:color w:val="000000"/>
                <w:sz w:val="20"/>
              </w:rPr>
              <w:t xml:space="preserve"> </w:t>
            </w:r>
          </w:p>
        </w:tc>
      </w:tr>
    </w:tbl>
    <w:p>
      <w:pPr>
        <w:rPr>
          <w:rFonts w:hint="default" w:ascii="方正仿宋_GBK" w:hAnsi="方正仿宋_GBK" w:eastAsia="方正仿宋_GBK" w:cs="方正仿宋_GBK"/>
          <w:sz w:val="21"/>
          <w:szCs w:val="21"/>
        </w:rPr>
      </w:pPr>
    </w:p>
    <w:p>
      <w:pPr>
        <w:spacing w:line="240" w:lineRule="exact"/>
        <w:rPr>
          <w:rFonts w:hint="default" w:ascii="方正仿宋_GBK" w:hAnsi="方正仿宋_GBK" w:eastAsia="方正仿宋_GBK" w:cs="方正仿宋_GBK"/>
          <w:sz w:val="20"/>
          <w:szCs w:val="20"/>
        </w:rPr>
      </w:pPr>
      <w:r>
        <w:rPr>
          <w:rFonts w:ascii="方正仿宋_GBK" w:hAnsi="方正仿宋_GBK" w:eastAsia="方正仿宋_GBK" w:cs="方正仿宋_GBK"/>
          <w:sz w:val="20"/>
          <w:szCs w:val="20"/>
        </w:rPr>
        <w:t>备注：1.本表反映部门本年度的总收支和年末结转结余情况。</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t xml:space="preserve">      2.本套报表金额单位转换时可能存在尾数误差。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sz w:val="20"/>
                <w:szCs w:val="20"/>
              </w:rPr>
              <w:t>部门：</w:t>
            </w:r>
            <w:r>
              <w:rPr>
                <w:rFonts w:ascii="方正仿宋_GBK" w:hAnsi="方正仿宋_GBK" w:eastAsia="方正仿宋_GBK" w:cs="方正仿宋_GBK"/>
                <w:sz w:val="20"/>
              </w:rPr>
              <w:t>垫江县砚台镇人民政府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公开02表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3,433.50</w:t>
            </w:r>
            <w:r>
              <w:rPr>
                <w:rFonts w:ascii="方正仿宋_GBK" w:hAnsi="方正仿宋_GBK" w:eastAsia="方正仿宋_GBK" w:cs="方正仿宋_GBK"/>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3,433.50</w:t>
            </w:r>
            <w:r>
              <w:rPr>
                <w:rFonts w:ascii="方正仿宋_GBK" w:hAnsi="方正仿宋_GBK" w:eastAsia="方正仿宋_GBK" w:cs="方正仿宋_GBK"/>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954.42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954.42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4.00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4.00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人大代表履职能力提升</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政协事务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0.35</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0.35</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0.35</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0.35</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887.44</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887.44</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642.13</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642.13</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245.30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245.30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1.64</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1.64</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1.64</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1.64</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1.92</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1.92</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39.34</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39.34</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39.34</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39.34</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5.00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5.00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其他党委办公厅（室）及相关机构事务支出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2.30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2.30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2.30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2.30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统战事务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4.83</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4.83</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4.83</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4.83</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7.60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7.60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7.60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7.60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司法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2040602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69.49</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69.49</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8.40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8.40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525.32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525.32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70.73</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70.73</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70.43</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70.43</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353.70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353.70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190.59</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190.59</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80.45</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80.45</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82.65</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82.65</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7.72</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7.72</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13.43</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13.43</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残疾人就业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12.43</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12.43</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6.50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6.50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6.50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6.50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42.05</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42.05</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35.97</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35.97</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6.08</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6.08</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79.24</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79.24</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0.62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0.62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0.62</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0.62</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53.66</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53.66</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21.98</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21.98</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1.48</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1.48</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1.48</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1.48</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313.93</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313.93</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123.11</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123.11</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52.01</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52.01</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52.01</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52.01</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59.09</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59.09</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27.00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27.00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52.72</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52.72</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1,119.39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1,119.39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189.79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189.79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154.20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154.20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3.63</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3.63</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24.79</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24.79</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7.16</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7.16</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38.49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38.49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28.49</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28.49</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19.16</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19.16</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19.16</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19.16</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871.94</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871.94</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375.76</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375.76</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496.18</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496.18</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197.00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197.00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其他公路水路运输支出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21.99</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21.99</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2150805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中小企业发展专项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10.42</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10.42</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101.39</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101.39</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10.05</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10.05</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91.34</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91.34</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12.90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12.90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11.50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11.50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11.50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11.50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0.20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0.20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0.20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0.20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2.00</w:t>
            </w:r>
            <w:r>
              <w:rPr>
                <w:rFonts w:ascii="方正仿宋_GBK" w:hAnsi="方正仿宋_GBK" w:eastAsia="方正仿宋_GBK" w:cs="方正仿宋_GBK"/>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2.00</w:t>
            </w:r>
            <w:r>
              <w:rPr>
                <w:rFonts w:ascii="方正仿宋_GBK" w:hAnsi="方正仿宋_GBK" w:eastAsia="方正仿宋_GBK" w:cs="方正仿宋_GBK"/>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bl>
    <w:p>
      <w:pPr>
        <w:ind w:left="600" w:hanging="600" w:hangingChars="300"/>
        <w:rPr>
          <w:rFonts w:hint="default" w:ascii="方正仿宋_GBK" w:hAnsi="方正仿宋_GBK" w:eastAsia="方正仿宋_GBK" w:cs="方正仿宋_GBK"/>
          <w:sz w:val="20"/>
          <w:szCs w:val="20"/>
        </w:rPr>
      </w:pPr>
      <w:r>
        <w:rPr>
          <w:rFonts w:ascii="方正仿宋_GBK" w:hAnsi="方正仿宋_GBK" w:eastAsia="方正仿宋_GBK" w:cs="方正仿宋_GBK"/>
          <w:sz w:val="20"/>
          <w:szCs w:val="20"/>
        </w:rPr>
        <w:t>备注：1.本表反映部门本年度取得的各项收入情况。</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t>2.本套报表金额单位转换时可能存在尾数误差。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p>
    <w:p>
      <w:pPr>
        <w:rPr>
          <w:rFonts w:hint="default" w:ascii="方正仿宋_GBK" w:hAnsi="方正仿宋_GBK" w:eastAsia="方正仿宋_GBK" w:cs="方正仿宋_GBK"/>
          <w:sz w:val="20"/>
          <w:szCs w:val="20"/>
        </w:rPr>
      </w:pPr>
      <w:r>
        <w:rPr>
          <w:rFonts w:ascii="方正仿宋_GBK" w:hAnsi="方正仿宋_GBK" w:eastAsia="方正仿宋_GBK" w:cs="方正仿宋_GBK"/>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sz w:val="20"/>
                <w:szCs w:val="20"/>
              </w:rPr>
              <w:t>部门</w:t>
            </w:r>
            <w:r>
              <w:rPr>
                <w:rFonts w:ascii="方正仿宋_GBK" w:hAnsi="方正仿宋_GBK" w:eastAsia="方正仿宋_GBK" w:cs="方正仿宋_GBK"/>
                <w:color w:val="000000"/>
                <w:sz w:val="20"/>
                <w:szCs w:val="20"/>
              </w:rPr>
              <w:t>：</w:t>
            </w:r>
            <w:r>
              <w:rPr>
                <w:rFonts w:ascii="方正仿宋_GBK" w:hAnsi="方正仿宋_GBK" w:eastAsia="方正仿宋_GBK" w:cs="方正仿宋_GBK"/>
                <w:color w:val="000000"/>
                <w:sz w:val="20"/>
              </w:rPr>
              <w:t xml:space="preserve">垫江县砚台镇人民政府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公开03表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3,440.89</w:t>
            </w:r>
            <w:r>
              <w:rPr>
                <w:rFonts w:ascii="方正仿宋_GBK" w:hAnsi="方正仿宋_GBK" w:eastAsia="方正仿宋_GBK" w:cs="方正仿宋_GBK"/>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2,038.04</w:t>
            </w:r>
            <w:r>
              <w:rPr>
                <w:rFonts w:ascii="方正仿宋_GBK" w:hAnsi="方正仿宋_GBK" w:eastAsia="方正仿宋_GBK" w:cs="方正仿宋_GBK"/>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1,402.85</w:t>
            </w:r>
            <w:r>
              <w:rPr>
                <w:rFonts w:ascii="方正仿宋_GBK" w:hAnsi="方正仿宋_GBK" w:eastAsia="方正仿宋_GBK" w:cs="方正仿宋_GBK"/>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954.42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642.13</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312.28</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4.00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人大代表履职能力提升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政协事务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0.35</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0.35</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0.35</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0.35</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887.44</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642.13</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245.30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642.13</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642.13</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245.30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245.30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1.64</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1.64</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1.64</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1.64</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纪检监察事务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1.92</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其他纪检监察事务支出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1.92</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1.92</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39.34</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39.34</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39.34</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39.34</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党委办公厅（室）及相关机构事务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5.00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其他党委办公厅（室）及相关机构事务支出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2.30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2.30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2.30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2.30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统战事务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4.83</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4.83</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4.83</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4.83</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7.60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7.60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7.60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7.60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司法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2040602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1.60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69.49</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8.40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69.49</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8.40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69.49</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69.49</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8.40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8.40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525.32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460.10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65.23</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70.73</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70.43</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0.30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0.30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70.43</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70.43</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353.70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353.70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190.59</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190.59</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80.45</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80.45</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82.65</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82.65</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7.72</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7.72</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7.72</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13.43</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13.43</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残疾人就业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12.43</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12.43</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6.50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6.50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其他城市生活救助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6.50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6.50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42.05</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35.97</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6.08</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35.97</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35.97</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6.08</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6.08</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79.24</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3.60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0.62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0.62</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其他计划生育事务支出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0.62</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0.62</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53.66</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53.66</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21.98</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21.98</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优抚对象医疗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1.48</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1.48</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优抚对象医疗补助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1.48</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1.48</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医疗保障管理事务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医疗保障经办事务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321.33</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198.22</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城管执法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123.11</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123.11</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7.39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7.39</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7.39</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7.39</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52.01</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52.01</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52.01</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52.01</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59.09</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59.09</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27.00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27.00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农业生产发展支出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52.72</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52.72</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1,119.39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576.23</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543.16</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189.79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154.20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35.59</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154.20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154.20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3.63</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3.63</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24.79</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24.79</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7.16</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7.16</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38.49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38.49</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其他林业和草原支出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28.49</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28.49</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19.16</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19.16</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19.16</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19.16</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871.94</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422.03</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449.91</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375.76</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375.76</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496.18</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422.03</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74.15</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197.00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197.00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其他公路水路运输支出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21.99</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21.99</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2150805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中小企业发展专项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15.00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商业服务业等支出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商业流通事务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其他商业流通事务支出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10.42</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10.42</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101.39</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10.05</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10.05</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91.34</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91.34</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12.90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12.90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11.50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11.50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11.50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11.50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0.20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0.20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0.20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0.20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用于其他社会公益事业的彩票公益金支出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2.00</w:t>
            </w:r>
            <w:r>
              <w:rPr>
                <w:rFonts w:ascii="方正仿宋_GBK" w:hAnsi="方正仿宋_GBK" w:eastAsia="方正仿宋_GBK" w:cs="方正仿宋_GBK"/>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2.00</w:t>
            </w:r>
            <w:r>
              <w:rPr>
                <w:rFonts w:ascii="方正仿宋_GBK" w:hAnsi="方正仿宋_GBK" w:eastAsia="方正仿宋_GBK" w:cs="方正仿宋_GBK"/>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bl>
    <w:p>
      <w:pPr>
        <w:rPr>
          <w:rFonts w:hint="default" w:ascii="方正仿宋_GBK" w:hAnsi="方正仿宋_GBK" w:eastAsia="方正仿宋_GBK" w:cs="方正仿宋_GBK"/>
          <w:sz w:val="20"/>
          <w:szCs w:val="20"/>
        </w:rPr>
      </w:pPr>
      <w:r>
        <w:rPr>
          <w:rFonts w:ascii="方正仿宋_GBK" w:hAnsi="方正仿宋_GBK" w:eastAsia="方正仿宋_GBK" w:cs="方正仿宋_GBK"/>
          <w:sz w:val="20"/>
          <w:szCs w:val="20"/>
        </w:rPr>
        <w:t>备注：1.本表反映部门本年度各项支出情况。</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t xml:space="preserve">      2.本套报表金额单位转换时可能存在尾数误差。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p>
    <w:p>
      <w:pPr>
        <w:rPr>
          <w:rFonts w:hint="default" w:ascii="方正仿宋_GBK" w:hAnsi="方正仿宋_GBK" w:eastAsia="方正仿宋_GBK" w:cs="方正仿宋_GBK"/>
          <w:sz w:val="21"/>
          <w:szCs w:val="21"/>
        </w:rPr>
      </w:pPr>
      <w:r>
        <w:rPr>
          <w:rFonts w:ascii="方正仿宋_GBK" w:hAnsi="方正仿宋_GBK" w:eastAsia="方正仿宋_GBK" w:cs="方正仿宋_GBK"/>
          <w:sz w:val="21"/>
          <w:szCs w:val="21"/>
        </w:rPr>
        <w:br w:type="page"/>
      </w:r>
    </w:p>
    <w:p>
      <w:pPr>
        <w:rPr>
          <w:rFonts w:hint="default" w:ascii="方正仿宋_GBK" w:hAnsi="方正仿宋_GBK" w:eastAsia="方正仿宋_GBK" w:cs="方正仿宋_GBK"/>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sz w:val="20"/>
                <w:szCs w:val="20"/>
              </w:rPr>
              <w:t>部门</w:t>
            </w:r>
            <w:r>
              <w:rPr>
                <w:rFonts w:ascii="方正仿宋_GBK" w:hAnsi="方正仿宋_GBK" w:eastAsia="方正仿宋_GBK" w:cs="方正仿宋_GBK"/>
                <w:color w:val="000000"/>
                <w:sz w:val="20"/>
                <w:szCs w:val="20"/>
              </w:rPr>
              <w:t>：</w:t>
            </w:r>
            <w:r>
              <w:rPr>
                <w:rFonts w:ascii="方正仿宋_GBK" w:hAnsi="方正仿宋_GBK" w:eastAsia="方正仿宋_GBK" w:cs="方正仿宋_GBK"/>
                <w:color w:val="000000"/>
                <w:sz w:val="20"/>
              </w:rPr>
              <w:t>垫江县砚台镇人民政府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方正仿宋_GBK" w:hAnsi="方正仿宋_GBK" w:eastAsia="方正仿宋_GBK" w:cs="方正仿宋_GBK"/>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方正仿宋_GBK" w:hAnsi="方正仿宋_GBK" w:eastAsia="方正仿宋_GBK" w:cs="方正仿宋_GBK"/>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方正仿宋_GBK" w:hAnsi="方正仿宋_GBK" w:eastAsia="方正仿宋_GBK" w:cs="方正仿宋_GBK"/>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3,291.69</w:t>
            </w: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954.42</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954.42</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141.82</w:t>
            </w: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1.60</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1.60</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77.89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77.89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525.32</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525.32</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79.24</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79.24</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321.33</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182.51</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138.82</w:t>
            </w: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1,119.39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1,119.39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218.99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218.99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15.00</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15.00</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10.42</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10.42</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101.39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101.39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12.90</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12.90</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3.00</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3.00</w:t>
            </w: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3,433.50</w:t>
            </w: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3,440.89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3,299.08</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141.82</w:t>
            </w: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7.39</w:t>
            </w: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7.39</w:t>
            </w: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方正仿宋_GBK" w:hAnsi="方正仿宋_GBK" w:eastAsia="方正仿宋_GBK" w:cs="方正仿宋_GBK"/>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方正仿宋_GBK" w:hAnsi="方正仿宋_GBK" w:eastAsia="方正仿宋_GBK" w:cs="方正仿宋_GBK"/>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3,440.89</w:t>
            </w:r>
            <w:r>
              <w:rPr>
                <w:rFonts w:ascii="方正仿宋_GBK" w:hAnsi="方正仿宋_GBK" w:eastAsia="方正仿宋_GBK" w:cs="方正仿宋_GBK"/>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3,440.89</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3,299.08</w:t>
            </w:r>
            <w:r>
              <w:rPr>
                <w:rFonts w:ascii="方正仿宋_GBK" w:hAnsi="方正仿宋_GBK" w:eastAsia="方正仿宋_GBK" w:cs="方正仿宋_GBK"/>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141.82</w:t>
            </w:r>
            <w:r>
              <w:rPr>
                <w:rFonts w:ascii="方正仿宋_GBK" w:hAnsi="方正仿宋_GBK" w:eastAsia="方正仿宋_GBK" w:cs="方正仿宋_GBK"/>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bl>
    <w:p>
      <w:pPr>
        <w:spacing w:line="240" w:lineRule="exact"/>
        <w:rPr>
          <w:rFonts w:hint="default" w:ascii="方正仿宋_GBK" w:hAnsi="方正仿宋_GBK" w:eastAsia="方正仿宋_GBK" w:cs="方正仿宋_GBK"/>
          <w:sz w:val="20"/>
          <w:szCs w:val="20"/>
        </w:rPr>
      </w:pPr>
      <w:r>
        <w:rPr>
          <w:rFonts w:ascii="方正仿宋_GBK" w:hAnsi="方正仿宋_GBK" w:eastAsia="方正仿宋_GBK" w:cs="方正仿宋_GBK"/>
          <w:sz w:val="20"/>
          <w:szCs w:val="20"/>
        </w:rPr>
        <w:t>备注：1.本表反映部门本年度一般公共预算财政拨款、政府性基金预算财政拨款及国有资本经营预算财政拨款的总收支和年末结转结余情况。</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t xml:space="preserve">      2.本套报表金额单位转换时可能存在尾数误差。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1"/>
          <w:szCs w:val="21"/>
        </w:rPr>
        <w:br w:type="page"/>
      </w:r>
    </w:p>
    <w:tbl>
      <w:tblPr>
        <w:tblStyle w:val="10"/>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sz w:val="20"/>
                <w:szCs w:val="20"/>
              </w:rPr>
              <w:t>部门</w:t>
            </w:r>
            <w:r>
              <w:rPr>
                <w:rFonts w:ascii="方正仿宋_GBK" w:hAnsi="方正仿宋_GBK" w:eastAsia="方正仿宋_GBK" w:cs="方正仿宋_GBK"/>
                <w:color w:val="000000"/>
                <w:sz w:val="20"/>
                <w:szCs w:val="20"/>
              </w:rPr>
              <w:t>：</w:t>
            </w:r>
            <w:r>
              <w:rPr>
                <w:rFonts w:ascii="方正仿宋_GBK" w:hAnsi="方正仿宋_GBK" w:eastAsia="方正仿宋_GBK" w:cs="方正仿宋_GBK"/>
                <w:color w:val="000000"/>
                <w:sz w:val="20"/>
              </w:rPr>
              <w:t>垫江县砚台镇人民政府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公开05表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3,299.08</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2,038.04</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1,261.04</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954.42</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642.13</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312.28</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4.00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人大会议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2010107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人大代表履职能力提升</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政协事务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0.35</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0.35</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0.35</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0.35</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887.44</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642.13</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245.30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642.13</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642.13</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245.30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245.30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1.64</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1.64</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2010507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1.64</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1.64</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纪检监察事务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1.92</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1.92</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其他纪检监察事务支出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1.92</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1.92</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商贸事务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39.34</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39.34</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2011308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招商引资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39.34</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39.34</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党委办公厅（室）及相关机构事务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5.00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其他党委办公厅（室）及相关机构事务支出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2.30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2.30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2.30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2.30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统战事务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4.83</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4.83</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2013402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4.83</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4.83</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7.60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7.60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7.60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7.60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公共安全支出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司法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1.60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2040602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1.60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1.60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69.49</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8.40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77.89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69.49</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8.40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69.49</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69.49</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8.40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8.40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525.32</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460.10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65.23</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70.73</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70.43</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0.30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0.30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0.30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2080150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70.43</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70.43</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353.70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353.70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190.59</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190.59</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80.45</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80.45</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82.65</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82.65</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7.72</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7.72</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7.72</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7.72</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退役安置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2080999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其他退役安置支出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30.00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13.43</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13.43</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残疾人就业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12.43</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12.43</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20825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6.50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6.50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6.50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6.50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20828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42.05</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35.97</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6.08</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2082850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35.97</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35.97</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2082899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6.08</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6.08</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79.24</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3.60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0.62</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0.62</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其他计划生育事务支出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0.62</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0.62</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75.64</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53.66</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53.66</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21.98</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21.98</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1.48</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1.48</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1.48</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1.48</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21015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1.50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1.50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2101506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1.50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1.50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182.51</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59.40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123.11</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城管执法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123.11</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123.11</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7.39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7.39</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7.39</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7.39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52.01</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52.01</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52.01</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52.01</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1,119.39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576.23</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543.16</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189.79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154.20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35.59</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154.20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154.20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病虫害控制</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3.63</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3.63</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2130119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防灾救灾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24.79</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24.79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7.16</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7.16</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38.49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38.49</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森林资源培育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其他林业和草原支出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28.49</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28.49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19.16</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19.16</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19.16</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19.16</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871.94</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422.03</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449.91</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375.76</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375.76</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496.18</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422.03</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74.15</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218.99</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197.00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197.00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2140199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其他公路水路运输支出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21.99</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21.99</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21508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支持中小企业发展和管理支出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15.00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2150805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中小企业发展专项</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15.00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15.00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商业服务业等支出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商业流通事务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10.42</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2160299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其他商业流通事务支出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10.42</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10.42</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101.39</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10.05</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2210105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农村危房改造</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10.05</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10.05</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91.34</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91.34</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91.34</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12.90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12.90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11.50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11.50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其他应急管理支出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11.50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11.50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1.20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1.20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0.20</w:t>
            </w:r>
            <w:r>
              <w:rPr>
                <w:rFonts w:ascii="方正仿宋_GBK" w:hAnsi="方正仿宋_GBK" w:eastAsia="方正仿宋_GBK" w:cs="方正仿宋_GBK"/>
                <w:b/>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0.20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2240703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0.20</w:t>
            </w:r>
            <w:r>
              <w:rPr>
                <w:rFonts w:ascii="方正仿宋_GBK" w:hAnsi="方正仿宋_GBK" w:eastAsia="方正仿宋_GBK" w:cs="方正仿宋_GBK"/>
                <w:color w:val="000000"/>
                <w:sz w:val="20"/>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0.20</w:t>
            </w:r>
            <w:r>
              <w:rPr>
                <w:rFonts w:ascii="方正仿宋_GBK" w:hAnsi="方正仿宋_GBK" w:eastAsia="方正仿宋_GBK" w:cs="方正仿宋_GBK"/>
                <w:color w:val="000000"/>
                <w:sz w:val="20"/>
              </w:rPr>
              <w:t xml:space="preserve"> </w:t>
            </w:r>
          </w:p>
        </w:tc>
      </w:tr>
    </w:tbl>
    <w:p>
      <w:pPr>
        <w:rPr>
          <w:rFonts w:hint="default" w:ascii="方正仿宋_GBK" w:hAnsi="方正仿宋_GBK" w:eastAsia="方正仿宋_GBK" w:cs="方正仿宋_GBK"/>
          <w:sz w:val="21"/>
          <w:szCs w:val="21"/>
        </w:rPr>
      </w:pPr>
      <w:r>
        <w:rPr>
          <w:rFonts w:ascii="方正仿宋_GBK" w:hAnsi="方正仿宋_GBK" w:eastAsia="方正仿宋_GBK" w:cs="方正仿宋_GBK"/>
          <w:sz w:val="20"/>
          <w:szCs w:val="20"/>
        </w:rPr>
        <w:t>备注：1.本表反映部门本年度一般公共预算财政拨款支出情况。</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t xml:space="preserve">      2.本套报表金额单位转换时可能存在尾数误差。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p>
    <w:p>
      <w:pPr>
        <w:ind w:firstLine="630" w:firstLineChars="300"/>
        <w:rPr>
          <w:rFonts w:hint="default" w:ascii="方正仿宋_GBK" w:hAnsi="方正仿宋_GBK" w:eastAsia="方正仿宋_GBK" w:cs="方正仿宋_GBK"/>
          <w:sz w:val="21"/>
          <w:szCs w:val="21"/>
        </w:rPr>
      </w:pPr>
      <w:r>
        <w:rPr>
          <w:rFonts w:ascii="方正仿宋_GBK" w:hAnsi="方正仿宋_GBK" w:eastAsia="方正仿宋_GBK" w:cs="方正仿宋_GBK"/>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sz w:val="20"/>
                <w:szCs w:val="20"/>
              </w:rPr>
              <w:t>部门</w:t>
            </w:r>
            <w:r>
              <w:rPr>
                <w:rFonts w:ascii="方正仿宋_GBK" w:hAnsi="方正仿宋_GBK" w:eastAsia="方正仿宋_GBK" w:cs="方正仿宋_GBK"/>
                <w:color w:val="000000"/>
                <w:sz w:val="20"/>
                <w:szCs w:val="20"/>
              </w:rPr>
              <w:t>：</w:t>
            </w:r>
            <w:r>
              <w:rPr>
                <w:rFonts w:ascii="方正仿宋_GBK" w:hAnsi="方正仿宋_GBK" w:eastAsia="方正仿宋_GBK" w:cs="方正仿宋_GBK"/>
                <w:color w:val="000000"/>
                <w:sz w:val="20"/>
              </w:rPr>
              <w:t>垫江县砚台镇人民政府</w:t>
            </w: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公开06表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方正仿宋_GBK" w:hAnsi="方正仿宋_GBK" w:eastAsia="方正仿宋_GBK" w:cs="方正仿宋_GBK"/>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方正仿宋_GBK" w:hAnsi="方正仿宋_GBK" w:eastAsia="方正仿宋_GBK" w:cs="方正仿宋_GBK"/>
                <w:b/>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1,352.78</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180.58</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253.83</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20.08</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135.01</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1.00</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204.80</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36.24</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259.17</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2.13</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190.59</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16.15</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80.45</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19.60</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75.64</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4.19</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50.05</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91.34</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8.64</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12.88</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504.68</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1.50</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0.09</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0.11</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498.36</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0.80</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6.32</w:t>
            </w: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5.99</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36.45</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0.05</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0.98</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25.59</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方正仿宋_GBK" w:hAnsi="方正仿宋_GBK" w:eastAsia="方正仿宋_GBK" w:cs="方正仿宋_GBK"/>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0.03</w:t>
            </w: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方正仿宋_GBK" w:hAnsi="方正仿宋_GBK" w:eastAsia="方正仿宋_GBK" w:cs="方正仿宋_GBK"/>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方正仿宋_GBK" w:hAnsi="方正仿宋_GBK" w:eastAsia="方正仿宋_GBK" w:cs="方正仿宋_GBK"/>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方正仿宋_GBK" w:hAnsi="方正仿宋_GBK" w:eastAsia="方正仿宋_GBK" w:cs="方正仿宋_GBK"/>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方正仿宋_GBK" w:hAnsi="方正仿宋_GBK" w:eastAsia="方正仿宋_GBK" w:cs="方正仿宋_GBK"/>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方正仿宋_GBK" w:hAnsi="方正仿宋_GBK" w:eastAsia="方正仿宋_GBK" w:cs="方正仿宋_GBK"/>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方正仿宋_GBK" w:hAnsi="方正仿宋_GBK" w:eastAsia="方正仿宋_GBK" w:cs="方正仿宋_GBK"/>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方正仿宋_GBK" w:hAnsi="方正仿宋_GBK" w:eastAsia="方正仿宋_GBK" w:cs="方正仿宋_GBK"/>
                <w:color w:val="000000"/>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1,857.46</w:t>
            </w:r>
            <w:r>
              <w:rPr>
                <w:rFonts w:ascii="方正仿宋_GBK" w:hAnsi="方正仿宋_GBK" w:eastAsia="方正仿宋_GBK" w:cs="方正仿宋_GBK"/>
                <w:color w:val="000000"/>
                <w:sz w:val="18"/>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方正仿宋_GBK" w:hAnsi="方正仿宋_GBK" w:eastAsia="方正仿宋_GBK" w:cs="方正仿宋_GBK"/>
                <w:b/>
                <w:color w:val="000000"/>
                <w:sz w:val="18"/>
                <w:szCs w:val="18"/>
              </w:rPr>
            </w:pPr>
            <w:r>
              <w:rPr>
                <w:rFonts w:ascii="方正仿宋_GBK" w:hAnsi="方正仿宋_GBK" w:eastAsia="方正仿宋_GBK" w:cs="方正仿宋_GBK"/>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180.58</w:t>
            </w:r>
            <w:r>
              <w:rPr>
                <w:rFonts w:ascii="方正仿宋_GBK" w:hAnsi="方正仿宋_GBK" w:eastAsia="方正仿宋_GBK" w:cs="方正仿宋_GBK"/>
                <w:color w:val="000000"/>
                <w:sz w:val="18"/>
              </w:rPr>
              <w:t xml:space="preserve"> </w:t>
            </w:r>
          </w:p>
        </w:tc>
      </w:tr>
    </w:tbl>
    <w:p>
      <w:pPr>
        <w:spacing w:line="280" w:lineRule="exact"/>
        <w:rPr>
          <w:rFonts w:hint="default" w:ascii="方正仿宋_GBK" w:hAnsi="方正仿宋_GBK" w:eastAsia="方正仿宋_GBK" w:cs="方正仿宋_GBK"/>
          <w:sz w:val="20"/>
          <w:szCs w:val="20"/>
        </w:rPr>
      </w:pPr>
      <w:r>
        <w:rPr>
          <w:rFonts w:ascii="方正仿宋_GBK" w:hAnsi="方正仿宋_GBK" w:eastAsia="方正仿宋_GBK" w:cs="方正仿宋_GBK"/>
          <w:sz w:val="20"/>
          <w:szCs w:val="20"/>
        </w:rPr>
        <w:t>备注：1.本表反映部门本年度一般公共预算财政拨款基本支出明细情况。</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t xml:space="preserve">      2.本套报表金额单位转换时可能存在尾数误差。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sz w:val="20"/>
                <w:szCs w:val="20"/>
              </w:rPr>
              <w:t>部门</w:t>
            </w:r>
            <w:r>
              <w:rPr>
                <w:rFonts w:ascii="方正仿宋_GBK" w:hAnsi="方正仿宋_GBK" w:eastAsia="方正仿宋_GBK" w:cs="方正仿宋_GBK"/>
                <w:color w:val="000000"/>
                <w:sz w:val="20"/>
                <w:szCs w:val="20"/>
              </w:rPr>
              <w:t>：</w:t>
            </w:r>
            <w:r>
              <w:rPr>
                <w:rFonts w:ascii="方正仿宋_GBK" w:hAnsi="方正仿宋_GBK" w:eastAsia="方正仿宋_GBK" w:cs="方正仿宋_GBK"/>
                <w:color w:val="000000"/>
                <w:sz w:val="20"/>
              </w:rPr>
              <w:t>垫江县砚台镇人民政府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141.82</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141.82</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141.82</w:t>
            </w:r>
            <w:r>
              <w:rPr>
                <w:rFonts w:ascii="方正仿宋_GBK" w:hAnsi="方正仿宋_GBK" w:eastAsia="方正仿宋_GBK" w:cs="方正仿宋_GBK"/>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138.82</w:t>
            </w:r>
            <w:r>
              <w:rPr>
                <w:rFonts w:ascii="方正仿宋_GBK" w:hAnsi="方正仿宋_GBK" w:eastAsia="方正仿宋_GBK" w:cs="方正仿宋_GBK"/>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59.09</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59.09</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59.09</w:t>
            </w:r>
            <w:r>
              <w:rPr>
                <w:rFonts w:ascii="方正仿宋_GBK" w:hAnsi="方正仿宋_GBK" w:eastAsia="方正仿宋_GBK" w:cs="方正仿宋_GBK"/>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2120804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27.00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27.00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27.00</w:t>
            </w:r>
            <w:r>
              <w:rPr>
                <w:rFonts w:ascii="方正仿宋_GBK" w:hAnsi="方正仿宋_GBK" w:eastAsia="方正仿宋_GBK" w:cs="方正仿宋_GBK"/>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2120814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52.72</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52.72</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52.72</w:t>
            </w:r>
            <w:r>
              <w:rPr>
                <w:rFonts w:ascii="方正仿宋_GBK" w:hAnsi="方正仿宋_GBK" w:eastAsia="方正仿宋_GBK" w:cs="方正仿宋_GBK"/>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3.00</w:t>
            </w:r>
            <w:r>
              <w:rPr>
                <w:rFonts w:ascii="方正仿宋_GBK" w:hAnsi="方正仿宋_GBK" w:eastAsia="方正仿宋_GBK" w:cs="方正仿宋_GBK"/>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1.00</w:t>
            </w:r>
            <w:r>
              <w:rPr>
                <w:rFonts w:ascii="方正仿宋_GBK" w:hAnsi="方正仿宋_GBK" w:eastAsia="方正仿宋_GBK" w:cs="方正仿宋_GBK"/>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2.00</w:t>
            </w:r>
            <w:r>
              <w:rPr>
                <w:rFonts w:ascii="方正仿宋_GBK" w:hAnsi="方正仿宋_GBK" w:eastAsia="方正仿宋_GBK" w:cs="方正仿宋_GBK"/>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2.00</w:t>
            </w:r>
            <w:r>
              <w:rPr>
                <w:rFonts w:ascii="方正仿宋_GBK" w:hAnsi="方正仿宋_GBK" w:eastAsia="方正仿宋_GBK" w:cs="方正仿宋_GBK"/>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0.00</w:t>
            </w:r>
            <w:r>
              <w:rPr>
                <w:rFonts w:ascii="方正仿宋_GBK" w:hAnsi="方正仿宋_GBK" w:eastAsia="方正仿宋_GBK" w:cs="方正仿宋_GBK"/>
                <w:color w:val="000000"/>
                <w:sz w:val="20"/>
              </w:rPr>
              <w:t xml:space="preserve"> </w:t>
            </w:r>
          </w:p>
        </w:tc>
      </w:tr>
    </w:tbl>
    <w:p>
      <w:pPr>
        <w:rPr>
          <w:rFonts w:hint="default" w:ascii="方正仿宋_GBK" w:hAnsi="方正仿宋_GBK" w:eastAsia="方正仿宋_GBK" w:cs="方正仿宋_GBK"/>
          <w:sz w:val="21"/>
          <w:szCs w:val="21"/>
        </w:rPr>
      </w:pPr>
      <w:r>
        <w:rPr>
          <w:rFonts w:ascii="方正仿宋_GBK" w:hAnsi="方正仿宋_GBK" w:eastAsia="方正仿宋_GBK" w:cs="方正仿宋_GBK"/>
          <w:sz w:val="20"/>
          <w:szCs w:val="20"/>
        </w:rPr>
        <w:t>备注：1.本表反映部门本年度政府性基金预算财政拨款收入支出及结转和结余情况。</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t xml:space="preserve">      2.本套报表金额单位转换时可能存在尾数误差。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p>
    <w:p>
      <w:pPr>
        <w:rPr>
          <w:rFonts w:hint="default" w:ascii="方正仿宋_GBK" w:hAnsi="方正仿宋_GBK" w:eastAsia="方正仿宋_GBK" w:cs="方正仿宋_GBK"/>
          <w:sz w:val="21"/>
          <w:szCs w:val="21"/>
        </w:rPr>
      </w:pPr>
      <w:r>
        <w:rPr>
          <w:rFonts w:ascii="方正仿宋_GBK" w:hAnsi="方正仿宋_GBK" w:eastAsia="方正仿宋_GBK" w:cs="方正仿宋_GBK"/>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32"/>
                <w:szCs w:val="32"/>
              </w:rPr>
            </w:pPr>
            <w:r>
              <w:rPr>
                <w:rFonts w:ascii="方正仿宋_GBK" w:hAnsi="方正仿宋_GBK" w:eastAsia="方正仿宋_GBK" w:cs="方正仿宋_GBK"/>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sz w:val="20"/>
                <w:szCs w:val="20"/>
              </w:rPr>
              <w:t>部门</w:t>
            </w:r>
            <w:r>
              <w:rPr>
                <w:rFonts w:ascii="方正仿宋_GBK" w:hAnsi="方正仿宋_GBK" w:eastAsia="方正仿宋_GBK" w:cs="方正仿宋_GBK"/>
                <w:color w:val="000000"/>
                <w:sz w:val="20"/>
                <w:szCs w:val="20"/>
              </w:rPr>
              <w:t>：</w:t>
            </w:r>
            <w:r>
              <w:rPr>
                <w:rFonts w:ascii="方正仿宋_GBK" w:hAnsi="方正仿宋_GBK" w:eastAsia="方正仿宋_GBK" w:cs="方正仿宋_GBK"/>
                <w:color w:val="000000"/>
                <w:sz w:val="20"/>
              </w:rPr>
              <w:t>垫江县砚台镇人民政府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方正仿宋_GBK" w:hAnsi="方正仿宋_GBK" w:eastAsia="方正仿宋_GBK" w:cs="方正仿宋_GBK"/>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sz w:val="20"/>
                <w:szCs w:val="20"/>
              </w:rPr>
            </w:pPr>
            <w:r>
              <w:rPr>
                <w:rFonts w:ascii="方正仿宋_GBK" w:hAnsi="方正仿宋_GBK" w:eastAsia="方正仿宋_GBK" w:cs="方正仿宋_GBK"/>
                <w:color w:val="000000"/>
                <w:sz w:val="20"/>
                <w:szCs w:val="20"/>
              </w:rPr>
              <w:t>单位：</w:t>
            </w:r>
            <w:r>
              <w:rPr>
                <w:rFonts w:ascii="方正仿宋_GBK" w:hAnsi="方正仿宋_GBK" w:eastAsia="方正仿宋_GBK" w:cs="方正仿宋_GBK"/>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方正仿宋_GBK" w:hAnsi="方正仿宋_GBK" w:eastAsia="方正仿宋_GBK" w:cs="方正仿宋_GBK"/>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b/>
                <w:bCs/>
                <w:color w:val="000000"/>
                <w:sz w:val="20"/>
                <w:szCs w:val="20"/>
              </w:rPr>
              <w:t>0.00</w:t>
            </w:r>
            <w:r>
              <w:rPr>
                <w:rFonts w:ascii="方正仿宋_GBK" w:hAnsi="方正仿宋_GBK" w:eastAsia="方正仿宋_GBK" w:cs="方正仿宋_GBK"/>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方正仿宋_GBK" w:hAnsi="方正仿宋_GBK" w:eastAsia="方正仿宋_GBK" w:cs="方正仿宋_GBK"/>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方正仿宋_GBK" w:hAnsi="方正仿宋_GBK" w:eastAsia="方正仿宋_GBK" w:cs="方正仿宋_GBK"/>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方正仿宋_GBK" w:hAnsi="方正仿宋_GBK" w:eastAsia="方正仿宋_GBK" w:cs="方正仿宋_GBK"/>
                <w:b/>
                <w:color w:val="000000"/>
                <w:sz w:val="20"/>
                <w:szCs w:val="20"/>
              </w:rPr>
            </w:pPr>
            <w:r>
              <w:rPr>
                <w:rFonts w:ascii="方正仿宋_GBK" w:hAnsi="方正仿宋_GBK" w:eastAsia="方正仿宋_GBK" w:cs="方正仿宋_GBK"/>
                <w:color w:val="000000"/>
                <w:sz w:val="20"/>
                <w:szCs w:val="20"/>
              </w:rPr>
              <w:t xml:space="preserve">0.00 </w:t>
            </w:r>
          </w:p>
        </w:tc>
      </w:tr>
    </w:tbl>
    <w:p>
      <w:pPr>
        <w:rPr>
          <w:rFonts w:hint="default" w:ascii="方正仿宋_GBK" w:hAnsi="方正仿宋_GBK" w:eastAsia="方正仿宋_GBK" w:cs="方正仿宋_GBK"/>
          <w:sz w:val="21"/>
          <w:szCs w:val="21"/>
        </w:rPr>
      </w:pPr>
      <w:r>
        <w:rPr>
          <w:rFonts w:ascii="方正仿宋_GBK" w:hAnsi="方正仿宋_GBK" w:eastAsia="方正仿宋_GBK" w:cs="方正仿宋_GBK"/>
          <w:sz w:val="20"/>
          <w:szCs w:val="20"/>
        </w:rPr>
        <w:t>备注：本表反映部门本年度国有资本经营预算财政拨款支出情况。本部门无国有资本经营收支，故本表无数据。</w:t>
      </w:r>
      <w:r>
        <w:rPr>
          <w:rFonts w:ascii="方正仿宋_GBK" w:hAnsi="方正仿宋_GBK" w:eastAsia="方正仿宋_GBK" w:cs="方正仿宋_GBK"/>
          <w:sz w:val="20"/>
          <w:szCs w:val="20"/>
        </w:rPr>
        <w:br w:type="textWrapping"/>
      </w:r>
      <w:r>
        <w:rPr>
          <w:rFonts w:ascii="方正仿宋_GBK" w:hAnsi="方正仿宋_GBK" w:eastAsia="方正仿宋_GBK" w:cs="方正仿宋_GBK"/>
          <w:sz w:val="20"/>
          <w:szCs w:val="20"/>
        </w:rPr>
        <w:br w:type="textWrapping"/>
      </w:r>
    </w:p>
    <w:p>
      <w:pPr>
        <w:rPr>
          <w:rFonts w:hint="default" w:ascii="方正仿宋_GBK" w:hAnsi="方正仿宋_GBK" w:eastAsia="方正仿宋_GBK" w:cs="方正仿宋_GBK"/>
          <w:sz w:val="21"/>
          <w:szCs w:val="21"/>
        </w:rPr>
      </w:pPr>
      <w:r>
        <w:rPr>
          <w:rFonts w:ascii="方正仿宋_GBK" w:hAnsi="方正仿宋_GBK" w:eastAsia="方正仿宋_GBK" w:cs="方正仿宋_GBK"/>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方正仿宋_GBK" w:hAnsi="方正仿宋_GBK" w:eastAsia="方正仿宋_GBK" w:cs="方正仿宋_GBK"/>
                <w:b/>
                <w:color w:val="000000"/>
                <w:kern w:val="2"/>
                <w:sz w:val="32"/>
                <w:szCs w:val="32"/>
              </w:rPr>
            </w:pPr>
            <w:r>
              <w:rPr>
                <w:rFonts w:ascii="方正仿宋_GBK" w:hAnsi="方正仿宋_GBK" w:eastAsia="方正仿宋_GBK" w:cs="方正仿宋_GBK"/>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方正仿宋_GBK" w:hAnsi="方正仿宋_GBK" w:eastAsia="方正仿宋_GBK" w:cs="方正仿宋_GBK"/>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ascii="方正仿宋_GBK" w:hAnsi="方正仿宋_GBK" w:eastAsia="方正仿宋_GBK" w:cs="方正仿宋_GBK"/>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kern w:val="2"/>
                <w:sz w:val="20"/>
                <w:szCs w:val="20"/>
              </w:rPr>
            </w:pPr>
            <w:r>
              <w:rPr>
                <w:rFonts w:ascii="方正仿宋_GBK" w:hAnsi="方正仿宋_GBK" w:eastAsia="方正仿宋_GBK" w:cs="方正仿宋_GBK"/>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kern w:val="2"/>
                <w:sz w:val="20"/>
                <w:szCs w:val="20"/>
              </w:rPr>
            </w:pPr>
            <w:r>
              <w:rPr>
                <w:rFonts w:ascii="方正仿宋_GBK" w:hAnsi="方正仿宋_GBK" w:eastAsia="方正仿宋_GBK" w:cs="方正仿宋_GBK"/>
                <w:sz w:val="20"/>
                <w:szCs w:val="20"/>
              </w:rPr>
              <w:t>部门</w:t>
            </w:r>
            <w:r>
              <w:rPr>
                <w:rFonts w:ascii="方正仿宋_GBK" w:hAnsi="方正仿宋_GBK" w:eastAsia="方正仿宋_GBK" w:cs="方正仿宋_GBK"/>
                <w:color w:val="000000"/>
                <w:kern w:val="2"/>
                <w:sz w:val="20"/>
                <w:szCs w:val="20"/>
              </w:rPr>
              <w:t>：</w:t>
            </w:r>
            <w:r>
              <w:rPr>
                <w:rFonts w:ascii="方正仿宋_GBK" w:hAnsi="方正仿宋_GBK" w:eastAsia="方正仿宋_GBK" w:cs="方正仿宋_GBK"/>
                <w:color w:val="000000"/>
                <w:sz w:val="20"/>
              </w:rPr>
              <w:t>垫江县砚台镇人民政府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方正仿宋_GBK" w:hAnsi="方正仿宋_GBK" w:eastAsia="方正仿宋_GBK" w:cs="方正仿宋_GBK"/>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方正仿宋_GBK" w:hAnsi="方正仿宋_GBK" w:eastAsia="方正仿宋_GBK" w:cs="方正仿宋_GBK"/>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方正仿宋_GBK" w:hAnsi="方正仿宋_GBK" w:eastAsia="方正仿宋_GBK" w:cs="方正仿宋_GBK"/>
                <w:color w:val="000000"/>
                <w:kern w:val="2"/>
                <w:sz w:val="20"/>
                <w:szCs w:val="20"/>
              </w:rPr>
            </w:pPr>
            <w:r>
              <w:rPr>
                <w:rFonts w:ascii="方正仿宋_GBK" w:hAnsi="方正仿宋_GBK" w:eastAsia="方正仿宋_GBK" w:cs="方正仿宋_GBK"/>
                <w:color w:val="000000"/>
                <w:kern w:val="2"/>
                <w:sz w:val="20"/>
                <w:szCs w:val="20"/>
              </w:rPr>
              <w:t>单位：</w:t>
            </w:r>
            <w:r>
              <w:rPr>
                <w:rFonts w:ascii="方正仿宋_GBK" w:hAnsi="方正仿宋_GBK" w:eastAsia="方正仿宋_GBK" w:cs="方正仿宋_GBK"/>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132.52</w:t>
            </w: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1.09</w:t>
            </w:r>
            <w:r>
              <w:rPr>
                <w:rFonts w:ascii="方正仿宋_GBK" w:hAnsi="方正仿宋_GBK" w:eastAsia="方正仿宋_GBK" w:cs="方正仿宋_GBK"/>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1.09</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132.52</w:t>
            </w: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0.98</w:t>
            </w:r>
            <w:r>
              <w:rPr>
                <w:rFonts w:ascii="方正仿宋_GBK" w:hAnsi="方正仿宋_GBK" w:eastAsia="方正仿宋_GBK" w:cs="方正仿宋_GBK"/>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0.98</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w:t>
            </w: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0.98</w:t>
            </w:r>
            <w:r>
              <w:rPr>
                <w:rFonts w:ascii="方正仿宋_GBK" w:hAnsi="方正仿宋_GBK" w:eastAsia="方正仿宋_GBK" w:cs="方正仿宋_GBK"/>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0.98</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0.11</w:t>
            </w:r>
            <w:r>
              <w:rPr>
                <w:rFonts w:ascii="方正仿宋_GBK" w:hAnsi="方正仿宋_GBK" w:eastAsia="方正仿宋_GBK" w:cs="方正仿宋_GBK"/>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0.11</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0.11</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2</w:t>
            </w: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2</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3</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19</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kern w:val="2"/>
                <w:sz w:val="16"/>
                <w:szCs w:val="16"/>
              </w:rPr>
            </w:pPr>
            <w:r>
              <w:rPr>
                <w:rFonts w:ascii="方正仿宋_GBK" w:hAnsi="方正仿宋_GBK" w:eastAsia="方正仿宋_GBK" w:cs="方正仿宋_GBK"/>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4.41</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方正仿宋_GBK" w:hAnsi="方正仿宋_GBK" w:eastAsia="方正仿宋_GBK" w:cs="方正仿宋_GBK"/>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方正仿宋_GBK" w:hAnsi="方正仿宋_GBK" w:eastAsia="方正仿宋_GBK" w:cs="方正仿宋_GBK"/>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color w:val="000000"/>
                <w:kern w:val="2"/>
                <w:sz w:val="16"/>
                <w:szCs w:val="16"/>
              </w:rPr>
            </w:pPr>
            <w:r>
              <w:rPr>
                <w:rFonts w:ascii="方正仿宋_GBK" w:hAnsi="方正仿宋_GBK" w:eastAsia="方正仿宋_GBK" w:cs="方正仿宋_GBK"/>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kern w:val="2"/>
                <w:sz w:val="18"/>
                <w:szCs w:val="18"/>
              </w:rPr>
            </w:pPr>
            <w:r>
              <w:rPr>
                <w:rFonts w:ascii="方正仿宋_GBK" w:hAnsi="方正仿宋_GBK" w:eastAsia="方正仿宋_GBK" w:cs="方正仿宋_GBK"/>
                <w:color w:val="000000"/>
                <w:kern w:val="2"/>
                <w:sz w:val="18"/>
                <w:szCs w:val="18"/>
              </w:rPr>
              <w:t>1.54</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方正仿宋_GBK" w:hAnsi="方正仿宋_GBK" w:eastAsia="方正仿宋_GBK" w:cs="方正仿宋_GBK"/>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方正仿宋_GBK" w:hAnsi="方正仿宋_GBK" w:eastAsia="方正仿宋_GBK" w:cs="方正仿宋_GBK"/>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方正仿宋_GBK" w:hAnsi="方正仿宋_GBK" w:eastAsia="方正仿宋_GBK" w:cs="方正仿宋_GBK"/>
                <w:b/>
                <w:bCs/>
                <w:color w:val="000000"/>
                <w:sz w:val="16"/>
                <w:szCs w:val="16"/>
              </w:rPr>
            </w:pPr>
            <w:r>
              <w:rPr>
                <w:rFonts w:ascii="方正仿宋_GBK" w:hAnsi="方正仿宋_GBK" w:eastAsia="方正仿宋_GBK" w:cs="方正仿宋_GBK"/>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rPr>
              <w:t>50.05</w:t>
            </w:r>
            <w:r>
              <w:rPr>
                <w:rFonts w:ascii="方正仿宋_GBK" w:hAnsi="方正仿宋_GBK" w:eastAsia="方正仿宋_GBK" w:cs="方正仿宋_GBK"/>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方正仿宋_GBK" w:hAnsi="方正仿宋_GBK" w:eastAsia="方正仿宋_GBK" w:cs="方正仿宋_GBK"/>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方正仿宋_GBK" w:hAnsi="方正仿宋_GBK" w:eastAsia="方正仿宋_GBK" w:cs="方正仿宋_GBK"/>
                <w:color w:val="000000"/>
                <w:sz w:val="16"/>
                <w:szCs w:val="16"/>
              </w:rPr>
            </w:pPr>
          </w:p>
        </w:tc>
      </w:tr>
    </w:tbl>
    <w:p>
      <w:pPr>
        <w:rPr>
          <w:rFonts w:hint="default" w:cs="宋体"/>
          <w:sz w:val="18"/>
          <w:szCs w:val="18"/>
        </w:rPr>
      </w:pPr>
      <w:r>
        <w:rPr>
          <w:rFonts w:ascii="方正仿宋_GBK" w:hAnsi="方正仿宋_GBK" w:eastAsia="方正仿宋_GBK" w:cs="方正仿宋_GBK"/>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ascii="方正仿宋_GBK" w:hAnsi="方正仿宋_GBK" w:eastAsia="方正仿宋_GBK" w:cs="方正仿宋_GBK"/>
          <w:sz w:val="18"/>
          <w:szCs w:val="18"/>
        </w:rPr>
        <w:br w:type="textWrapping"/>
      </w:r>
      <w:r>
        <w:rPr>
          <w:rFonts w:ascii="方正仿宋_GBK" w:hAnsi="方正仿宋_GBK" w:eastAsia="方正仿宋_GBK" w:cs="方正仿宋_GBK"/>
          <w:sz w:val="18"/>
          <w:szCs w:val="18"/>
        </w:rPr>
        <w:t xml:space="preserve">      2.本套报表金额单位转换时可能存在尾数误差。</w:t>
      </w:r>
      <w:r>
        <w:rPr>
          <w:rFonts w:ascii="方正仿宋_GBK" w:hAnsi="方正仿宋_GBK" w:eastAsia="方正仿宋_GBK" w:cs="方正仿宋_GBK"/>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499D6B-97C5-4252-8A50-9CAE0C074E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9E6A72E5-6BA7-4671-BE02-6E9E043551D0}"/>
  </w:font>
  <w:font w:name="方正黑体_GBK">
    <w:panose1 w:val="03000509000000000000"/>
    <w:charset w:val="86"/>
    <w:family w:val="script"/>
    <w:pitch w:val="default"/>
    <w:sig w:usb0="00000001" w:usb1="080E0000" w:usb2="00000000" w:usb3="00000000" w:csb0="00040000" w:csb1="00000000"/>
    <w:embedRegular r:id="rId3" w:fontKey="{4C71D43B-8585-44B2-8BB1-F3AF61E82F1A}"/>
  </w:font>
  <w:font w:name="方正楷体_GBK">
    <w:panose1 w:val="03000509000000000000"/>
    <w:charset w:val="86"/>
    <w:family w:val="script"/>
    <w:pitch w:val="default"/>
    <w:sig w:usb0="00000001" w:usb1="080E0000" w:usb2="00000000" w:usb3="00000000" w:csb0="00040000" w:csb1="00000000"/>
    <w:embedRegular r:id="rId4" w:fontKey="{874EBEA0-AF57-4462-A7CC-8DEF73E47F0D}"/>
  </w:font>
  <w:font w:name="方正仿宋_GBK">
    <w:panose1 w:val="02000000000000000000"/>
    <w:charset w:val="86"/>
    <w:family w:val="script"/>
    <w:pitch w:val="default"/>
    <w:sig w:usb0="A00002BF" w:usb1="38CF7CFA" w:usb2="00082016" w:usb3="00000000" w:csb0="00040001" w:csb1="00000000"/>
    <w:embedRegular r:id="rId5" w:fontKey="{597BB0B6-A348-4845-A9FE-975266C9070B}"/>
  </w:font>
  <w:font w:name="微软雅黑">
    <w:panose1 w:val="020B0503020204020204"/>
    <w:charset w:val="86"/>
    <w:family w:val="swiss"/>
    <w:pitch w:val="default"/>
    <w:sig w:usb0="80000287" w:usb1="2ACF3C50" w:usb2="00000016" w:usb3="00000000" w:csb0="0004001F" w:csb1="00000000"/>
    <w:embedRegular r:id="rId6" w:fontKey="{017DEDE2-963A-4B40-8A3D-64218318737E}"/>
  </w:font>
  <w:font w:name="方正公文小标宋">
    <w:panose1 w:val="02000500000000000000"/>
    <w:charset w:val="86"/>
    <w:family w:val="auto"/>
    <w:pitch w:val="default"/>
    <w:sig w:usb0="A00002BF" w:usb1="38CF7CFA" w:usb2="00000016" w:usb3="00000000" w:csb0="00040001" w:csb1="00000000"/>
    <w:embedRegular r:id="rId7" w:fontKey="{986F57E1-4CAE-4142-B0B7-1368C99BBE58}"/>
  </w:font>
  <w:font w:name="楷体">
    <w:panose1 w:val="02010609060101010101"/>
    <w:charset w:val="86"/>
    <w:family w:val="modern"/>
    <w:pitch w:val="default"/>
    <w:sig w:usb0="800002BF" w:usb1="38CF7CFA" w:usb2="00000016" w:usb3="00000000" w:csb0="00040001" w:csb1="00000000"/>
    <w:embedRegular r:id="rId8" w:fontKey="{D4B37FDB-5DC4-4232-A369-3C0F36A29FD4}"/>
  </w:font>
  <w:font w:name="方正小标宋简体">
    <w:panose1 w:val="02010600010101010101"/>
    <w:charset w:val="86"/>
    <w:family w:val="auto"/>
    <w:pitch w:val="default"/>
    <w:sig w:usb0="00000001" w:usb1="080E0000" w:usb2="00000000" w:usb3="00000000" w:csb0="00040000" w:csb1="00000000"/>
    <w:embedRegular r:id="rId9" w:fontKey="{CC099F29-B674-42EB-AB18-3351C634AF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1" o:spid="_x0000_s205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45 -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C01CC"/>
    <w:rsid w:val="000D7702"/>
    <w:rsid w:val="000F6721"/>
    <w:rsid w:val="001632EC"/>
    <w:rsid w:val="002030E3"/>
    <w:rsid w:val="0021160F"/>
    <w:rsid w:val="00261065"/>
    <w:rsid w:val="002D0E5A"/>
    <w:rsid w:val="002D71F4"/>
    <w:rsid w:val="002E5443"/>
    <w:rsid w:val="0032196C"/>
    <w:rsid w:val="004852DA"/>
    <w:rsid w:val="004A2BE3"/>
    <w:rsid w:val="004C12FF"/>
    <w:rsid w:val="004D0390"/>
    <w:rsid w:val="004E5FFE"/>
    <w:rsid w:val="00550ABE"/>
    <w:rsid w:val="005B023C"/>
    <w:rsid w:val="005E5EBE"/>
    <w:rsid w:val="00600322"/>
    <w:rsid w:val="006137D7"/>
    <w:rsid w:val="00634FA8"/>
    <w:rsid w:val="0063613A"/>
    <w:rsid w:val="0068170B"/>
    <w:rsid w:val="006D7A00"/>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B61242"/>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C4381E"/>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B52FBF"/>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381FC5"/>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3F65D92"/>
    <w:rsid w:val="24AB151B"/>
    <w:rsid w:val="24B92327"/>
    <w:rsid w:val="24C14514"/>
    <w:rsid w:val="24FA5389"/>
    <w:rsid w:val="2533755C"/>
    <w:rsid w:val="25791755"/>
    <w:rsid w:val="26396DF4"/>
    <w:rsid w:val="27167136"/>
    <w:rsid w:val="27B23302"/>
    <w:rsid w:val="28B5472C"/>
    <w:rsid w:val="291C1B49"/>
    <w:rsid w:val="29310A5F"/>
    <w:rsid w:val="29C37A35"/>
    <w:rsid w:val="2A076083"/>
    <w:rsid w:val="2A73162E"/>
    <w:rsid w:val="2A751F0B"/>
    <w:rsid w:val="2B167953"/>
    <w:rsid w:val="2B200583"/>
    <w:rsid w:val="2B220436"/>
    <w:rsid w:val="2B8209DE"/>
    <w:rsid w:val="2BDD6474"/>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A5FA3"/>
    <w:rsid w:val="37BF1123"/>
    <w:rsid w:val="37FC7265"/>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DE7781F"/>
    <w:rsid w:val="3E1D0952"/>
    <w:rsid w:val="3E42660A"/>
    <w:rsid w:val="3E7555B1"/>
    <w:rsid w:val="3E787ED9"/>
    <w:rsid w:val="3EEC37F3"/>
    <w:rsid w:val="3F032E93"/>
    <w:rsid w:val="3F0527E5"/>
    <w:rsid w:val="3F4814B0"/>
    <w:rsid w:val="3F5E5D98"/>
    <w:rsid w:val="3F694D83"/>
    <w:rsid w:val="3F885DCC"/>
    <w:rsid w:val="3FCD675E"/>
    <w:rsid w:val="3FD86860"/>
    <w:rsid w:val="3FDE6ADE"/>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311E6"/>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4B20A8"/>
    <w:rsid w:val="5651697D"/>
    <w:rsid w:val="56530F5D"/>
    <w:rsid w:val="56692AE5"/>
    <w:rsid w:val="567700D3"/>
    <w:rsid w:val="56C12D81"/>
    <w:rsid w:val="56FF7E9E"/>
    <w:rsid w:val="578867FC"/>
    <w:rsid w:val="5842572D"/>
    <w:rsid w:val="5A3B59D6"/>
    <w:rsid w:val="5AD134D8"/>
    <w:rsid w:val="5B6503B1"/>
    <w:rsid w:val="5C0F7EC4"/>
    <w:rsid w:val="5C263CE4"/>
    <w:rsid w:val="5C5D2777"/>
    <w:rsid w:val="5CF66BF3"/>
    <w:rsid w:val="5D290C69"/>
    <w:rsid w:val="5EE873BE"/>
    <w:rsid w:val="5F2D4A41"/>
    <w:rsid w:val="60C74F6C"/>
    <w:rsid w:val="61025A59"/>
    <w:rsid w:val="613D5BBC"/>
    <w:rsid w:val="61536C39"/>
    <w:rsid w:val="61E64F4A"/>
    <w:rsid w:val="623E0993"/>
    <w:rsid w:val="62944DD7"/>
    <w:rsid w:val="6319381F"/>
    <w:rsid w:val="63236436"/>
    <w:rsid w:val="63C25DC5"/>
    <w:rsid w:val="63C62057"/>
    <w:rsid w:val="64571EF5"/>
    <w:rsid w:val="64746C6E"/>
    <w:rsid w:val="64CB0157"/>
    <w:rsid w:val="64FB113D"/>
    <w:rsid w:val="65036946"/>
    <w:rsid w:val="654A25FE"/>
    <w:rsid w:val="656152C6"/>
    <w:rsid w:val="6587477F"/>
    <w:rsid w:val="658C3A08"/>
    <w:rsid w:val="65C031CA"/>
    <w:rsid w:val="65CE6852"/>
    <w:rsid w:val="66267C04"/>
    <w:rsid w:val="663F505A"/>
    <w:rsid w:val="66967186"/>
    <w:rsid w:val="66DF32CF"/>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42061BA"/>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A861B3"/>
    <w:rsid w:val="7BD06A28"/>
    <w:rsid w:val="7C3A7C0B"/>
    <w:rsid w:val="7C5248E4"/>
    <w:rsid w:val="7C566698"/>
    <w:rsid w:val="7C5866A3"/>
    <w:rsid w:val="7CB43058"/>
    <w:rsid w:val="7CBE2F89"/>
    <w:rsid w:val="7D7406BB"/>
    <w:rsid w:val="7DE94331"/>
    <w:rsid w:val="7E563815"/>
    <w:rsid w:val="7EFF204E"/>
    <w:rsid w:val="7F446A19"/>
    <w:rsid w:val="7F7452B9"/>
    <w:rsid w:val="7F8401D1"/>
    <w:rsid w:val="7FAC32D7"/>
    <w:rsid w:val="C9FF85F0"/>
    <w:rsid w:val="DEE63E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cs="Calibri"/>
      <w:szCs w:val="21"/>
    </w:rPr>
  </w:style>
  <w:style w:type="paragraph" w:styleId="3">
    <w:name w:val="Body Text"/>
    <w:basedOn w:val="1"/>
    <w:next w:val="4"/>
    <w:qFormat/>
    <w:uiPriority w:val="0"/>
    <w:pPr>
      <w:spacing w:before="100" w:beforeAutospacing="1" w:after="100" w:afterAutospacing="1"/>
    </w:pPr>
    <w:rPr>
      <w:rFonts w:cs="宋体"/>
    </w:rPr>
  </w:style>
  <w:style w:type="paragraph" w:styleId="4">
    <w:name w:val="List"/>
    <w:basedOn w:val="1"/>
    <w:qFormat/>
    <w:uiPriority w:val="0"/>
    <w:pPr>
      <w:ind w:left="200" w:hanging="200" w:hanging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autoRedefine/>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5345</Words>
  <Characters>30473</Characters>
  <Lines>253</Lines>
  <Paragraphs>71</Paragraphs>
  <TotalTime>0</TotalTime>
  <ScaleCrop>false</ScaleCrop>
  <LinksUpToDate>false</LinksUpToDate>
  <CharactersWithSpaces>35747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WPS_1664260647</cp:lastModifiedBy>
  <cp:lastPrinted>2025-08-20T19:09:00Z</cp:lastPrinted>
  <dcterms:modified xsi:type="dcterms:W3CDTF">2025-09-27T13:25:10Z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