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垫江县周嘉镇人民政府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关于印发《</w:t>
      </w:r>
      <w:r>
        <w:rPr>
          <w:rFonts w:hint="default"/>
        </w:rPr>
        <w:t>2023年</w:t>
      </w:r>
      <w:r>
        <w:rPr>
          <w:rFonts w:hint="default"/>
          <w:lang w:eastAsia="zh-CN"/>
        </w:rPr>
        <w:t>周嘉镇</w:t>
      </w:r>
      <w:r>
        <w:rPr>
          <w:rFonts w:hint="default"/>
          <w:lang w:val="en-US" w:eastAsia="zh-CN"/>
        </w:rPr>
        <w:t>夏秋</w:t>
      </w:r>
      <w:r>
        <w:rPr>
          <w:rFonts w:hint="default"/>
        </w:rPr>
        <w:t>季</w:t>
      </w:r>
      <w:r>
        <w:rPr>
          <w:rFonts w:hint="default"/>
          <w:lang w:val="en-US" w:eastAsia="zh-CN"/>
        </w:rPr>
        <w:t>臭氧</w:t>
      </w:r>
      <w:r>
        <w:rPr>
          <w:rFonts w:hint="default"/>
        </w:rPr>
        <w:t>污染防治攻坚</w:t>
      </w:r>
      <w:r>
        <w:rPr>
          <w:rFonts w:hint="default"/>
          <w:lang w:val="en-US" w:eastAsia="zh-CN"/>
        </w:rPr>
        <w:t>工</w:t>
      </w:r>
      <w:r>
        <w:rPr>
          <w:rFonts w:hint="default"/>
        </w:rPr>
        <w:t>作方案</w:t>
      </w:r>
      <w:r>
        <w:rPr>
          <w:rFonts w:hint="default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kern w:val="24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垫周嘉府发〔2023〕45号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各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村（社区）、相关企业</w:t>
      </w:r>
      <w:r>
        <w:rPr>
          <w:rFonts w:hint="default" w:ascii="Times New Roman" w:hAnsi="Times New Roman" w:eastAsia="方正仿宋_GBK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按照党中央、国务院关于深入打好污染防治攻坚战的决策部署和市委、市政府工作要求</w:t>
      </w:r>
      <w:r>
        <w:rPr>
          <w:rFonts w:hint="default" w:ascii="Times New Roman" w:hAnsi="Times New Roman" w:eastAsia="方正仿宋_GBK" w:cs="Times New Roman"/>
          <w:kern w:val="24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24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kern w:val="24"/>
          <w:szCs w:val="32"/>
          <w:lang w:eastAsia="zh-CN"/>
        </w:rPr>
        <w:t>《垫江县生态环境委员会办公室关于印发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&lt;</w:t>
      </w:r>
      <w:r>
        <w:rPr>
          <w:rFonts w:hint="default" w:ascii="Times New Roman" w:hAnsi="Times New Roman" w:eastAsia="方正仿宋_GBK" w:cs="Times New Roman"/>
          <w:kern w:val="24"/>
          <w:szCs w:val="32"/>
          <w:lang w:eastAsia="zh-CN"/>
        </w:rPr>
        <w:t>2023年垫江县夏秋季臭氧污染防治攻坚工作方案</w:t>
      </w:r>
      <w:r>
        <w:rPr>
          <w:rFonts w:hint="default" w:ascii="Times New Roman" w:hAnsi="Times New Roman" w:eastAsia="方正仿宋_GBK" w:cs="Times New Roman"/>
          <w:kern w:val="24"/>
          <w:szCs w:val="32"/>
          <w:lang w:val="en-US" w:eastAsia="zh-CN"/>
        </w:rPr>
        <w:t>&gt;</w:t>
      </w:r>
      <w:r>
        <w:rPr>
          <w:rFonts w:hint="default" w:ascii="Times New Roman" w:hAnsi="Times New Roman" w:eastAsia="方正仿宋_GBK" w:cs="Times New Roman"/>
          <w:kern w:val="24"/>
          <w:szCs w:val="32"/>
          <w:lang w:eastAsia="zh-CN"/>
        </w:rPr>
        <w:t>的通知精神</w:t>
      </w:r>
      <w:r>
        <w:rPr>
          <w:rFonts w:hint="default" w:ascii="Times New Roman" w:hAnsi="Times New Roman" w:eastAsia="方正仿宋_GBK" w:cs="Times New Roman"/>
          <w:szCs w:val="32"/>
        </w:rPr>
        <w:t>，</w:t>
      </w:r>
      <w:r>
        <w:rPr>
          <w:rFonts w:hint="default" w:ascii="Times New Roman" w:hAnsi="Times New Roman" w:eastAsia="方正仿宋_GBK" w:cs="Times New Roman"/>
          <w:kern w:val="24"/>
          <w:szCs w:val="32"/>
          <w:lang w:val="en-US" w:eastAsia="zh-CN"/>
        </w:rPr>
        <w:t>聚焦2023年夏秋季臭氧污染，</w:t>
      </w:r>
      <w:r>
        <w:rPr>
          <w:rFonts w:hint="default" w:ascii="Times New Roman" w:hAnsi="Times New Roman" w:eastAsia="方正仿宋_GBK" w:cs="Times New Roman"/>
          <w:szCs w:val="32"/>
        </w:rPr>
        <w:t>推进挥发性有机物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VOCs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Cs w:val="32"/>
        </w:rPr>
        <w:t>和氮氧化物协同减排，</w:t>
      </w:r>
      <w:r>
        <w:rPr>
          <w:rFonts w:hint="default" w:ascii="Times New Roman" w:hAnsi="Times New Roman" w:eastAsia="方正仿宋_GBK" w:cs="Times New Roman"/>
          <w:kern w:val="24"/>
          <w:szCs w:val="32"/>
          <w:lang w:val="en-US" w:eastAsia="zh-CN"/>
        </w:rPr>
        <w:t>力争</w:t>
      </w:r>
      <w:r>
        <w:rPr>
          <w:rFonts w:hint="default" w:ascii="Times New Roman" w:hAnsi="Times New Roman" w:eastAsia="方正仿宋_GBK" w:cs="Times New Roman"/>
          <w:kern w:val="24"/>
          <w:szCs w:val="32"/>
        </w:rPr>
        <w:t>完成</w:t>
      </w:r>
      <w:r>
        <w:rPr>
          <w:rFonts w:hint="default" w:ascii="Times New Roman" w:hAnsi="Times New Roman" w:eastAsia="方正仿宋_GBK" w:cs="Times New Roman"/>
          <w:kern w:val="24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kern w:val="24"/>
          <w:szCs w:val="32"/>
        </w:rPr>
        <w:t>目标任务</w:t>
      </w:r>
      <w:r>
        <w:rPr>
          <w:rFonts w:hint="default" w:ascii="Times New Roman" w:hAnsi="Times New Roman" w:eastAsia="方正仿宋_GBK" w:cs="Times New Roman"/>
          <w:szCs w:val="32"/>
        </w:rPr>
        <w:t>，持续改善空气质量，制定本方案。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黑体_GBK" w:cs="Times New Roman"/>
          <w:szCs w:val="32"/>
        </w:rPr>
      </w:pPr>
      <w:r>
        <w:rPr>
          <w:rFonts w:hint="default" w:ascii="Times New Roman" w:hAnsi="Times New Roman" w:eastAsia="方正黑体_GBK" w:cs="Times New Roman"/>
          <w:szCs w:val="32"/>
        </w:rPr>
        <w:t>一、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攻坚</w:t>
      </w:r>
      <w:r>
        <w:rPr>
          <w:rFonts w:hint="default" w:ascii="Times New Roman" w:hAnsi="Times New Roman" w:eastAsia="方正黑体_GBK" w:cs="Times New Roman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力争202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年夏秋季臭氧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零污染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完成县级下达的臭氧污染防治攻坚战考核指标。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Cs w:val="32"/>
        </w:rPr>
        <w:t>二、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攻坚范围及</w:t>
      </w:r>
      <w:r>
        <w:rPr>
          <w:rFonts w:hint="default" w:ascii="Times New Roman" w:hAnsi="Times New Roman" w:eastAsia="方正黑体_GBK" w:cs="Times New Roman"/>
          <w:szCs w:val="32"/>
        </w:rPr>
        <w:t>时</w:t>
      </w:r>
      <w:r>
        <w:rPr>
          <w:rFonts w:hint="default" w:ascii="Times New Roman" w:hAnsi="Times New Roman" w:eastAsia="方正黑体_GBK" w:cs="Times New Roman"/>
          <w:szCs w:val="32"/>
          <w:lang w:val="en-US" w:eastAsia="zh-CN"/>
        </w:rPr>
        <w:t>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攻坚范围：全镇所辖相关企业。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eastAsia="zh-CN"/>
        </w:rPr>
        <w:t>攻坚时段：</w:t>
      </w: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Cs w:val="32"/>
        </w:rPr>
        <w:t>日—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Cs w:val="32"/>
        </w:rPr>
        <w:t>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攻坚思路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聚焦夏秋季臭氧污染，全力争抢优良天，努力降低臭氧浓度。坚持问题导向、目标导向、结果导向，以挥发性有机物和氮氧化物协同减排为重点，实施活性炭治理设施专项整治、治理设施的提升、餐饮油烟专项治理专项行动，强化日常监管和污染应急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四、全力开展专项行动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（一）开展活性炭治理设施专项整治行动。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1.镇规建环保办、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经发办、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相关企业应以工业涂装、家具制造、木制业、有机聚合物制品、人造板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行业为排查重点，4月15日前建立活性炭治理设施清单（附件2），包括单一活性炭处理工艺设施和活性炭为主要、次要处理工艺设施等类型，做到涉活性炭治理设施应纳尽纳。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2.镇规建环保办、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经发办、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相关企业应以未设置预处理工艺、设施风量不匹配以及活性炭填装量不足、更换不及时、以次充好等问题为重点，6月20日前按照相关要求（附件1）完成一轮整治并报送整治台账（附件3），基本实现活性炭VOCs治理设施合理设计、管理规范以及活性炭质量合格、足量添加、及时更换、妥善处置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4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开展治理设施提升行动。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提升治理设施去除率。镇规建环保办、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经发办、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相关企业加强开展单一光催化、光氧化、水喷淋（吸收可溶性VOCs除外）、低温等离子等低效VOCs治理设施（恶臭处理除外）排查，4月15日前完成排查并建立整治清单。以升级改造为组合工艺、适宜高效治理设施或取消含VOCs物料使用环节等方式开展整治，6月20日前基本完成并报送整治台账（附件4），9月15日前全面完成整治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提升治理设施运行效率。规范企业治理设施运维、检修操作规程，治理设施吸附剂、吸收剂、催化剂等应按设计规范要求定期更换和利用处置，提升VOCs排查发现问题率和整改完成率。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94" w:lineRule="exact"/>
        <w:ind w:left="480" w:leftChars="0" w:firstLine="0" w:firstLineChars="0"/>
        <w:textAlignment w:val="auto"/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开展餐饮油烟专项治理行动。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镇规建环保办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、经发办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督促辖区内餐饮业业主于4月30日前完成1次油烟净化设施清洗和检修，并定期（至少每月1次）维护保养，确保油烟治理设施运转正常。督促餐饮单位建立油烟净化设施运维台账，对清洗、维护、运转状态等进行记录。镇规建环保办参照附件5建立辖区内餐饮业油烟治理台账并动态更新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Chars="200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（一）加强组织领导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明确攻坚目标，围绕突出问题、突出点位分解任务，并针对臭氧防控重点、难点问题，抓好落实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。各相关企业攻坚期间定期报送各项任务开展情况相关材料，镇规建环保办按照时间</w:t>
      </w:r>
      <w:r>
        <w:rPr>
          <w:rFonts w:hint="eastAsia" w:eastAsia="方正仿宋_GBK" w:cs="Times New Roman"/>
          <w:szCs w:val="32"/>
          <w:lang w:val="en-US" w:eastAsia="zh-CN"/>
        </w:rPr>
        <w:t>节点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上报县生态环境局。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二</w:t>
      </w:r>
      <w:r>
        <w:rPr>
          <w:rFonts w:hint="default" w:ascii="Times New Roman" w:hAnsi="Times New Roman" w:eastAsia="方正楷体_GBK" w:cs="Times New Roman"/>
          <w:szCs w:val="32"/>
        </w:rPr>
        <w:t>）加强宣传引导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>广泛开展臭氧污染防治科普宣传，引导企业主动做好节能减排和错峰生产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</w:rPr>
        <w:t>引导公众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绿色</w:t>
      </w:r>
      <w:r>
        <w:rPr>
          <w:rFonts w:hint="default" w:ascii="Times New Roman" w:hAnsi="Times New Roman" w:eastAsia="方正仿宋_GBK" w:cs="Times New Roman"/>
          <w:szCs w:val="32"/>
        </w:rPr>
        <w:t>低碳生活、文明消费，提倡绿色出行、节能节材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spacing w:val="0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Cs w:val="32"/>
        </w:rPr>
        <w:t>（</w:t>
      </w:r>
      <w:r>
        <w:rPr>
          <w:rFonts w:hint="default" w:ascii="Times New Roman" w:hAnsi="Times New Roman" w:eastAsia="方正楷体_GBK" w:cs="Times New Roman"/>
          <w:szCs w:val="32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szCs w:val="32"/>
        </w:rPr>
        <w:t>）</w:t>
      </w:r>
      <w:r>
        <w:rPr>
          <w:rFonts w:hint="default" w:ascii="Times New Roman" w:hAnsi="Times New Roman" w:eastAsia="方正楷体_GBK" w:cs="Times New Roman"/>
          <w:szCs w:val="32"/>
          <w:lang w:val="en-US" w:eastAsia="zh-CN"/>
        </w:rPr>
        <w:t>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  <w:lang w:val="en-US" w:eastAsia="zh-CN"/>
        </w:rPr>
        <w:t>相关企业请按时上报相关整治台账报表至镇规建环保办（镇政府3010办公室）</w:t>
      </w: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  <w:lang w:val="en-US" w:eastAsia="zh-CN"/>
        </w:rPr>
        <w:t>黄先斌，</w:t>
      </w: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</w:rPr>
        <w:t>联系电话</w:t>
      </w: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pacing w:val="0"/>
          <w:szCs w:val="32"/>
          <w:lang w:val="en-US" w:eastAsia="zh-CN"/>
        </w:rPr>
        <w:t>13372784706</w:t>
      </w:r>
      <w:r>
        <w:rPr>
          <w:rFonts w:hint="default" w:ascii="Times New Roman" w:hAnsi="Times New Roman" w:eastAsia="方正仿宋_GBK" w:cs="Times New Roman"/>
          <w:szCs w:val="32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960" w:firstLineChars="3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附件：1.</w:t>
      </w:r>
      <w:r>
        <w:rPr>
          <w:rFonts w:hint="default" w:ascii="Times New Roman" w:hAnsi="Times New Roman" w:eastAsia="方正仿宋_GBK" w:cs="Times New Roman"/>
          <w:lang w:val="en-US" w:eastAsia="zh-CN"/>
        </w:rPr>
        <w:t>活性炭治理设施专项整治相关要求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1600" w:leftChars="500" w:firstLine="32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活性炭治理设施清单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1600" w:leftChars="500" w:firstLine="320" w:firstLineChars="1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活性炭治理设施专项整治台账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1600" w:leftChars="500" w:firstLine="320" w:firstLineChars="1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简易低效设施清理整治台账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5.餐饮业油烟治理台账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垫江县</w:t>
      </w:r>
      <w:r>
        <w:rPr>
          <w:rFonts w:hint="default" w:ascii="Times New Roman" w:hAnsi="Times New Roman" w:cs="Times New Roman"/>
          <w:bCs/>
          <w:sz w:val="32"/>
          <w:szCs w:val="32"/>
          <w:lang w:eastAsia="zh-CN"/>
        </w:rPr>
        <w:t>周嘉镇人民政府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2023年4月12日</w:t>
      </w: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t>附件1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活性炭治理设施专项整治相关要求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活性炭治理设施应设计合理、管理规范，填装活性炭应质量合格、足量添加、及时更换，废活性炭应妥善处置，相关要求应符合《重点行业挥发性有机物综合治理方案》（环大气〔2019〕53号）、《2020年挥发性有机物治理攻坚方案》（环大气〔2020〕33号）、《关于加快解决当前挥发性有机物治理突出问题的通知》（环大气〔2021〕65号）、《吸附法工业有机废气治理工程技术规范》(HJ 2026—2013)等标准、政策文件要求。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24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 w:val="0"/>
          <w:spacing w:val="-1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spacing w:val="-18"/>
          <w:sz w:val="32"/>
          <w:szCs w:val="32"/>
          <w:lang w:val="en-US" w:eastAsia="zh-CN"/>
        </w:rPr>
        <w:t>废气预处理要求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喷涂等工艺产生含颗粒物的VOCs废气的，宜在活性炭吸附前端设置颗粒物捕集装置。进入吸附设备的废气颗粒物含量和温度分别低于1mg/m³和40℃，保障活性炭在低颗粒物、低含水率和适宜温度条件下使用。应将定期更换过滤材料相关内容纳入操作规程。活性炭对酸性废气吸附效果较差，且酸性气体易对设备本体造成腐蚀，应先采用洗涤进行预处理。采用洗涤进行预处理的，应采取措施保障进入吸附环节的废气湿度为70%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  <w:t>三、设施风速控制要求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照相关工程技术规范设计净化工艺和设备，使废气在吸附装置中有足够的停留时间。涉VOCs排放工序应在密闭空间中操作或采用全密闭集气罩收集，无法密闭采用局部集气罩的，应根据废气排放特点合理选择收集点位，按《排风罩的分类和技术条件》(GB/T16758)规定，设置能有效收集废气的集气罩，距集气罩开口面最远处的VOCs无组织排放位置，控制风速不低于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0.3m/s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活性炭吸附装置风机应满足依据车间集气罩形状、大小数量及控制风速等测算的风量所需，达不到要求的通过更换大功率风机、增设烟道风机、增加垂帘等方式进行改造。鼓励企业自备风速仪，用以测定集气罩及吸附床风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活性炭应装填齐整，避免气流短路。采用颗粒活性炭时，气体流速宜低于0.60m/s；采用活性炭纤维时，气体流速宜低于0.15m/s；采用蜂窝活性炭时，气体流速宜低于1.20m/s。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  <w:t>四、设施质量控制要求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吸附装置内部结构应设计合理，气体流通顺畅、无短路、无死角。吸附装置及配套管道应密闭，主风机宜安装在吸附装置后端，使装置形成负压，泄漏检测值不应超过500umol/mol，亦不应有感官可察觉泄漏。应按规范设置采样口，便于监督监测和日常监控活性炭吸附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鼓励企业自备VOCs快速监测设备和压差计。压差计用以测定经过吸附装置的气流压降，从而确定活性炭、过滤棉是否需要更换。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68" w:firstLineChars="200"/>
        <w:textAlignment w:val="auto"/>
        <w:outlineLvl w:val="0"/>
        <w:rPr>
          <w:rFonts w:hint="default" w:ascii="Times New Roman" w:hAnsi="Times New Roman" w:eastAsia="方正黑体_GBK" w:cs="Times New Roman"/>
          <w:b w:val="0"/>
          <w:bCs w:val="0"/>
          <w:spacing w:val="-1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pacing w:val="-18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lang w:val="en-US" w:eastAsia="zh-CN" w:bidi="ar-SA"/>
        </w:rPr>
        <w:t>活性炭装填控制要求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颗粒活性炭碘吸附值≥800mg/g；蜂窝活性炭碘吸附值≥650mg/g；活性炭纤维比表面积应不低于1100m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vertAlign w:val="superscript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/g（BET法）。企业应备好所购活性炭厂家关于活性炭碘吸附值、比表面积等相关检测报告等证明材料。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应考虑VOCs产生量等因素科学合理确定活性炭装填量及更换周期，并在操作规程中予以载明。采用一次性颗粒状活性炭处理VOCs 废气，年活性炭使用量宜不应低于VOCs 产生量的5倍，即1吨VOCs 产生量，需5吨活性炭用于吸附。采取组合工艺的，光催化、光氧化、水喷淋（吸收可溶性VOCs除外）、低温等离子等低效治理工艺以去除率不超过10%计算活性炭装填量。排气浓度不满足设计或排放要求时，需及时更换活性炭。活性炭更换周期宜不超过累计运行500小时或3个月，更换周期依据生态环境部大气环境司编写的《挥发性有机物治理实用手册（第二版）》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活性炭全过程管理台账，购入记录和质量规格应附发票、检测报告等关键支撑材料；应准确、及时填写更换记录并保存；废旧活性炭妥善贮存，贮存过程中产生的VOCs接入处理设施，将废旧活性炭交有资质的单位处理处置，在设施运维台账中记录更换时间和使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1984" w:right="1531" w:bottom="1531" w:left="1531" w:header="851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440" w:charSpace="0"/>
        </w:sect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企业应保障设施设备及操作人员安全，防止发生安全生产事故。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0" w:leftChars="-200" w:hanging="640" w:hanging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t>附件2</w:t>
      </w: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活性炭治理设施清单</w:t>
      </w:r>
    </w:p>
    <w:p>
      <w:pPr>
        <w:spacing w:line="300" w:lineRule="exact"/>
        <w:rPr>
          <w:rFonts w:hint="default" w:ascii="Times New Roman" w:hAnsi="Times New Roman" w:eastAsia="黑体" w:cs="Times New Roman"/>
          <w:b/>
          <w:bCs/>
          <w:sz w:val="33"/>
          <w:szCs w:val="33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352"/>
        <w:gridCol w:w="2223"/>
        <w:gridCol w:w="710"/>
        <w:gridCol w:w="2645"/>
        <w:gridCol w:w="3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填报单位：__________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填报人：__________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联系电话：__________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填报时间：__________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企业地址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行业类型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设施处理工艺</w:t>
            </w: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0" w:leftChars="-200" w:hanging="640" w:hanging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活性炭治理设施专项整治台账</w:t>
      </w:r>
    </w:p>
    <w:p>
      <w:pPr>
        <w:spacing w:line="300" w:lineRule="exac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12"/>
        <w:gridCol w:w="2084"/>
        <w:gridCol w:w="577"/>
        <w:gridCol w:w="720"/>
        <w:gridCol w:w="753"/>
        <w:gridCol w:w="883"/>
        <w:gridCol w:w="895"/>
        <w:gridCol w:w="986"/>
        <w:gridCol w:w="764"/>
        <w:gridCol w:w="1328"/>
        <w:gridCol w:w="118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0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填报单位：__________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填报人：__________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联系电话：__________</w:t>
            </w:r>
          </w:p>
        </w:tc>
        <w:tc>
          <w:tcPr>
            <w:tcW w:w="38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填报时间：__________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5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7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主要产品</w:t>
            </w:r>
          </w:p>
        </w:tc>
        <w:tc>
          <w:tcPr>
            <w:tcW w:w="7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年产量</w:t>
            </w:r>
          </w:p>
        </w:tc>
        <w:tc>
          <w:tcPr>
            <w:tcW w:w="8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VOCs物料年用量</w:t>
            </w:r>
          </w:p>
        </w:tc>
        <w:tc>
          <w:tcPr>
            <w:tcW w:w="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涉VOCs工艺</w:t>
            </w:r>
          </w:p>
        </w:tc>
        <w:tc>
          <w:tcPr>
            <w:tcW w:w="9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设施处理工艺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设施风量</w:t>
            </w:r>
          </w:p>
        </w:tc>
        <w:tc>
          <w:tcPr>
            <w:tcW w:w="13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活性炭类型及装填量</w:t>
            </w:r>
          </w:p>
        </w:tc>
        <w:tc>
          <w:tcPr>
            <w:tcW w:w="11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存在问题</w:t>
            </w:r>
          </w:p>
        </w:tc>
        <w:tc>
          <w:tcPr>
            <w:tcW w:w="13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完成整改时间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594" w:lineRule="exact"/>
        <w:ind w:firstLine="210" w:firstLineChars="100"/>
        <w:textAlignment w:val="auto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注：存在问题填报预处理、风速控制、设施质量控制、活性炭装填控制方面的具体问题。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0" w:leftChars="-200" w:hanging="640" w:hanging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240" w:leftChars="-200" w:hanging="880" w:hanging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简易低效设施清理整治台账</w:t>
      </w:r>
    </w:p>
    <w:p>
      <w:pPr>
        <w:spacing w:line="300" w:lineRule="exac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12"/>
        <w:gridCol w:w="1559"/>
        <w:gridCol w:w="993"/>
        <w:gridCol w:w="829"/>
        <w:gridCol w:w="556"/>
        <w:gridCol w:w="1080"/>
        <w:gridCol w:w="895"/>
        <w:gridCol w:w="1136"/>
        <w:gridCol w:w="1152"/>
        <w:gridCol w:w="1200"/>
        <w:gridCol w:w="113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8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填报单位：__________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填报人：__________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联系电话：__________</w:t>
            </w:r>
          </w:p>
        </w:tc>
        <w:tc>
          <w:tcPr>
            <w:tcW w:w="35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填报时间：__________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统一社会信用代码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行业</w:t>
            </w:r>
          </w:p>
        </w:tc>
        <w:tc>
          <w:tcPr>
            <w:tcW w:w="8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主要产品</w:t>
            </w:r>
          </w:p>
        </w:tc>
        <w:tc>
          <w:tcPr>
            <w:tcW w:w="5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年产量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主要产污工艺</w:t>
            </w:r>
          </w:p>
        </w:tc>
        <w:tc>
          <w:tcPr>
            <w:tcW w:w="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原低效设施工艺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原低效设施风量</w:t>
            </w:r>
          </w:p>
        </w:tc>
        <w:tc>
          <w:tcPr>
            <w:tcW w:w="11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整改措施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新治理设施工艺</w:t>
            </w:r>
          </w:p>
        </w:tc>
        <w:tc>
          <w:tcPr>
            <w:tcW w:w="11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新治理设施风量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完成整改时间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例：xxx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xxxx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xxx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汽车配件制造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xx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稀释剂调配、调漆、喷漆、烘烤等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过滤棉+光催化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50000m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superscript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/h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改造为适宜高效设施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干式过滤+活性炭吸附脱附+催化燃烧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60000m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superscript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/h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pacing w:val="0"/>
                <w:kern w:val="2"/>
                <w:sz w:val="18"/>
                <w:szCs w:val="1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626" w:leftChars="130" w:hanging="210" w:hanging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注：1.低效设施工艺主要是光催化、光氧化、水喷淋（吸收可溶性VOCs除外）、低温等离子等低效VOCs治理设施（恶臭处理除外）。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840" w:firstLineChars="4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2.完成整改时间列，完成整改前填报预计时间。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Cs w:val="32"/>
          <w:lang w:val="en-US" w:eastAsia="zh-CN"/>
        </w:rPr>
        <w:br w:type="page"/>
      </w:r>
      <w:r>
        <w:rPr>
          <w:rFonts w:hint="default" w:ascii="Times New Roman" w:hAnsi="Times New Roman" w:eastAsia="方正黑体_GBK" w:cs="Times New Roman"/>
          <w:b w:val="0"/>
          <w:bCs w:val="0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after="0" w:afterLines="0" w:line="594" w:lineRule="exact"/>
        <w:ind w:left="240" w:leftChars="-200" w:hanging="880" w:hangingChars="20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餐饮业油烟治理台账</w:t>
      </w:r>
    </w:p>
    <w:p>
      <w:pPr>
        <w:spacing w:line="300" w:lineRule="exact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58"/>
        <w:gridCol w:w="1487"/>
        <w:gridCol w:w="1236"/>
        <w:gridCol w:w="2158"/>
        <w:gridCol w:w="847"/>
        <w:gridCol w:w="860"/>
        <w:gridCol w:w="953"/>
        <w:gridCol w:w="1097"/>
        <w:gridCol w:w="1143"/>
        <w:gridCol w:w="105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填报单位：__________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填报人：__________</w:t>
            </w: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联系电话：__________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填报时间：__________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地址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类别（中餐/火锅/面食/烧烤/其他）</w:t>
            </w: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类型（小型/中型/大型）</w:t>
            </w: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距最近敏感点（&lt;1Km/&lt;2Km/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&lt;3Km/&lt;5Km/&gt;5Km）</w:t>
            </w: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油烟净化器是否正常运行</w:t>
            </w: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油烟净化器清洗频次</w:t>
            </w: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清洗日期</w:t>
            </w: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是否建立清洗维护台账</w:t>
            </w: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存在问题及整改情况</w:t>
            </w: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是否开展抽查/抽测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抽查/抽测结果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1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8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9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210" w:firstLineChars="1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注：1.类型划分依据《餐饮业大气污染物排放标准》；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30" w:leftChars="0" w:firstLine="0" w:firstLineChars="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2.存在问题及整改情况重点排查油烟治理设施是否与排风机联动、额定处理风量是否不小于设计排放风量、排烟系统是否密封完好，净化设施及排气筒出口是否存在明显油污等问题</w:t>
      </w:r>
      <w:r>
        <w:rPr>
          <w:rFonts w:hint="eastAsia" w:eastAsia="方正仿宋_GBK" w:cs="Times New Roman"/>
          <w:b w:val="0"/>
          <w:bCs w:val="0"/>
          <w:color w:val="auto"/>
          <w:spacing w:val="0"/>
          <w:kern w:val="2"/>
          <w:sz w:val="21"/>
          <w:szCs w:val="21"/>
          <w:highlight w:val="none"/>
          <w:shd w:val="clear" w:color="auto" w:fill="FFFFFF"/>
          <w:vertAlign w:val="baseline"/>
          <w:lang w:val="en-US" w:eastAsia="zh-CN" w:bidi="ar-SA"/>
        </w:rPr>
        <w:t>。</w:t>
      </w:r>
    </w:p>
    <w:sectPr>
      <w:pgSz w:w="16838" w:h="11906" w:orient="landscape"/>
      <w:pgMar w:top="1531" w:right="1984" w:bottom="1531" w:left="1531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before="1" w:line="187" w:lineRule="auto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3DD93"/>
    <w:multiLevelType w:val="singleLevel"/>
    <w:tmpl w:val="85E3DD93"/>
    <w:lvl w:ilvl="0" w:tentative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CC28B779"/>
    <w:multiLevelType w:val="singleLevel"/>
    <w:tmpl w:val="CC28B77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D4D5F87"/>
    <w:multiLevelType w:val="singleLevel"/>
    <w:tmpl w:val="CD4D5F87"/>
    <w:lvl w:ilvl="0" w:tentative="0">
      <w:start w:val="3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zM5Yjc3ZjM3MWFmMzIxNmVkMDBiNTQzYTVhYWYifQ=="/>
    <w:docVar w:name="KSO_WPS_MARK_KEY" w:val="12a74e97-ebbf-4b63-b272-e94852dfceee"/>
  </w:docVars>
  <w:rsids>
    <w:rsidRoot w:val="7FA75243"/>
    <w:rsid w:val="00493B0C"/>
    <w:rsid w:val="00BF4679"/>
    <w:rsid w:val="023870D5"/>
    <w:rsid w:val="03BC5198"/>
    <w:rsid w:val="06FC4B75"/>
    <w:rsid w:val="07FB307F"/>
    <w:rsid w:val="08071A24"/>
    <w:rsid w:val="091F0FEF"/>
    <w:rsid w:val="0C1F4E62"/>
    <w:rsid w:val="0C9B273A"/>
    <w:rsid w:val="0CA55D88"/>
    <w:rsid w:val="0D2B37D1"/>
    <w:rsid w:val="0E0F1632"/>
    <w:rsid w:val="0E6D2C73"/>
    <w:rsid w:val="0E950445"/>
    <w:rsid w:val="10341E1C"/>
    <w:rsid w:val="110F7B9B"/>
    <w:rsid w:val="11287772"/>
    <w:rsid w:val="11324232"/>
    <w:rsid w:val="13896FED"/>
    <w:rsid w:val="14F50E56"/>
    <w:rsid w:val="15585A12"/>
    <w:rsid w:val="15681628"/>
    <w:rsid w:val="159643E7"/>
    <w:rsid w:val="160038F0"/>
    <w:rsid w:val="165431D1"/>
    <w:rsid w:val="16770DE7"/>
    <w:rsid w:val="16946B78"/>
    <w:rsid w:val="177D585E"/>
    <w:rsid w:val="17CF1E32"/>
    <w:rsid w:val="19AC41D9"/>
    <w:rsid w:val="19C06BAC"/>
    <w:rsid w:val="1AC36030"/>
    <w:rsid w:val="1E88576B"/>
    <w:rsid w:val="1F7237CF"/>
    <w:rsid w:val="1FC61926"/>
    <w:rsid w:val="1FF74DE4"/>
    <w:rsid w:val="20FF72E4"/>
    <w:rsid w:val="22CA169B"/>
    <w:rsid w:val="246606CF"/>
    <w:rsid w:val="25184E18"/>
    <w:rsid w:val="25FD64CE"/>
    <w:rsid w:val="26A052BD"/>
    <w:rsid w:val="26EE087F"/>
    <w:rsid w:val="285553AD"/>
    <w:rsid w:val="289767A1"/>
    <w:rsid w:val="28D16D56"/>
    <w:rsid w:val="29932CBF"/>
    <w:rsid w:val="2A420242"/>
    <w:rsid w:val="2A695D49"/>
    <w:rsid w:val="2AFF25E0"/>
    <w:rsid w:val="2B205A4D"/>
    <w:rsid w:val="2C5B4C5A"/>
    <w:rsid w:val="2D2F71A3"/>
    <w:rsid w:val="2D6A17E2"/>
    <w:rsid w:val="2D726F4E"/>
    <w:rsid w:val="2DA76D39"/>
    <w:rsid w:val="2E0917A2"/>
    <w:rsid w:val="2F6B0A20"/>
    <w:rsid w:val="30607673"/>
    <w:rsid w:val="30BB2AFC"/>
    <w:rsid w:val="311047EE"/>
    <w:rsid w:val="33150BE9"/>
    <w:rsid w:val="34FC399A"/>
    <w:rsid w:val="35317B29"/>
    <w:rsid w:val="35456F50"/>
    <w:rsid w:val="35F5260C"/>
    <w:rsid w:val="3680281D"/>
    <w:rsid w:val="373F762E"/>
    <w:rsid w:val="3769147A"/>
    <w:rsid w:val="38FB262F"/>
    <w:rsid w:val="3905525C"/>
    <w:rsid w:val="3BB0163E"/>
    <w:rsid w:val="3C680937"/>
    <w:rsid w:val="3C7C4513"/>
    <w:rsid w:val="3D127F47"/>
    <w:rsid w:val="3D5223D3"/>
    <w:rsid w:val="3EC62D97"/>
    <w:rsid w:val="3F402B4A"/>
    <w:rsid w:val="3F484701"/>
    <w:rsid w:val="40BC26A4"/>
    <w:rsid w:val="42246753"/>
    <w:rsid w:val="45F96148"/>
    <w:rsid w:val="46E45151"/>
    <w:rsid w:val="4759298F"/>
    <w:rsid w:val="48480CC1"/>
    <w:rsid w:val="4A45195C"/>
    <w:rsid w:val="4A6D33ED"/>
    <w:rsid w:val="4B5D7F81"/>
    <w:rsid w:val="4BE156B5"/>
    <w:rsid w:val="4C6836E0"/>
    <w:rsid w:val="4CEC60BF"/>
    <w:rsid w:val="4D0B7961"/>
    <w:rsid w:val="4DAD1CF2"/>
    <w:rsid w:val="4DC71966"/>
    <w:rsid w:val="4EFA0F67"/>
    <w:rsid w:val="4F9D6A43"/>
    <w:rsid w:val="50395ABF"/>
    <w:rsid w:val="50AC6DE3"/>
    <w:rsid w:val="516E1798"/>
    <w:rsid w:val="52E87329"/>
    <w:rsid w:val="54680721"/>
    <w:rsid w:val="54FC530D"/>
    <w:rsid w:val="554A09E5"/>
    <w:rsid w:val="556C2493"/>
    <w:rsid w:val="56E944F1"/>
    <w:rsid w:val="5746661C"/>
    <w:rsid w:val="58E67D01"/>
    <w:rsid w:val="59372DB8"/>
    <w:rsid w:val="59B653BD"/>
    <w:rsid w:val="5A0709DC"/>
    <w:rsid w:val="5A4412E8"/>
    <w:rsid w:val="5B154BEA"/>
    <w:rsid w:val="5C5B11B0"/>
    <w:rsid w:val="5D0A10BC"/>
    <w:rsid w:val="5E3033B1"/>
    <w:rsid w:val="5E79177D"/>
    <w:rsid w:val="5E873E9A"/>
    <w:rsid w:val="5FAB3156"/>
    <w:rsid w:val="60013A92"/>
    <w:rsid w:val="607E12CC"/>
    <w:rsid w:val="629A2C88"/>
    <w:rsid w:val="63DF5F8B"/>
    <w:rsid w:val="64A137DB"/>
    <w:rsid w:val="64EA5182"/>
    <w:rsid w:val="65181CEF"/>
    <w:rsid w:val="65D05307"/>
    <w:rsid w:val="65D62B44"/>
    <w:rsid w:val="65EC0A86"/>
    <w:rsid w:val="66202B8F"/>
    <w:rsid w:val="673B3A73"/>
    <w:rsid w:val="6779459B"/>
    <w:rsid w:val="68624D28"/>
    <w:rsid w:val="6893478B"/>
    <w:rsid w:val="6AFA59F3"/>
    <w:rsid w:val="6D405751"/>
    <w:rsid w:val="6D895BE1"/>
    <w:rsid w:val="6ED053E9"/>
    <w:rsid w:val="70741DA4"/>
    <w:rsid w:val="71EF3DD8"/>
    <w:rsid w:val="724027E8"/>
    <w:rsid w:val="73357F10"/>
    <w:rsid w:val="73B9469D"/>
    <w:rsid w:val="73C979D4"/>
    <w:rsid w:val="757401AE"/>
    <w:rsid w:val="763D108C"/>
    <w:rsid w:val="770E4D00"/>
    <w:rsid w:val="77274014"/>
    <w:rsid w:val="77822286"/>
    <w:rsid w:val="77E837A3"/>
    <w:rsid w:val="79164340"/>
    <w:rsid w:val="7A9F250B"/>
    <w:rsid w:val="7BD57CCF"/>
    <w:rsid w:val="7DFC0F92"/>
    <w:rsid w:val="7F927D97"/>
    <w:rsid w:val="7FA75243"/>
    <w:rsid w:val="7FC93EBA"/>
    <w:rsid w:val="CFB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5">
    <w:name w:val="heading 4"/>
    <w:basedOn w:val="1"/>
    <w:next w:val="1"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规范标题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FFFFFF"/>
      <w:spacing w:line="594" w:lineRule="exact"/>
      <w:jc w:val="center"/>
    </w:pPr>
    <w:rPr>
      <w:rFonts w:hint="eastAsia" w:ascii="Times New Roman" w:hAnsi="Times New Roman" w:eastAsia="方正小标宋_GBK" w:cs="方正小标宋_GBK"/>
      <w:b/>
      <w:color w:val="000000"/>
      <w:kern w:val="0"/>
      <w:sz w:val="44"/>
      <w:szCs w:val="44"/>
      <w:shd w:val="clear" w:color="auto" w:fill="FFFFFF"/>
      <w:lang w:bidi="ar"/>
    </w:rPr>
  </w:style>
  <w:style w:type="paragraph" w:customStyle="1" w:styleId="14">
    <w:name w:val="Normal Indent1"/>
    <w:basedOn w:val="1"/>
    <w:qFormat/>
    <w:uiPriority w:val="0"/>
    <w:pPr>
      <w:overflowPunct w:val="0"/>
      <w:autoSpaceDE w:val="0"/>
      <w:autoSpaceDN w:val="0"/>
      <w:spacing w:line="594" w:lineRule="exact"/>
      <w:ind w:firstLine="420" w:firstLineChars="200"/>
    </w:pPr>
    <w:rPr>
      <w:rFonts w:ascii="Calibri" w:hAnsi="Calibri" w:eastAsia="宋体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3523</Words>
  <Characters>3942</Characters>
  <Lines>0</Lines>
  <Paragraphs>0</Paragraphs>
  <TotalTime>2</TotalTime>
  <ScaleCrop>false</ScaleCrop>
  <LinksUpToDate>false</LinksUpToDate>
  <CharactersWithSpaces>3972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2023-03-31T09:10:00Z</dcterms:created>
  <dc:creator>localroot</dc:creator>
  <cp:lastModifiedBy>桑栽阡陌</cp:lastModifiedBy>
  <cp:lastPrinted>2023-04-21T02:23:00Z</cp:lastPrinted>
  <dcterms:modified xsi:type="dcterms:W3CDTF">2023-04-21T08:14:15Z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06B99DF54F1143349B0465378408D7E5_13</vt:lpwstr>
  </property>
</Properties>
</file>