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垫江县周嘉镇人民政府</w:t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关于印发《</w:t>
      </w:r>
      <w:r>
        <w:rPr>
          <w:rFonts w:hint="default"/>
        </w:rPr>
        <w:t>2023年</w:t>
      </w:r>
      <w:r>
        <w:rPr>
          <w:rFonts w:hint="default"/>
          <w:lang w:eastAsia="zh-CN"/>
        </w:rPr>
        <w:t>周嘉镇</w:t>
      </w:r>
      <w:r>
        <w:rPr>
          <w:rFonts w:hint="default"/>
          <w:lang w:val="en-US" w:eastAsia="zh-CN"/>
        </w:rPr>
        <w:t>夏秋</w:t>
      </w:r>
      <w:r>
        <w:rPr>
          <w:rFonts w:hint="default"/>
        </w:rPr>
        <w:t>季</w:t>
      </w:r>
      <w:r>
        <w:rPr>
          <w:rFonts w:hint="default"/>
          <w:lang w:val="en-US" w:eastAsia="zh-CN"/>
        </w:rPr>
        <w:t>臭氧</w:t>
      </w:r>
      <w:r>
        <w:rPr>
          <w:rFonts w:hint="default"/>
        </w:rPr>
        <w:t>污染防治攻坚</w:t>
      </w:r>
      <w:r>
        <w:rPr>
          <w:rFonts w:hint="default"/>
          <w:lang w:val="en-US" w:eastAsia="zh-CN"/>
        </w:rPr>
        <w:t>工</w:t>
      </w:r>
      <w:r>
        <w:rPr>
          <w:rFonts w:hint="default"/>
        </w:rPr>
        <w:t>作方案</w:t>
      </w:r>
      <w:r>
        <w:rPr>
          <w:rFonts w:hint="default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kern w:val="24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垫周嘉府发〔2023〕45号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各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村（社区）、相关企业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按照党中央、国务院关于深入打好污染防治攻坚战的决策部署和市委、市政府工作要求</w:t>
      </w:r>
      <w:r>
        <w:rPr>
          <w:rFonts w:hint="default" w:ascii="Times New Roman" w:hAnsi="Times New Roman" w:eastAsia="方正仿宋_GBK" w:cs="Times New Roman"/>
          <w:kern w:val="24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24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kern w:val="24"/>
          <w:szCs w:val="32"/>
          <w:lang w:eastAsia="zh-CN"/>
        </w:rPr>
        <w:t>《垫江县生态环境委员会办公室关于印发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kern w:val="24"/>
          <w:szCs w:val="32"/>
          <w:lang w:eastAsia="zh-CN"/>
        </w:rPr>
        <w:t>2023年垫江县夏秋季臭氧污染防治攻坚工作方案</w:t>
      </w:r>
      <w:r>
        <w:rPr>
          <w:rFonts w:hint="default" w:ascii="Times New Roman" w:hAnsi="Times New Roman" w:eastAsia="方正仿宋_GBK" w:cs="Times New Roman"/>
          <w:kern w:val="24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kern w:val="24"/>
          <w:szCs w:val="32"/>
          <w:lang w:eastAsia="zh-CN"/>
        </w:rPr>
        <w:t>的通知精神</w:t>
      </w:r>
      <w:r>
        <w:rPr>
          <w:rFonts w:hint="default" w:ascii="Times New Roman" w:hAnsi="Times New Roman" w:eastAsia="方正仿宋_GBK" w:cs="Times New Roman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24"/>
          <w:szCs w:val="32"/>
          <w:lang w:val="en-US" w:eastAsia="zh-CN"/>
        </w:rPr>
        <w:t>聚焦2023年夏秋季臭氧污染，</w:t>
      </w:r>
      <w:r>
        <w:rPr>
          <w:rFonts w:hint="default" w:ascii="Times New Roman" w:hAnsi="Times New Roman" w:eastAsia="方正仿宋_GBK" w:cs="Times New Roman"/>
          <w:szCs w:val="32"/>
        </w:rPr>
        <w:t>推进挥发性有机物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VOCs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Cs w:val="32"/>
        </w:rPr>
        <w:t>和氮氧化物协同减排，</w:t>
      </w:r>
      <w:r>
        <w:rPr>
          <w:rFonts w:hint="default" w:ascii="Times New Roman" w:hAnsi="Times New Roman" w:eastAsia="方正仿宋_GBK" w:cs="Times New Roman"/>
          <w:kern w:val="24"/>
          <w:szCs w:val="32"/>
          <w:lang w:val="en-US" w:eastAsia="zh-CN"/>
        </w:rPr>
        <w:t>力争</w:t>
      </w:r>
      <w:r>
        <w:rPr>
          <w:rFonts w:hint="default" w:ascii="Times New Roman" w:hAnsi="Times New Roman" w:eastAsia="方正仿宋_GBK" w:cs="Times New Roman"/>
          <w:kern w:val="24"/>
          <w:szCs w:val="32"/>
        </w:rPr>
        <w:t>完成</w:t>
      </w:r>
      <w:r>
        <w:rPr>
          <w:rFonts w:hint="default" w:ascii="Times New Roman" w:hAnsi="Times New Roman" w:eastAsia="方正仿宋_GBK" w:cs="Times New Roman"/>
          <w:kern w:val="24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_GBK" w:cs="Times New Roman"/>
          <w:kern w:val="24"/>
          <w:szCs w:val="32"/>
        </w:rPr>
        <w:t>目标任务</w:t>
      </w:r>
      <w:r>
        <w:rPr>
          <w:rFonts w:hint="default" w:ascii="Times New Roman" w:hAnsi="Times New Roman" w:eastAsia="方正仿宋_GBK" w:cs="Times New Roman"/>
          <w:szCs w:val="32"/>
        </w:rPr>
        <w:t>，持续改善空气质量，制定本方案。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一、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攻坚</w:t>
      </w:r>
      <w:r>
        <w:rPr>
          <w:rFonts w:hint="default" w:ascii="Times New Roman" w:hAnsi="Times New Roman" w:eastAsia="方正黑体_GBK" w:cs="Times New Roman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力争202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年夏秋季臭氧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零污染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完成县级下达的臭氧污染防治攻坚战考核指标。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二、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攻坚范围及</w:t>
      </w:r>
      <w:r>
        <w:rPr>
          <w:rFonts w:hint="default" w:ascii="Times New Roman" w:hAnsi="Times New Roman" w:eastAsia="方正黑体_GBK" w:cs="Times New Roman"/>
          <w:szCs w:val="32"/>
        </w:rPr>
        <w:t>时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攻坚范围：全镇所辖相关企业。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攻坚时段：</w:t>
      </w: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Cs w:val="32"/>
        </w:rPr>
        <w:t>日—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Cs w:val="32"/>
        </w:rPr>
        <w:t>月30日。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  <w:t>攻坚思路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聚焦夏秋季臭氧污染，全力争抢优良天，努力降低臭氧浓度。坚持问题导向、目标导向、结果导向，以挥发性有机物和氮氧化物协同减排为重点，实施活性炭治理设施专项整治、治理设施的提升、餐饮油烟专项治理专项行动，强化日常监管和污染应急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四、全力开展专项行动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4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（一）开展活性炭治理设施专项整治行动。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1.镇规建环保办、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经发办、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相关企业应以工业涂装、家具制造、木制业、有机聚合物制品、人造板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行业为排查重点，4月15日前建立活性炭治理设施清单（附件2），包括单一活性炭处理工艺设施和活性炭为主要、次要处理工艺设施等类型，做到涉活性炭治理设施应纳尽纳。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2.镇规建环保办、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经发办、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相关企业应以未设置预处理工艺、设施风量不匹配以及活性炭填装量不足、更换不及时、以次充好等问题为重点，6月20日前按照相关要求（附件1）完成一轮整治并报送整治台账（附件3），基本实现活性炭VOCs治理设施合理设计、管理规范以及活性炭质量合格、足量添加、及时更换、妥善处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64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开展治理设施提升行动。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提升治理设施去除率。镇规建环保办、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经发办、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相关企业加强开展单一光催化、光氧化、水喷淋（吸收可溶性VOCs除外）、低温等离子等低效VOCs治理设施（恶臭处理除外）排查，4月15日前完成排查并建立整治清单。以升级改造为组合工艺、适宜高效治理设施或取消含VOCs物料使用环节等方式开展整治，6月20日前基本完成并报送整治台账（附件4），9月15日前全面完成整治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提升治理设施运行效率。规范企业治理设施运维、检修操作规程，治理设施吸附剂、吸收剂、催化剂等应按设计规范要求定期更换和利用处置，提升VOCs排查发现问题率和整改完成率。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48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开展餐饮油烟专项治理行动。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镇规建环保办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、经发办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督促辖区内餐饮业业主于4月30日前完成1次油烟净化设施清洗和检修，并定期（至少每月1次）维护保养，确保油烟治理设施运转正常。督促餐饮单位建立油烟净化设施运维台账，对清洗、维护、运转状态等进行记录。镇规建环保办参照附件5建立辖区内餐饮业油烟治理台账并动态更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Cs w:val="32"/>
        </w:rPr>
        <w:t>（一）加强组织领导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明确攻坚目标，围绕突出问题、突出点位分解任务，并针对臭氧防控重点、难点问题，抓好落实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。各相关企业攻坚期间定期报送各项任务开展情况相关材料，镇规建环保办按照时间</w:t>
      </w:r>
      <w:r>
        <w:rPr>
          <w:rFonts w:hint="eastAsia" w:eastAsia="方正仿宋_GBK" w:cs="Times New Roman"/>
          <w:szCs w:val="32"/>
          <w:lang w:val="en-US" w:eastAsia="zh-CN"/>
        </w:rPr>
        <w:t>节点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上报县生态环境局。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Cs w:val="32"/>
        </w:rPr>
        <w:t>（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szCs w:val="32"/>
        </w:rPr>
        <w:t>）加强宣传引导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广泛开展臭氧污染防治科普宣传，引导企业主动做好节能减排和错峰生产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</w:rPr>
        <w:t>引导公众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绿色</w:t>
      </w:r>
      <w:r>
        <w:rPr>
          <w:rFonts w:hint="default" w:ascii="Times New Roman" w:hAnsi="Times New Roman" w:eastAsia="方正仿宋_GBK" w:cs="Times New Roman"/>
          <w:szCs w:val="32"/>
        </w:rPr>
        <w:t>低碳生活、文明消费，提倡绿色出行、节能节材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Cs w:val="32"/>
        </w:rPr>
        <w:t>（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zCs w:val="32"/>
        </w:rPr>
        <w:t>）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Cs w:val="32"/>
          <w:lang w:val="en-US" w:eastAsia="zh-CN"/>
        </w:rPr>
        <w:t>相关企业请按时上报相关整治台账报表至镇规建环保办（镇政府3010办公室）</w:t>
      </w:r>
      <w:r>
        <w:rPr>
          <w:rFonts w:hint="default" w:ascii="Times New Roman" w:hAnsi="Times New Roman" w:eastAsia="方正仿宋_GBK" w:cs="Times New Roman"/>
          <w:color w:val="auto"/>
          <w:spacing w:val="0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pacing w:val="0"/>
          <w:szCs w:val="32"/>
          <w:lang w:val="en-US" w:eastAsia="zh-CN"/>
        </w:rPr>
        <w:t>黄先斌，</w:t>
      </w:r>
      <w:r>
        <w:rPr>
          <w:rFonts w:hint="default" w:ascii="Times New Roman" w:hAnsi="Times New Roman" w:eastAsia="方正仿宋_GBK" w:cs="Times New Roman"/>
          <w:color w:val="auto"/>
          <w:spacing w:val="0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Cs w:val="32"/>
          <w:lang w:val="en-US" w:eastAsia="zh-CN"/>
        </w:rPr>
        <w:t>13372784706</w:t>
      </w:r>
      <w:r>
        <w:rPr>
          <w:rFonts w:hint="default" w:ascii="Times New Roman" w:hAnsi="Times New Roman" w:eastAsia="方正仿宋_GBK" w:cs="Times New Roman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960" w:firstLineChars="3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附件：1.</w:t>
      </w:r>
      <w:r>
        <w:rPr>
          <w:rFonts w:hint="default" w:ascii="Times New Roman" w:hAnsi="Times New Roman" w:eastAsia="方正仿宋_GBK" w:cs="Times New Roman"/>
          <w:lang w:val="en-US" w:eastAsia="zh-CN"/>
        </w:rPr>
        <w:t>活性炭治理设施专项整治相关要求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1600" w:leftChars="500" w:firstLine="32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活性炭治理设施清单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1600" w:leftChars="500" w:firstLine="320" w:firstLineChars="1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活性炭治理设施专项整治台账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600" w:leftChars="500" w:firstLine="32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简易低效设施清理整治台账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5.餐饮业油烟治理台账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垫江县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周嘉镇人民政府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2023年4月12日</w:t>
      </w: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  <w:t>附件1</w:t>
      </w: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活性炭治理设施专项整治相关要求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活性炭治理设施应设计合理、管理规范，填装活性炭应质量合格、足量添加、及时更换，废活性炭应妥善处置，相关要求应符合《重点行业挥发性有机物综合治理方案》（环大气〔2019〕53号）、《2020年挥发性有机物治理攻坚方案》（环大气〔2020〕33号）、《关于加快解决当前挥发性有机物治理突出问题的通知》（环大气〔2021〕65号）、《吸附法工业有机废气治理工程技术规范》(HJ 2026—2013)等标准、政策文件要求。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24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pacing w:val="-1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spacing w:val="-18"/>
          <w:sz w:val="32"/>
          <w:szCs w:val="32"/>
          <w:lang w:val="en-US" w:eastAsia="zh-CN"/>
        </w:rPr>
        <w:t>废气预处理要求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喷涂等工艺产生含颗粒物的VOCs废气的，宜在活性炭吸附前端设置颗粒物捕集装置。进入吸附设备的废气颗粒物含量和温度分别低于1mg/m³和40℃，保障活性炭在低颗粒物、低含水率和适宜温度条件下使用。应将定期更换过滤材料相关内容纳入操作规程。活性炭对酸性废气吸附效果较差，且酸性气体易对设备本体造成腐蚀，应先采用洗涤进行预处理。采用洗涤进行预处理的，应采取措施保障进入吸附环节的废气湿度为70%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三、设施风速控制要求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相关工程技术规范设计净化工艺和设备，使废气在吸附装置中有足够的停留时间。涉VOCs排放工序应在密闭空间中操作或采用全密闭集气罩收集，无法密闭采用局部集气罩的，应根据废气排放特点合理选择收集点位，按《排风罩的分类和技术条件》(GB/T16758)规定，设置能有效收集废气的集气罩，距集气罩开口面最远处的VOCs无组织排放位置，控制风速不低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0.3m/s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活性炭吸附装置风机应满足依据车间集气罩形状、大小数量及控制风速等测算的风量所需，达不到要求的通过更换大功率风机、增设烟道风机、增加垂帘等方式进行改造。鼓励企业自备风速仪，用以测定集气罩及吸附床风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活性炭应装填齐整，避免气流短路。采用颗粒活性炭时，气体流速宜低于0.60m/s；采用活性炭纤维时，气体流速宜低于0.15m/s；采用蜂窝活性炭时，气体流速宜低于1.20m/s。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四、设施质量控制要求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吸附装置内部结构应设计合理，气体流通顺畅、无短路、无死角。吸附装置及配套管道应密闭，主风机宜安装在吸附装置后端，使装置形成负压，泄漏检测值不应超过500umol/mol，亦不应有感官可察觉泄漏。应按规范设置采样口，便于监督监测和日常监控活性炭吸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鼓励企业自备VOCs快速监测设备和压差计。压差计用以测定经过吸附装置的气流压降，从而确定活性炭、过滤棉是否需要更换。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8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pacing w:val="-1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8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活性炭装填控制要求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颗粒活性炭碘吸附值≥800mg/g；蜂窝活性炭碘吸附值≥650mg/g；活性炭纤维比表面积应不低于1100m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/g（BET法）。企业应备好所购活性炭厂家关于活性炭碘吸附值、比表面积等相关检测报告等证明材料。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应考虑VOCs产生量等因素科学合理确定活性炭装填量及更换周期，并在操作规程中予以载明。采用一次性颗粒状活性炭处理VOCs 废气，年活性炭使用量宜不应低于VOCs 产生量的5倍，即1吨VOCs 产生量，需5吨活性炭用于吸附。采取组合工艺的，光催化、光氧化、水喷淋（吸收可溶性VOCs除外）、低温等离子等低效治理工艺以去除率不超过10%计算活性炭装填量。排气浓度不满足设计或排放要求时，需及时更换活性炭。活性炭更换周期宜不超过累计运行500小时或3个月，更换周期依据生态环境部大气环境司编写的《挥发性有机物治理实用手册（第二版）》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建立活性炭全过程管理台账，购入记录和质量规格应附发票、检测报告等关键支撑材料；应准确、及时填写更换记录并保存；废旧活性炭妥善贮存，贮存过程中产生的VOCs接入处理设施，将废旧活性炭交有资质的单位处理处置，在设施运维台账中记录更换时间和使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984" w:right="1531" w:bottom="1531" w:left="1531" w:header="851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type="lines" w:linePitch="440" w:charSpace="0"/>
        </w:sect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企业应保障设施设备及操作人员安全，防止发生安全生产事故。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0" w:leftChars="-200" w:hanging="640" w:hanging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  <w:t>附件2</w:t>
      </w: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活性炭治理设施清单</w:t>
      </w:r>
    </w:p>
    <w:p>
      <w:pPr>
        <w:spacing w:line="300" w:lineRule="exact"/>
        <w:rPr>
          <w:rFonts w:hint="default" w:ascii="Times New Roman" w:hAnsi="Times New Roman" w:eastAsia="黑体" w:cs="Times New Roman"/>
          <w:b/>
          <w:bCs/>
          <w:sz w:val="33"/>
          <w:szCs w:val="33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352"/>
        <w:gridCol w:w="2223"/>
        <w:gridCol w:w="710"/>
        <w:gridCol w:w="2645"/>
        <w:gridCol w:w="3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填报单位：__________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填报人：__________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联系电话：__________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填报时间：__________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企业地址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行业类型</w:t>
            </w: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设施处理工艺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0" w:leftChars="-200" w:hanging="640" w:hanging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活性炭治理设施专项整治台账</w:t>
      </w:r>
    </w:p>
    <w:p>
      <w:pPr>
        <w:spacing w:line="300" w:lineRule="exact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12"/>
        <w:gridCol w:w="2084"/>
        <w:gridCol w:w="577"/>
        <w:gridCol w:w="720"/>
        <w:gridCol w:w="753"/>
        <w:gridCol w:w="883"/>
        <w:gridCol w:w="895"/>
        <w:gridCol w:w="986"/>
        <w:gridCol w:w="764"/>
        <w:gridCol w:w="1328"/>
        <w:gridCol w:w="118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填报单位：__________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填报人：__________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联系电话：__________</w:t>
            </w:r>
          </w:p>
        </w:tc>
        <w:tc>
          <w:tcPr>
            <w:tcW w:w="38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填报时间：__________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11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20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5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行业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主要产品</w:t>
            </w:r>
          </w:p>
        </w:tc>
        <w:tc>
          <w:tcPr>
            <w:tcW w:w="7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年产量</w:t>
            </w:r>
          </w:p>
        </w:tc>
        <w:tc>
          <w:tcPr>
            <w:tcW w:w="8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VOCs物料年用量</w:t>
            </w:r>
          </w:p>
        </w:tc>
        <w:tc>
          <w:tcPr>
            <w:tcW w:w="8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涉VOCs工艺</w:t>
            </w:r>
          </w:p>
        </w:tc>
        <w:tc>
          <w:tcPr>
            <w:tcW w:w="9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设施处理工艺</w:t>
            </w:r>
          </w:p>
        </w:tc>
        <w:tc>
          <w:tcPr>
            <w:tcW w:w="7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设施风量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活性炭类型及装填量</w:t>
            </w:r>
          </w:p>
        </w:tc>
        <w:tc>
          <w:tcPr>
            <w:tcW w:w="11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存在问题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完成整改时间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94" w:lineRule="exact"/>
        <w:ind w:firstLine="210" w:firstLineChars="100"/>
        <w:textAlignment w:val="auto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21"/>
          <w:szCs w:val="21"/>
          <w:highlight w:val="none"/>
          <w:shd w:val="clear" w:color="auto" w:fill="FFFFFF"/>
          <w:vertAlign w:val="baseline"/>
          <w:lang w:val="en-US" w:eastAsia="zh-CN" w:bidi="ar-SA"/>
        </w:rPr>
        <w:t>注：存在问题填报预处理、风速控制、设施质量控制、活性炭装填控制方面的具体问题。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0" w:leftChars="-200" w:hanging="640" w:hanging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240" w:leftChars="-200" w:hanging="880" w:hangingChars="20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简易低效设施清理整治台账</w:t>
      </w:r>
    </w:p>
    <w:p>
      <w:pPr>
        <w:spacing w:line="300" w:lineRule="exact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12"/>
        <w:gridCol w:w="1559"/>
        <w:gridCol w:w="993"/>
        <w:gridCol w:w="829"/>
        <w:gridCol w:w="556"/>
        <w:gridCol w:w="1080"/>
        <w:gridCol w:w="895"/>
        <w:gridCol w:w="1136"/>
        <w:gridCol w:w="1152"/>
        <w:gridCol w:w="1200"/>
        <w:gridCol w:w="113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87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填报单位：__________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填报人：__________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联系电话：__________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填报时间：__________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11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9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行业</w:t>
            </w:r>
          </w:p>
        </w:tc>
        <w:tc>
          <w:tcPr>
            <w:tcW w:w="8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主要产品</w:t>
            </w:r>
          </w:p>
        </w:tc>
        <w:tc>
          <w:tcPr>
            <w:tcW w:w="5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年产量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主要产污工艺</w:t>
            </w:r>
          </w:p>
        </w:tc>
        <w:tc>
          <w:tcPr>
            <w:tcW w:w="8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原低效设施工艺</w:t>
            </w:r>
          </w:p>
        </w:tc>
        <w:tc>
          <w:tcPr>
            <w:tcW w:w="11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原低效设施风量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整改措施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新治理设施工艺</w:t>
            </w:r>
          </w:p>
        </w:tc>
        <w:tc>
          <w:tcPr>
            <w:tcW w:w="11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新治理设施风量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完成整改时间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例：xxx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xxxx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xxx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汽车配件制造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xx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xx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稀释剂调配、调漆、喷漆、烘烤等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过滤棉+光催化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50000m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/h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改造为适宜高效设施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干式过滤+活性炭吸附脱附+催化燃烧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60000m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/h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626" w:leftChars="130" w:hanging="210" w:hangingChars="1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21"/>
          <w:szCs w:val="21"/>
          <w:highlight w:val="none"/>
          <w:shd w:val="clear" w:color="auto" w:fill="FFFFFF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21"/>
          <w:szCs w:val="21"/>
          <w:highlight w:val="none"/>
          <w:shd w:val="clear" w:color="auto" w:fill="FFFFFF"/>
          <w:vertAlign w:val="baseline"/>
          <w:lang w:val="en-US" w:eastAsia="zh-CN" w:bidi="ar-SA"/>
        </w:rPr>
        <w:t>注：1.低效设施工艺主要是光催化、光氧化、水喷淋（吸收可溶性VOCs除外）、低温等离子等低效VOCs治理设施（恶臭处理除外）。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840" w:firstLineChars="4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21"/>
          <w:szCs w:val="21"/>
          <w:highlight w:val="none"/>
          <w:shd w:val="clear" w:color="auto" w:fill="FFFFFF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21"/>
          <w:szCs w:val="21"/>
          <w:highlight w:val="none"/>
          <w:shd w:val="clear" w:color="auto" w:fill="FFFFFF"/>
          <w:vertAlign w:val="baseline"/>
          <w:lang w:val="en-US" w:eastAsia="zh-CN" w:bidi="ar-SA"/>
        </w:rPr>
        <w:t>2.完成整改时间列，完成整改前填报预计时间。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br w:type="page"/>
      </w:r>
      <w:r>
        <w:rPr>
          <w:rFonts w:hint="default" w:ascii="Times New Roman" w:hAnsi="Times New Roman" w:eastAsia="方正黑体_GBK" w:cs="Times New Roman"/>
          <w:b w:val="0"/>
          <w:bCs w:val="0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240" w:leftChars="-200" w:hanging="880" w:hangingChars="20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餐饮业油烟治理台账</w:t>
      </w:r>
    </w:p>
    <w:p>
      <w:pPr>
        <w:spacing w:line="300" w:lineRule="exact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58"/>
        <w:gridCol w:w="1487"/>
        <w:gridCol w:w="1236"/>
        <w:gridCol w:w="2158"/>
        <w:gridCol w:w="847"/>
        <w:gridCol w:w="860"/>
        <w:gridCol w:w="953"/>
        <w:gridCol w:w="1097"/>
        <w:gridCol w:w="1143"/>
        <w:gridCol w:w="105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填报单位：__________</w:t>
            </w: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填报人：__________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联系电话：__________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填报时间：__________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0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类别（中餐/火锅/面食/烧烤/其他）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类型（小型/中型/大型）</w:t>
            </w:r>
          </w:p>
        </w:tc>
        <w:tc>
          <w:tcPr>
            <w:tcW w:w="21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距最近敏感点（&lt;1Km/&lt;2Km/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&lt;3Km/&lt;5Km/&gt;5Km）</w:t>
            </w: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油烟净化器是否正常运行</w:t>
            </w: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油烟净化器清洗频次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清洗日期</w:t>
            </w:r>
          </w:p>
        </w:tc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是否建立清洗维护台账</w:t>
            </w: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存在问题及整改情况</w:t>
            </w: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是否开展抽查/抽测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抽查/抽测结果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210" w:firstLineChars="1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21"/>
          <w:szCs w:val="21"/>
          <w:highlight w:val="none"/>
          <w:shd w:val="clear" w:color="auto" w:fill="FFFFFF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21"/>
          <w:szCs w:val="21"/>
          <w:highlight w:val="none"/>
          <w:shd w:val="clear" w:color="auto" w:fill="FFFFFF"/>
          <w:vertAlign w:val="baseline"/>
          <w:lang w:val="en-US" w:eastAsia="zh-CN" w:bidi="ar-SA"/>
        </w:rPr>
        <w:t>注：1.类型划分依据《餐饮业大气污染物排放标准》；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leftChars="0" w:firstLine="0" w:firstLineChars="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21"/>
          <w:szCs w:val="21"/>
          <w:highlight w:val="none"/>
          <w:shd w:val="clear" w:color="auto" w:fill="FFFFFF"/>
          <w:vertAlign w:val="baseline"/>
          <w:lang w:val="en-US" w:eastAsia="zh-CN" w:bidi="ar-SA"/>
        </w:rPr>
        <w:t>2.存在问题及整改情况重点排查油烟治理设施是否与排风机联动、额定处理风量是否不小于设计排放风量、排烟系统是否密封完好，净化设施及排气筒出口是否存在明显油污等问题</w:t>
      </w:r>
      <w:r>
        <w:rPr>
          <w:rFonts w:hint="eastAsia" w:eastAsia="方正仿宋_GBK" w:cs="Times New Roman"/>
          <w:b w:val="0"/>
          <w:bCs w:val="0"/>
          <w:color w:val="auto"/>
          <w:spacing w:val="0"/>
          <w:kern w:val="2"/>
          <w:sz w:val="21"/>
          <w:szCs w:val="21"/>
          <w:highlight w:val="none"/>
          <w:shd w:val="clear" w:color="auto" w:fill="FFFFFF"/>
          <w:vertAlign w:val="baseline"/>
          <w:lang w:val="en-US" w:eastAsia="zh-CN" w:bidi="ar-SA"/>
        </w:rPr>
        <w:t>。</w:t>
      </w:r>
    </w:p>
    <w:sectPr>
      <w:pgSz w:w="16838" w:h="11906" w:orient="landscape"/>
      <w:pgMar w:top="1531" w:right="1984" w:bottom="1531" w:left="1531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before="1" w:line="187" w:lineRule="auto"/>
      <w:jc w:val="right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3DD93"/>
    <w:multiLevelType w:val="singleLevel"/>
    <w:tmpl w:val="85E3DD93"/>
    <w:lvl w:ilvl="0" w:tentative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CC28B779"/>
    <w:multiLevelType w:val="singleLevel"/>
    <w:tmpl w:val="CC28B77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D4D5F87"/>
    <w:multiLevelType w:val="singleLevel"/>
    <w:tmpl w:val="CD4D5F87"/>
    <w:lvl w:ilvl="0" w:tentative="0">
      <w:start w:val="3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MzM5Yjc3ZjM3MWFmMzIxNmVkMDBiNTQzYTVhYWYifQ=="/>
    <w:docVar w:name="KSO_WPS_MARK_KEY" w:val="12a74e97-ebbf-4b63-b272-e94852dfceee"/>
  </w:docVars>
  <w:rsids>
    <w:rsidRoot w:val="7FA75243"/>
    <w:rsid w:val="00493B0C"/>
    <w:rsid w:val="00BF4679"/>
    <w:rsid w:val="023870D5"/>
    <w:rsid w:val="03BC5198"/>
    <w:rsid w:val="06FC4B75"/>
    <w:rsid w:val="07FB307F"/>
    <w:rsid w:val="08071A24"/>
    <w:rsid w:val="091F0FEF"/>
    <w:rsid w:val="0C1F4E62"/>
    <w:rsid w:val="0C9B273A"/>
    <w:rsid w:val="0CA55D88"/>
    <w:rsid w:val="0D2B37D1"/>
    <w:rsid w:val="0E0F1632"/>
    <w:rsid w:val="0E6D2C73"/>
    <w:rsid w:val="0E950445"/>
    <w:rsid w:val="10341E1C"/>
    <w:rsid w:val="110F7B9B"/>
    <w:rsid w:val="11287772"/>
    <w:rsid w:val="11324232"/>
    <w:rsid w:val="13896FED"/>
    <w:rsid w:val="14F50E56"/>
    <w:rsid w:val="15585A12"/>
    <w:rsid w:val="15681628"/>
    <w:rsid w:val="159643E7"/>
    <w:rsid w:val="160038F0"/>
    <w:rsid w:val="165431D1"/>
    <w:rsid w:val="16770DE7"/>
    <w:rsid w:val="16946B78"/>
    <w:rsid w:val="177D585E"/>
    <w:rsid w:val="17CF1E32"/>
    <w:rsid w:val="19AC41D9"/>
    <w:rsid w:val="19C06BAC"/>
    <w:rsid w:val="1AC36030"/>
    <w:rsid w:val="1E88576B"/>
    <w:rsid w:val="1F7237CF"/>
    <w:rsid w:val="1FC61926"/>
    <w:rsid w:val="1FF74DE4"/>
    <w:rsid w:val="20FF72E4"/>
    <w:rsid w:val="22CA169B"/>
    <w:rsid w:val="246606CF"/>
    <w:rsid w:val="25184E18"/>
    <w:rsid w:val="25FD64CE"/>
    <w:rsid w:val="26A052BD"/>
    <w:rsid w:val="26EE087F"/>
    <w:rsid w:val="285553AD"/>
    <w:rsid w:val="289767A1"/>
    <w:rsid w:val="28D16D56"/>
    <w:rsid w:val="29932CBF"/>
    <w:rsid w:val="2A420242"/>
    <w:rsid w:val="2A695D49"/>
    <w:rsid w:val="2AFF25E0"/>
    <w:rsid w:val="2B205A4D"/>
    <w:rsid w:val="2C5B4C5A"/>
    <w:rsid w:val="2D2F71A3"/>
    <w:rsid w:val="2D6A17E2"/>
    <w:rsid w:val="2D726F4E"/>
    <w:rsid w:val="2DA76D39"/>
    <w:rsid w:val="2E0917A2"/>
    <w:rsid w:val="2F6B0A20"/>
    <w:rsid w:val="30607673"/>
    <w:rsid w:val="30BB2AFC"/>
    <w:rsid w:val="311047EE"/>
    <w:rsid w:val="33150BE9"/>
    <w:rsid w:val="34FC399A"/>
    <w:rsid w:val="35317B29"/>
    <w:rsid w:val="35456F50"/>
    <w:rsid w:val="35F5260C"/>
    <w:rsid w:val="3680281D"/>
    <w:rsid w:val="373F762E"/>
    <w:rsid w:val="3769147A"/>
    <w:rsid w:val="38FB262F"/>
    <w:rsid w:val="3905525C"/>
    <w:rsid w:val="3BB0163E"/>
    <w:rsid w:val="3C680937"/>
    <w:rsid w:val="3C7C4513"/>
    <w:rsid w:val="3D127F47"/>
    <w:rsid w:val="3D5223D3"/>
    <w:rsid w:val="3EC62D97"/>
    <w:rsid w:val="3F402B4A"/>
    <w:rsid w:val="3F484701"/>
    <w:rsid w:val="40BC26A4"/>
    <w:rsid w:val="42246753"/>
    <w:rsid w:val="45F96148"/>
    <w:rsid w:val="46E45151"/>
    <w:rsid w:val="4759298F"/>
    <w:rsid w:val="48480CC1"/>
    <w:rsid w:val="4A45195C"/>
    <w:rsid w:val="4A6D33ED"/>
    <w:rsid w:val="4B5D7F81"/>
    <w:rsid w:val="4BE156B5"/>
    <w:rsid w:val="4C6836E0"/>
    <w:rsid w:val="4CEC60BF"/>
    <w:rsid w:val="4D0B7961"/>
    <w:rsid w:val="4DAD1CF2"/>
    <w:rsid w:val="4DC71966"/>
    <w:rsid w:val="4EFA0F67"/>
    <w:rsid w:val="4F9D6A43"/>
    <w:rsid w:val="50395ABF"/>
    <w:rsid w:val="50AC6DE3"/>
    <w:rsid w:val="516E1798"/>
    <w:rsid w:val="52E87329"/>
    <w:rsid w:val="54680721"/>
    <w:rsid w:val="54FC530D"/>
    <w:rsid w:val="554A09E5"/>
    <w:rsid w:val="556C2493"/>
    <w:rsid w:val="56E944F1"/>
    <w:rsid w:val="5746661C"/>
    <w:rsid w:val="58E67D01"/>
    <w:rsid w:val="59372DB8"/>
    <w:rsid w:val="59B653BD"/>
    <w:rsid w:val="5A0709DC"/>
    <w:rsid w:val="5A4412E8"/>
    <w:rsid w:val="5B154BEA"/>
    <w:rsid w:val="5C5B11B0"/>
    <w:rsid w:val="5D0A10BC"/>
    <w:rsid w:val="5E3033B1"/>
    <w:rsid w:val="5E79177D"/>
    <w:rsid w:val="5E873E9A"/>
    <w:rsid w:val="5FAB3156"/>
    <w:rsid w:val="60013A92"/>
    <w:rsid w:val="607E12CC"/>
    <w:rsid w:val="629A2C88"/>
    <w:rsid w:val="63DF5F8B"/>
    <w:rsid w:val="64A137DB"/>
    <w:rsid w:val="64EA5182"/>
    <w:rsid w:val="65181CEF"/>
    <w:rsid w:val="65D05307"/>
    <w:rsid w:val="65D62B44"/>
    <w:rsid w:val="65EC0A86"/>
    <w:rsid w:val="66202B8F"/>
    <w:rsid w:val="673B3A73"/>
    <w:rsid w:val="6779459B"/>
    <w:rsid w:val="68624D28"/>
    <w:rsid w:val="6893478B"/>
    <w:rsid w:val="6AFA59F3"/>
    <w:rsid w:val="6D405751"/>
    <w:rsid w:val="6D895BE1"/>
    <w:rsid w:val="6ED053E9"/>
    <w:rsid w:val="70741DA4"/>
    <w:rsid w:val="71EF3DD8"/>
    <w:rsid w:val="724027E8"/>
    <w:rsid w:val="73357F10"/>
    <w:rsid w:val="73B9469D"/>
    <w:rsid w:val="73C979D4"/>
    <w:rsid w:val="757401AE"/>
    <w:rsid w:val="763D108C"/>
    <w:rsid w:val="770E4D00"/>
    <w:rsid w:val="77274014"/>
    <w:rsid w:val="77822286"/>
    <w:rsid w:val="77E837A3"/>
    <w:rsid w:val="79164340"/>
    <w:rsid w:val="7A9F250B"/>
    <w:rsid w:val="7BD57CCF"/>
    <w:rsid w:val="7DFC0F92"/>
    <w:rsid w:val="7F927D97"/>
    <w:rsid w:val="7FA75243"/>
    <w:rsid w:val="7FC93EBA"/>
    <w:rsid w:val="CFB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paragraph" w:styleId="5">
    <w:name w:val="heading 4"/>
    <w:basedOn w:val="1"/>
    <w:next w:val="1"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规范标题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pacing w:line="594" w:lineRule="exact"/>
      <w:jc w:val="center"/>
    </w:pPr>
    <w:rPr>
      <w:rFonts w:hint="eastAsia" w:ascii="Times New Roman" w:hAnsi="Times New Roman" w:eastAsia="方正小标宋_GBK" w:cs="方正小标宋_GBK"/>
      <w:b/>
      <w:color w:val="000000"/>
      <w:kern w:val="0"/>
      <w:sz w:val="44"/>
      <w:szCs w:val="44"/>
      <w:shd w:val="clear" w:color="auto" w:fill="FFFFFF"/>
      <w:lang w:bidi="ar"/>
    </w:rPr>
  </w:style>
  <w:style w:type="paragraph" w:customStyle="1" w:styleId="14">
    <w:name w:val="Normal Indent1"/>
    <w:basedOn w:val="1"/>
    <w:qFormat/>
    <w:uiPriority w:val="0"/>
    <w:pPr>
      <w:overflowPunct w:val="0"/>
      <w:autoSpaceDE w:val="0"/>
      <w:autoSpaceDN w:val="0"/>
      <w:spacing w:line="594" w:lineRule="exact"/>
      <w:ind w:firstLine="420" w:firstLineChars="200"/>
    </w:pPr>
    <w:rPr>
      <w:rFonts w:ascii="Calibri" w:hAnsi="Calibri" w:eastAsia="宋体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3523</Words>
  <Characters>3942</Characters>
  <Lines>0</Lines>
  <Paragraphs>0</Paragraphs>
  <TotalTime>2</TotalTime>
  <ScaleCrop>false</ScaleCrop>
  <LinksUpToDate>false</LinksUpToDate>
  <CharactersWithSpaces>3972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2023-03-31T09:10:00Z</dcterms:created>
  <dc:creator>localroot</dc:creator>
  <cp:lastModifiedBy>桑栽阡陌</cp:lastModifiedBy>
  <cp:lastPrinted>2023-04-21T02:23:00Z</cp:lastPrinted>
  <dcterms:modified xsi:type="dcterms:W3CDTF">2023-04-21T08:14:15Z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06B99DF54F1143349B0465378408D7E5_13</vt:lpwstr>
  </property>
</Properties>
</file>