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垫江县周嘉镇人民政府</w:t>
      </w:r>
    </w:p>
    <w:p>
      <w:pPr>
        <w:pStyle w:val="7"/>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2023年度决算公开说明</w:t>
      </w:r>
    </w:p>
    <w:p>
      <w:pPr>
        <w:pStyle w:val="7"/>
        <w:shd w:val="clear" w:color="auto" w:fill="FFFFFF"/>
        <w:rPr>
          <w:rFonts w:hint="default" w:ascii="黑体" w:hAnsi="黑体" w:eastAsia="黑体" w:cs="黑体"/>
          <w:sz w:val="32"/>
          <w:szCs w:val="32"/>
        </w:rPr>
      </w:pPr>
      <w:r>
        <w:rPr>
          <w:rStyle w:val="11"/>
          <w:rFonts w:ascii="黑体" w:hAnsi="黑体" w:eastAsia="黑体" w:cs="黑体"/>
          <w:sz w:val="32"/>
          <w:szCs w:val="32"/>
          <w:shd w:val="clear" w:color="auto" w:fill="FFFFFF"/>
        </w:rPr>
        <w:t>一、部门基本情况</w:t>
      </w:r>
    </w:p>
    <w:p>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1.加强基层党的建设。加强党的基层组织建设、夯实党在基层的执政根基，推动全面从严治党向基层延伸。</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2.强化服务管理职能。强化企业投资、规划建设、城镇管理、环境保护、安全生产、农业发展、农村经营管理、生态建设、防灾减灾、扶贫济困等方面的服务管理职能。</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3.提高审批服务便民化水平。推进审批服务标准化，着力提升“互联网+政务服务”能力。</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4.推进综合行政执法。集中行使依法授权或委托的农林水利、规划建设、环境保护、卫生健康、市容环卫、文化旅游、民政管理、消防等领域的行政执法权。加强综合行政执法队伍建设，实行综合行政执法。</w:t>
      </w:r>
    </w:p>
    <w:p>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 1.党政办公室。负责纪检、武装、政务公开等工作。负责机关文秘、会务、档案、保密、后勤服务等工作。负责牵头协调办理人大代表和政协委员的议案、提案、建议、意见。完成党委、政府交办的其他工作。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2.党群工作办公室。负责党的建设、组织、宣传、统战、民宗侨台、机构编制、人事、绩效管理、群团、党务公开等相关工作。负责乡公共服务中心和村（社区）便民服务中心的监督和管理等工作。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3.人大</w:t>
      </w:r>
      <w:r>
        <w:rPr>
          <w:rFonts w:hint="eastAsia" w:ascii="方正仿宋_GBK" w:hAnsi="方正仿宋_GBK" w:eastAsia="方正仿宋_GBK" w:cs="方正仿宋_GBK"/>
          <w:sz w:val="32"/>
          <w:szCs w:val="32"/>
          <w:shd w:val="clear" w:color="auto" w:fill="FFFFFF"/>
          <w:lang w:eastAsia="zh-CN" w:bidi="ar"/>
        </w:rPr>
        <w:t>常委</w:t>
      </w:r>
      <w:bookmarkStart w:id="0" w:name="_GoBack"/>
      <w:bookmarkEnd w:id="0"/>
      <w:r>
        <w:rPr>
          <w:rFonts w:ascii="方正仿宋_GBK" w:hAnsi="方正仿宋_GBK" w:eastAsia="方正仿宋_GBK" w:cs="方正仿宋_GBK"/>
          <w:sz w:val="32"/>
          <w:szCs w:val="32"/>
          <w:shd w:val="clear" w:color="auto" w:fill="FFFFFF"/>
          <w:lang w:bidi="ar"/>
        </w:rPr>
        <w:t>办公室。负责乡人民代表大会、主席团履行法定职权的具体工作。组织人大代表视察、调研、评议等工作。完成党委、人大主席团交办的其他工作。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4.经济发展办公室（挂统计办公室、农村经营管理办公室、扶贫开发办公室牌子）。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5.财政办公室。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6.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7.平安建设办公室。负责普法教育、防邪、禁毒、综治、信访、维稳等工作。负责基层民间矛盾纠纷调解工作。组织、指导、协调、检查、督促辖区内各基层组织和企事业单位的社会治安综合治理等工作。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8.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9.应急管理办公室。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11.农业服务中心</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宗旨：推广先进农业技术，促进农业发展。</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主要职责：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12.文化服务中心</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宗旨：组织群众文化活动，繁荣文化旅游事业。</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13.劳动就业和社会保障服务所</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宗旨：为辖区劳动就业和社会保障提供服务。</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14.退役军人服务站</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宗旨：为退役军人提供服务。</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主要职责：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15.综合行政执法大队</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宗旨：弘扬法治精神，建设法治政府、法治社会。</w:t>
      </w:r>
    </w:p>
    <w:p>
      <w:pPr>
        <w:pStyle w:val="7"/>
        <w:shd w:val="clear" w:color="auto" w:fill="FFFFFF"/>
        <w:rPr>
          <w:rFonts w:hint="default" w:cs="宋体"/>
          <w:sz w:val="32"/>
          <w:szCs w:val="32"/>
          <w:shd w:val="clear" w:color="auto" w:fill="FFFFFF"/>
          <w:lang w:bidi="ar"/>
        </w:rPr>
      </w:pPr>
      <w:r>
        <w:rPr>
          <w:rFonts w:ascii="方正仿宋_GBK" w:hAnsi="方正仿宋_GBK" w:eastAsia="方正仿宋_GBK" w:cs="方正仿宋_GBK"/>
          <w:sz w:val="32"/>
          <w:szCs w:val="32"/>
          <w:shd w:val="clear" w:color="auto" w:fill="FFFFFF"/>
          <w:lang w:bidi="ar"/>
        </w:rPr>
        <w:t>主要职责：负责配合综合行政执法办公室做好有关农林水利、规划建设、卫生健康、市容环卫、环境保护、文化旅游、民政管理、消防等方面的执法工作。 </w:t>
      </w:r>
      <w:r>
        <w:rPr>
          <w:rFonts w:cs="宋体"/>
          <w:sz w:val="32"/>
          <w:szCs w:val="32"/>
          <w:shd w:val="clear" w:color="auto" w:fill="FFFFFF"/>
          <w:lang w:bidi="ar"/>
        </w:rPr>
        <w:t xml:space="preserve"> </w:t>
      </w:r>
    </w:p>
    <w:p>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二、部门决算情况说明</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pPr>
        <w:pStyle w:val="7"/>
        <w:shd w:val="clear" w:color="auto" w:fill="FFFFFF"/>
        <w:ind w:firstLine="642"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2023年度收入总计6192.90万元，支出总计</w:t>
      </w:r>
      <w:r>
        <w:rPr>
          <w:rFonts w:ascii="方正仿宋_GBK" w:hAnsi="方正仿宋_GBK" w:eastAsia="方正仿宋_GBK" w:cs="方正仿宋_GBK"/>
          <w:sz w:val="32"/>
          <w:szCs w:val="32"/>
        </w:rPr>
        <w:t>6192.90</w:t>
      </w:r>
      <w:r>
        <w:rPr>
          <w:rFonts w:ascii="方正仿宋_GBK" w:hAnsi="方正仿宋_GBK" w:eastAsia="方正仿宋_GBK" w:cs="方正仿宋_GBK"/>
          <w:sz w:val="32"/>
          <w:szCs w:val="32"/>
          <w:shd w:val="clear" w:color="auto" w:fill="FFFFFF"/>
        </w:rPr>
        <w:t>万元。收支较上年决算数增加1401.08万元，增长29.24%，主要原因是主要原因是本部门税收收入增加、上级专项资金收支增加，同时加大了对中小企业发展的支持及城镇建设的投入。</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2023年度收入合计6184.15万元，较上年决算数增加1626.85万元，增长35.70%，主要原因是上级专项资金收支增加及本部门税收收入的增加。其中：财政拨款收入</w:t>
      </w:r>
      <w:r>
        <w:rPr>
          <w:rFonts w:ascii="方正仿宋_GBK" w:hAnsi="方正仿宋_GBK" w:eastAsia="方正仿宋_GBK" w:cs="方正仿宋_GBK"/>
          <w:sz w:val="32"/>
          <w:szCs w:val="32"/>
        </w:rPr>
        <w:t>6184.15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8.75</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6192.90</w:t>
      </w:r>
      <w:r>
        <w:rPr>
          <w:rFonts w:ascii="方正仿宋_GBK" w:hAnsi="方正仿宋_GBK" w:eastAsia="方正仿宋_GBK" w:cs="方正仿宋_GBK"/>
          <w:sz w:val="32"/>
          <w:szCs w:val="32"/>
          <w:shd w:val="clear" w:color="auto" w:fill="FFFFFF"/>
        </w:rPr>
        <w:t>万元，较上年决算数增加1401.08万元，增长29.24%，主要原因是增加了上级项目专项资金的支付，同时加大了对中小企业发展的支持及城镇建设的投入。其中：基本支出</w:t>
      </w:r>
      <w:r>
        <w:rPr>
          <w:rFonts w:ascii="方正仿宋_GBK" w:hAnsi="方正仿宋_GBK" w:eastAsia="方正仿宋_GBK" w:cs="方正仿宋_GBK"/>
          <w:sz w:val="32"/>
          <w:szCs w:val="32"/>
        </w:rPr>
        <w:t>2486.97</w:t>
      </w:r>
      <w:r>
        <w:rPr>
          <w:rFonts w:ascii="方正仿宋_GBK" w:hAnsi="方正仿宋_GBK" w:eastAsia="方正仿宋_GBK" w:cs="方正仿宋_GBK"/>
          <w:sz w:val="32"/>
          <w:szCs w:val="32"/>
          <w:shd w:val="clear" w:color="auto" w:fill="FFFFFF"/>
        </w:rPr>
        <w:t>万元，占40.16%；项目支出</w:t>
      </w:r>
      <w:r>
        <w:rPr>
          <w:rFonts w:ascii="方正仿宋_GBK" w:hAnsi="方正仿宋_GBK" w:eastAsia="方正仿宋_GBK" w:cs="方正仿宋_GBK"/>
          <w:sz w:val="32"/>
          <w:szCs w:val="32"/>
        </w:rPr>
        <w:t>3705.93</w:t>
      </w:r>
      <w:r>
        <w:rPr>
          <w:rFonts w:ascii="方正仿宋_GBK" w:hAnsi="方正仿宋_GBK" w:eastAsia="方正仿宋_GBK" w:cs="方正仿宋_GBK"/>
          <w:sz w:val="32"/>
          <w:szCs w:val="32"/>
          <w:shd w:val="clear" w:color="auto" w:fill="FFFFFF"/>
        </w:rPr>
        <w:t>万元，占59.84%；经营支出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万元，0，主要原因是本部门坚持以收定支原则，确保三保，充分发挥资金使用效率，做好民生工程，尽力化债，确保本部门正常运转。</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财政拨款收、支总计6192.90万元。与2022年相比，财政拨款收、支总计各增加1401.08万元，增长29.24%。主要原因是本部门税收收入增加、上级专项资金收支增加，同时加大了对中小企业发展的支持及城镇建设的投入。</w:t>
      </w:r>
    </w:p>
    <w:p>
      <w:pPr>
        <w:pStyle w:val="7"/>
        <w:shd w:val="clear" w:color="auto" w:fill="FFFFFF"/>
        <w:ind w:firstLine="642" w:firstLineChars="200"/>
        <w:rPr>
          <w:rFonts w:hint="default" w:ascii="楷体" w:hAnsi="楷体" w:eastAsia="楷体" w:cs="楷体"/>
          <w:b/>
          <w:bCs/>
          <w:sz w:val="32"/>
          <w:szCs w:val="32"/>
          <w:shd w:val="clear" w:color="auto" w:fill="FFFFFF"/>
          <w:lang w:bidi="ar"/>
        </w:rPr>
      </w:pPr>
      <w:r>
        <w:rPr>
          <w:rFonts w:ascii="楷体" w:hAnsi="楷体" w:eastAsia="楷体" w:cs="楷体"/>
          <w:b/>
          <w:bCs/>
          <w:sz w:val="32"/>
          <w:szCs w:val="32"/>
          <w:shd w:val="clear" w:color="auto" w:fill="FFFFFF"/>
          <w:lang w:bidi="ar"/>
        </w:rPr>
        <w:t>（三）一般公共预算财政拨款收入支出决算情况说明</w:t>
      </w:r>
    </w:p>
    <w:p>
      <w:pPr>
        <w:pStyle w:val="7"/>
        <w:shd w:val="clear" w:color="auto" w:fill="FFFFFF"/>
        <w:ind w:firstLine="642"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5936.25</w:t>
      </w:r>
      <w:r>
        <w:rPr>
          <w:rFonts w:ascii="方正仿宋_GBK" w:hAnsi="方正仿宋_GBK" w:eastAsia="方正仿宋_GBK" w:cs="方正仿宋_GBK"/>
          <w:sz w:val="32"/>
          <w:szCs w:val="32"/>
          <w:shd w:val="clear" w:color="auto" w:fill="FFFFFF"/>
        </w:rPr>
        <w:t>万元，较上年决算数增加1402.81万元，增长30.94%。主要原因是本部门加大了招商引资力度，税收收入增加，及上级专项资金收支增加。较年初预算数增加2872.38万元，增长93.75%。主要原因是上级年中调增了项目转移支付，同时税收收入比年初预算预期增加。此外，年初财政拨款结转和结余</w:t>
      </w:r>
      <w:r>
        <w:rPr>
          <w:rFonts w:ascii="方正仿宋_GBK" w:hAnsi="方正仿宋_GBK" w:eastAsia="方正仿宋_GBK" w:cs="方正仿宋_GBK"/>
          <w:sz w:val="32"/>
          <w:szCs w:val="32"/>
        </w:rPr>
        <w:t>8.75</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5945.00</w:t>
      </w:r>
      <w:r>
        <w:rPr>
          <w:rFonts w:ascii="方正仿宋_GBK" w:hAnsi="方正仿宋_GBK" w:eastAsia="方正仿宋_GBK" w:cs="方正仿宋_GBK"/>
          <w:sz w:val="32"/>
          <w:szCs w:val="32"/>
          <w:shd w:val="clear" w:color="auto" w:fill="FFFFFF"/>
        </w:rPr>
        <w:t>万元，较上年决算数增加1177.04万元，增长24.69%。主要原因是增加了项目资金支付、及职工工资调增支付、支持企业发展资金等。较年初预算数增加2881.13万元，增长94.04%。主要原因是增加了上级项目转移支付及对企业扶持资金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万元，0，主要原因是本部门以收定支，把控对资金的支出进度，故无结余。</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1203.10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20.24</w:t>
      </w:r>
      <w:r>
        <w:rPr>
          <w:rFonts w:ascii="方正仿宋_GBK" w:hAnsi="方正仿宋_GBK" w:eastAsia="方正仿宋_GBK" w:cs="方正仿宋_GBK"/>
          <w:sz w:val="32"/>
          <w:szCs w:val="32"/>
          <w:shd w:val="clear" w:color="auto" w:fill="FFFFFF"/>
        </w:rPr>
        <w:t>%，较年初预算数增加16.86万元，增长1.42%，主要原因是工资津贴等调资影响人员支出增加。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（2）国防支出</w:t>
      </w:r>
      <w:r>
        <w:rPr>
          <w:rFonts w:ascii="方正仿宋_GBK" w:hAnsi="方正仿宋_GBK" w:eastAsia="方正仿宋_GBK" w:cs="方正仿宋_GBK"/>
          <w:sz w:val="32"/>
          <w:szCs w:val="32"/>
        </w:rPr>
        <w:t>2.20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0.04</w:t>
      </w:r>
      <w:r>
        <w:rPr>
          <w:rFonts w:ascii="方正仿宋_GBK" w:hAnsi="方正仿宋_GBK" w:eastAsia="方正仿宋_GBK" w:cs="方正仿宋_GBK"/>
          <w:sz w:val="32"/>
          <w:szCs w:val="32"/>
          <w:shd w:val="clear" w:color="auto" w:fill="FFFFFF"/>
        </w:rPr>
        <w:t>%，较年初预算数减少6.80万元，下降75.56%，主要原因是节约开支，减少武装经费等支出。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（3）公共安全支出</w:t>
      </w:r>
      <w:r>
        <w:rPr>
          <w:rFonts w:ascii="方正仿宋_GBK" w:hAnsi="方正仿宋_GBK" w:eastAsia="方正仿宋_GBK" w:cs="方正仿宋_GBK"/>
          <w:sz w:val="32"/>
          <w:szCs w:val="32"/>
        </w:rPr>
        <w:t>26.79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0.45</w:t>
      </w:r>
      <w:r>
        <w:rPr>
          <w:rFonts w:ascii="方正仿宋_GBK" w:hAnsi="方正仿宋_GBK" w:eastAsia="方正仿宋_GBK" w:cs="方正仿宋_GBK"/>
          <w:sz w:val="32"/>
          <w:szCs w:val="32"/>
          <w:shd w:val="clear" w:color="auto" w:fill="FFFFFF"/>
        </w:rPr>
        <w:t>%，较年初预算数增加26.79万元，增长100.00%，主要原因是年中由上级转移支付安全工作项目经费支出，年初本级无此项目预算支出。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86.83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1.46</w:t>
      </w:r>
      <w:r>
        <w:rPr>
          <w:rFonts w:ascii="方正仿宋_GBK" w:hAnsi="方正仿宋_GBK" w:eastAsia="方正仿宋_GBK" w:cs="方正仿宋_GBK"/>
          <w:sz w:val="32"/>
          <w:szCs w:val="32"/>
          <w:shd w:val="clear" w:color="auto" w:fill="FFFFFF"/>
        </w:rPr>
        <w:t>%，较年初预算数增加13.64万元，增长18.64%，主要原因是年中由上级转移支付文化工作项目经费支出及调增工资支出。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615.00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10.34</w:t>
      </w:r>
      <w:r>
        <w:rPr>
          <w:rFonts w:ascii="方正仿宋_GBK" w:hAnsi="方正仿宋_GBK" w:eastAsia="方正仿宋_GBK" w:cs="方正仿宋_GBK"/>
          <w:sz w:val="32"/>
          <w:szCs w:val="32"/>
          <w:shd w:val="clear" w:color="auto" w:fill="FFFFFF"/>
        </w:rPr>
        <w:t>%，较年初预算数增加129.53万元，增长26.68%，主要原因是本部门职工工资及社保的增加，同时上级加大了对残疾人、退役军人及困难群众的扶持资金力度。</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（9）卫生健康支出</w:t>
      </w:r>
      <w:r>
        <w:rPr>
          <w:rFonts w:ascii="方正仿宋_GBK" w:hAnsi="方正仿宋_GBK" w:eastAsia="方正仿宋_GBK" w:cs="方正仿宋_GBK"/>
          <w:sz w:val="32"/>
          <w:szCs w:val="32"/>
        </w:rPr>
        <w:t>75.63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1.27</w:t>
      </w:r>
      <w:r>
        <w:rPr>
          <w:rFonts w:ascii="方正仿宋_GBK" w:hAnsi="方正仿宋_GBK" w:eastAsia="方正仿宋_GBK" w:cs="方正仿宋_GBK"/>
          <w:sz w:val="32"/>
          <w:szCs w:val="32"/>
          <w:shd w:val="clear" w:color="auto" w:fill="FFFFFF"/>
        </w:rPr>
        <w:t>%，较年初预算数增加18.15万元，增长31.58%，主要原因是增加了对优抚对</w:t>
      </w:r>
      <w:r>
        <w:rPr>
          <w:rFonts w:hint="eastAsia" w:ascii="方正仿宋_GBK" w:hAnsi="方正仿宋_GBK" w:eastAsia="方正仿宋_GBK" w:cs="方正仿宋_GBK"/>
          <w:sz w:val="32"/>
          <w:szCs w:val="32"/>
          <w:shd w:val="clear" w:color="auto" w:fill="FFFFFF"/>
          <w:lang w:eastAsia="zh-CN"/>
        </w:rPr>
        <w:t>象</w:t>
      </w:r>
      <w:r>
        <w:rPr>
          <w:rFonts w:ascii="方正仿宋_GBK" w:hAnsi="方正仿宋_GBK" w:eastAsia="方正仿宋_GBK" w:cs="方正仿宋_GBK"/>
          <w:sz w:val="32"/>
          <w:szCs w:val="32"/>
          <w:shd w:val="clear" w:color="auto" w:fill="FFFFFF"/>
        </w:rPr>
        <w:t>医疗等的支付。</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（10）节能环保支出</w:t>
      </w:r>
      <w:r>
        <w:rPr>
          <w:rFonts w:ascii="方正仿宋_GBK" w:hAnsi="方正仿宋_GBK" w:eastAsia="方正仿宋_GBK" w:cs="方正仿宋_GBK"/>
          <w:sz w:val="32"/>
          <w:szCs w:val="32"/>
        </w:rPr>
        <w:t>8.86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%，较年初预算数增加8.86万元，增长100.00%，主要原因是年中上级增加了天然林保护工作资金，用于林虫防治等。</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（11）城乡社区支出</w:t>
      </w:r>
      <w:r>
        <w:rPr>
          <w:rFonts w:ascii="方正仿宋_GBK" w:hAnsi="方正仿宋_GBK" w:eastAsia="方正仿宋_GBK" w:cs="方正仿宋_GBK"/>
          <w:sz w:val="32"/>
          <w:szCs w:val="32"/>
        </w:rPr>
        <w:t>203.69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3.43</w:t>
      </w:r>
      <w:r>
        <w:rPr>
          <w:rFonts w:ascii="方正仿宋_GBK" w:hAnsi="方正仿宋_GBK" w:eastAsia="方正仿宋_GBK" w:cs="方正仿宋_GBK"/>
          <w:sz w:val="32"/>
          <w:szCs w:val="32"/>
          <w:shd w:val="clear" w:color="auto" w:fill="FFFFFF"/>
        </w:rPr>
        <w:t>%，较年初预算数增加45.66万元，增长28.89%，主要原因是综合执法大队调增工资支出增加、用于其他国有土地使用权出让收入安排的支出增加等。</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（12）农林水支出</w:t>
      </w:r>
      <w:r>
        <w:rPr>
          <w:rFonts w:ascii="方正仿宋_GBK" w:hAnsi="方正仿宋_GBK" w:eastAsia="方正仿宋_GBK" w:cs="方正仿宋_GBK"/>
          <w:sz w:val="32"/>
          <w:szCs w:val="32"/>
        </w:rPr>
        <w:t>1419.98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23.89</w:t>
      </w:r>
      <w:r>
        <w:rPr>
          <w:rFonts w:ascii="方正仿宋_GBK" w:hAnsi="方正仿宋_GBK" w:eastAsia="方正仿宋_GBK" w:cs="方正仿宋_GBK"/>
          <w:sz w:val="32"/>
          <w:szCs w:val="32"/>
          <w:shd w:val="clear" w:color="auto" w:fill="FFFFFF"/>
        </w:rPr>
        <w:t>%，较年初预算数增加641.91万元，增长82.50%，主要原因是增加农业服务中心职工工资调增支出、上级对公路建设及公路养护等项目转移支付等。</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（13）交通运输支出</w:t>
      </w:r>
      <w:r>
        <w:rPr>
          <w:rFonts w:ascii="方正仿宋_GBK" w:hAnsi="方正仿宋_GBK" w:eastAsia="方正仿宋_GBK" w:cs="方正仿宋_GBK"/>
          <w:sz w:val="32"/>
          <w:szCs w:val="32"/>
        </w:rPr>
        <w:t>1222.45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20.56</w:t>
      </w:r>
      <w:r>
        <w:rPr>
          <w:rFonts w:ascii="方正仿宋_GBK" w:hAnsi="方正仿宋_GBK" w:eastAsia="方正仿宋_GBK" w:cs="方正仿宋_GBK"/>
          <w:sz w:val="32"/>
          <w:szCs w:val="32"/>
          <w:shd w:val="clear" w:color="auto" w:fill="FFFFFF"/>
        </w:rPr>
        <w:t>%，较年初预算数增加1222.45万元，增长100.00%，主要原因是上级对公路建设及公路养护等项目转移支付。</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（14）资源勘探信息等支出</w:t>
      </w:r>
      <w:r>
        <w:rPr>
          <w:rFonts w:ascii="方正仿宋_GBK" w:hAnsi="方正仿宋_GBK" w:eastAsia="方正仿宋_GBK" w:cs="方正仿宋_GBK"/>
          <w:sz w:val="32"/>
          <w:szCs w:val="32"/>
        </w:rPr>
        <w:t>934.20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15.71</w:t>
      </w:r>
      <w:r>
        <w:rPr>
          <w:rFonts w:ascii="方正仿宋_GBK" w:hAnsi="方正仿宋_GBK" w:eastAsia="方正仿宋_GBK" w:cs="方正仿宋_GBK"/>
          <w:sz w:val="32"/>
          <w:szCs w:val="32"/>
          <w:shd w:val="clear" w:color="auto" w:fill="FFFFFF"/>
        </w:rPr>
        <w:t>%，较年初预算数增加711.45万元，增长319.39%，主要原因是加大了招商引资，增加了对企业扶持资金支出。</w:t>
      </w:r>
    </w:p>
    <w:p>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（19）</w:t>
      </w:r>
      <w:r>
        <w:rPr>
          <w:rFonts w:ascii="方正仿宋_GBK" w:hAnsi="方正仿宋_GBK" w:eastAsia="方正仿宋_GBK" w:cs="方正仿宋_GBK"/>
          <w:sz w:val="32"/>
          <w:szCs w:val="32"/>
        </w:rPr>
        <w:t>住房保障支出134.45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2.26</w:t>
      </w:r>
      <w:r>
        <w:rPr>
          <w:rFonts w:ascii="方正仿宋_GBK" w:hAnsi="方正仿宋_GBK" w:eastAsia="方正仿宋_GBK" w:cs="方正仿宋_GBK"/>
          <w:sz w:val="32"/>
          <w:szCs w:val="32"/>
          <w:shd w:val="clear" w:color="auto" w:fill="FFFFFF"/>
        </w:rPr>
        <w:t>%，较年初预算数增加42.27万元，增长45.86%，主要原因是本部门职工住房公积金调增支出增加、及危房改造资金增加。</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（22）</w:t>
      </w:r>
      <w:r>
        <w:rPr>
          <w:rFonts w:ascii="方正仿宋_GBK" w:hAnsi="方正仿宋_GBK" w:eastAsia="方正仿宋_GBK" w:cs="方正仿宋_GBK"/>
          <w:sz w:val="32"/>
          <w:szCs w:val="32"/>
        </w:rPr>
        <w:t>灾害防治及应急管理支出11.83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0.20</w:t>
      </w:r>
      <w:r>
        <w:rPr>
          <w:rFonts w:ascii="方正仿宋_GBK" w:hAnsi="方正仿宋_GBK" w:eastAsia="方正仿宋_GBK" w:cs="方正仿宋_GBK"/>
          <w:sz w:val="32"/>
          <w:szCs w:val="32"/>
          <w:shd w:val="clear" w:color="auto" w:fill="FFFFFF"/>
        </w:rPr>
        <w:t>%，较年初预算数增加10.37万元，增长710.27%，主要原因是增加了自然灾害资金转移支付。</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2486.97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2205.95</w:t>
      </w:r>
      <w:r>
        <w:rPr>
          <w:rFonts w:ascii="方正仿宋_GBK" w:hAnsi="方正仿宋_GBK" w:eastAsia="方正仿宋_GBK" w:cs="方正仿宋_GBK"/>
          <w:sz w:val="32"/>
          <w:szCs w:val="32"/>
          <w:shd w:val="clear" w:color="auto" w:fill="FFFFFF"/>
        </w:rPr>
        <w:t>万元，较上年决算数增加519.17万元，增长30.78%，主要原因是职工工资调增致人员经费增加。人员经费用途主要包括职工工资、津补贴、奖金、职工统筹、公积金、及伙食补助等。公用经费</w:t>
      </w:r>
      <w:r>
        <w:rPr>
          <w:rFonts w:ascii="方正仿宋_GBK" w:hAnsi="方正仿宋_GBK" w:eastAsia="方正仿宋_GBK" w:cs="方正仿宋_GBK"/>
          <w:sz w:val="32"/>
          <w:szCs w:val="32"/>
        </w:rPr>
        <w:t>281.01</w:t>
      </w:r>
      <w:r>
        <w:rPr>
          <w:rFonts w:ascii="方正仿宋_GBK" w:hAnsi="方正仿宋_GBK" w:eastAsia="方正仿宋_GBK" w:cs="方正仿宋_GBK"/>
          <w:sz w:val="32"/>
          <w:szCs w:val="32"/>
          <w:shd w:val="clear" w:color="auto" w:fill="FFFFFF"/>
        </w:rPr>
        <w:t>万元，较上年决算数减少334.48万元，下降54.34%，主要原因是本部门为保人员工资、保民生支出，节约开支，减少了公用经费支出。公用经费用途主要包括办公费、印刷费、水费、电费、差旅费、邮电费、会议费、培训费、公务接待费、公务用车费、劳务费、委托业务费、工会经费、其他交通费、其他商品服务费等。</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247.87</w:t>
      </w:r>
      <w:r>
        <w:rPr>
          <w:rFonts w:ascii="方正仿宋_GBK" w:hAnsi="方正仿宋_GBK" w:eastAsia="方正仿宋_GBK" w:cs="方正仿宋_GBK"/>
          <w:sz w:val="32"/>
          <w:szCs w:val="32"/>
          <w:shd w:val="clear" w:color="auto" w:fill="FFFFFF"/>
        </w:rPr>
        <w:t>万元，较上年决算数增加224.01万元，增长938.85%，主要原因是上级拨付国有土地使用权出让收入安排的转移支付收入及彩票公益金转移支付收入。本年支出</w:t>
      </w:r>
      <w:r>
        <w:rPr>
          <w:rFonts w:ascii="方正仿宋_GBK" w:hAnsi="方正仿宋_GBK" w:eastAsia="方正仿宋_GBK" w:cs="方正仿宋_GBK"/>
          <w:sz w:val="32"/>
          <w:szCs w:val="32"/>
        </w:rPr>
        <w:t>247.87</w:t>
      </w:r>
      <w:r>
        <w:rPr>
          <w:rFonts w:ascii="方正仿宋_GBK" w:hAnsi="方正仿宋_GBK" w:eastAsia="方正仿宋_GBK" w:cs="方正仿宋_GBK"/>
          <w:sz w:val="32"/>
          <w:szCs w:val="32"/>
          <w:shd w:val="clear" w:color="auto" w:fill="FFFFFF"/>
        </w:rPr>
        <w:t>万元，较上年决算数增加224.01万元，增长938.85%，主要原因是上级拨付国有土地使用权出让收入安排的转移支付及彩票公益金转移支付。</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万元，主要用途用于国有企业退休人员社会化管理补助支出。</w:t>
      </w:r>
    </w:p>
    <w:p>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三、“三公”经费情况说明</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18.26</w:t>
      </w:r>
      <w:r>
        <w:rPr>
          <w:rFonts w:ascii="方正仿宋_GBK" w:hAnsi="方正仿宋_GBK" w:eastAsia="方正仿宋_GBK" w:cs="方正仿宋_GBK"/>
          <w:sz w:val="32"/>
          <w:szCs w:val="32"/>
          <w:shd w:val="clear" w:color="auto" w:fill="FFFFFF"/>
        </w:rPr>
        <w:t>万元，较年初预算数增加5.26万元，增长40.46%，主要原因是根据年初预算收入预算年初支出不足。较上年支出数减少0.47万元，下降2.51%，主要原因是减少“三公”经费支出，压减开支，保障本部门正常运转。</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widowControl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6.28</w:t>
      </w:r>
      <w:r>
        <w:rPr>
          <w:rFonts w:ascii="方正仿宋_GBK" w:hAnsi="方正仿宋_GBK" w:eastAsia="方正仿宋_GBK" w:cs="方正仿宋_GBK"/>
          <w:sz w:val="32"/>
          <w:szCs w:val="32"/>
          <w:shd w:val="clear" w:color="auto" w:fill="FFFFFF"/>
        </w:rPr>
        <w:t>万元，主要用于本部门两辆公务用车加油、维修、保养及保险等费用支出，保障辖区内公务出行。费用支出较年初预算数增加5.28万元，增长528.00%，主要原因是年初预算时本部门未预算此项经费。较上年支出数减少0.15万元，下降2.33%，主要原因是减少开支，保障运转。</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11.98</w:t>
      </w:r>
      <w:r>
        <w:rPr>
          <w:rFonts w:ascii="方正仿宋_GBK" w:hAnsi="方正仿宋_GBK" w:eastAsia="方正仿宋_GBK" w:cs="方正仿宋_GBK"/>
          <w:sz w:val="32"/>
          <w:szCs w:val="32"/>
          <w:shd w:val="clear" w:color="auto" w:fill="FFFFFF"/>
        </w:rPr>
        <w:t>万元，主要用于接待招商引资及上级部门检查指导工作用餐等费用。费用支出较年初预算数减少0.02万元，下降0.17%，主要原因是减少开支，保障运转。较上年支出数减少0.32万元，下降2.60%，主要原因是减少开支，保障运转。</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156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1603</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74.71</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3.14</w:t>
      </w:r>
      <w:r>
        <w:rPr>
          <w:rFonts w:ascii="方正仿宋_GBK" w:hAnsi="方正仿宋_GBK" w:eastAsia="方正仿宋_GBK" w:cs="方正仿宋_GBK"/>
          <w:sz w:val="32"/>
          <w:szCs w:val="32"/>
          <w:shd w:val="clear" w:color="auto" w:fill="FFFFFF"/>
        </w:rPr>
        <w:t>万元。</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4.89</w:t>
      </w:r>
      <w:r>
        <w:rPr>
          <w:rFonts w:ascii="方正仿宋_GBK" w:hAnsi="方正仿宋_GBK" w:eastAsia="方正仿宋_GBK" w:cs="方正仿宋_GBK"/>
          <w:sz w:val="32"/>
          <w:szCs w:val="32"/>
          <w:shd w:val="clear" w:color="auto" w:fill="FFFFFF"/>
        </w:rPr>
        <w:t>万元，较上年决算数减少20.03万元，下降80.38%，主要原因是节约开支，减少大型会议及支出。本年度培训费支出</w:t>
      </w:r>
      <w:r>
        <w:rPr>
          <w:rFonts w:ascii="方正仿宋_GBK" w:hAnsi="方正仿宋_GBK" w:eastAsia="方正仿宋_GBK" w:cs="方正仿宋_GBK"/>
          <w:sz w:val="32"/>
          <w:szCs w:val="32"/>
        </w:rPr>
        <w:t>2.15</w:t>
      </w:r>
      <w:r>
        <w:rPr>
          <w:rFonts w:ascii="方正仿宋_GBK" w:hAnsi="方正仿宋_GBK" w:eastAsia="方正仿宋_GBK" w:cs="方正仿宋_GBK"/>
          <w:sz w:val="32"/>
          <w:szCs w:val="32"/>
          <w:shd w:val="clear" w:color="auto" w:fill="FFFFFF"/>
        </w:rPr>
        <w:t>万元，较上年决算数增加1.68万元，增长357.45%，主要原因是增加了上级组织的培训费用。</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253.82</w:t>
      </w:r>
      <w:r>
        <w:rPr>
          <w:rFonts w:ascii="方正仿宋_GBK" w:hAnsi="方正仿宋_GBK" w:eastAsia="方正仿宋_GBK" w:cs="方正仿宋_GBK"/>
          <w:sz w:val="32"/>
          <w:szCs w:val="32"/>
          <w:shd w:val="clear" w:color="auto" w:fill="FFFFFF"/>
        </w:rPr>
        <w:t>万元，机关运行经费主要用于开支办公费、印刷费、水电费、邮电费、差旅费、维修费、会议费、培训费、公务接待费、劳务费、委托业务费、劳务费、工会经费等方面。机关运行经费较上年支出数减少289.91万元，下降53.32%，主要原因是本部门、压减支出，积极化解单位债务。</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pPr>
        <w:pStyle w:val="7"/>
        <w:numPr>
          <w:ilvl w:val="0"/>
          <w:numId w:val="1"/>
        </w:numPr>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预算绩效管理情况说明</w:t>
      </w:r>
    </w:p>
    <w:p>
      <w:pPr>
        <w:spacing w:after="100" w:afterAutospacing="1" w:line="594" w:lineRule="exact"/>
        <w:ind w:firstLine="640" w:firstLineChars="200"/>
        <w:rPr>
          <w:rFonts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根据预算绩效管理要求，我部门对部门整体及85个二级项目开展了绩效自评，涉及资金3705.95万元。</w:t>
      </w:r>
    </w:p>
    <w:p>
      <w:pPr>
        <w:pStyle w:val="12"/>
        <w:numPr>
          <w:ilvl w:val="0"/>
          <w:numId w:val="2"/>
        </w:numPr>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部门自评情况</w:t>
      </w:r>
    </w:p>
    <w:tbl>
      <w:tblPr>
        <w:tblStyle w:val="8"/>
        <w:tblW w:w="0" w:type="auto"/>
        <w:tblInd w:w="93" w:type="dxa"/>
        <w:tblLayout w:type="autofit"/>
        <w:tblCellMar>
          <w:top w:w="0" w:type="dxa"/>
          <w:left w:w="108" w:type="dxa"/>
          <w:bottom w:w="0" w:type="dxa"/>
          <w:right w:w="108" w:type="dxa"/>
        </w:tblCellMar>
      </w:tblPr>
      <w:tblGrid>
        <w:gridCol w:w="561"/>
        <w:gridCol w:w="388"/>
        <w:gridCol w:w="388"/>
        <w:gridCol w:w="1193"/>
        <w:gridCol w:w="577"/>
        <w:gridCol w:w="1211"/>
        <w:gridCol w:w="704"/>
        <w:gridCol w:w="1193"/>
        <w:gridCol w:w="471"/>
        <w:gridCol w:w="599"/>
        <w:gridCol w:w="1153"/>
      </w:tblGrid>
      <w:tr>
        <w:tblPrEx>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sz w:val="32"/>
                <w:szCs w:val="32"/>
              </w:rPr>
            </w:pPr>
            <w:r>
              <w:rPr>
                <w:rFonts w:ascii="微软雅黑" w:hAnsi="微软雅黑" w:eastAsia="微软雅黑" w:cs="微软雅黑"/>
                <w:b/>
                <w:bCs/>
                <w:sz w:val="32"/>
                <w:szCs w:val="32"/>
                <w:lang w:bidi="ar"/>
              </w:rPr>
              <w:t>2023年度部门整体绩效自评表</w:t>
            </w:r>
          </w:p>
        </w:tc>
      </w:tr>
      <w:tr>
        <w:tblPrEx>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状态：绩效审核已审</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垫江县周嘉镇人民政府整体监控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50023100023P000066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bCs/>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706-垫江县周嘉镇人民政府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014-会计管理核算中心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蒋汶娥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15823715908</w:t>
            </w: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sz w:val="20"/>
                <w:szCs w:val="20"/>
              </w:rPr>
            </w:pPr>
            <w:r>
              <w:rPr>
                <w:rFonts w:ascii="微软雅黑" w:hAnsi="微软雅黑" w:eastAsia="微软雅黑" w:cs="微软雅黑"/>
                <w:b/>
                <w:bCs/>
                <w:sz w:val="20"/>
                <w:szCs w:val="20"/>
                <w:lang w:bidi="ar"/>
              </w:rPr>
              <w:t>资金情况</w:t>
            </w:r>
          </w:p>
        </w:tc>
      </w:tr>
      <w:tr>
        <w:tblPrEx>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执行率得分</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hint="default" w:cs="宋体"/>
                <w:sz w:val="20"/>
                <w:szCs w:val="20"/>
              </w:rPr>
            </w:pPr>
            <w:r>
              <w:rPr>
                <w:rFonts w:cs="宋体"/>
                <w:sz w:val="20"/>
                <w:szCs w:val="20"/>
                <w:lang w:bidi="ar"/>
              </w:rPr>
              <w:t>年度总金额</w:t>
            </w: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default" w:cs="宋体"/>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 xml:space="preserve">37,358,234.28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default" w:cs="宋体"/>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 xml:space="preserve">61,929,020.40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default" w:cs="宋体"/>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 xml:space="preserve">61,929,020.40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hint="default" w:cs="宋体"/>
                <w:sz w:val="20"/>
                <w:szCs w:val="20"/>
              </w:rPr>
            </w:pPr>
            <w:r>
              <w:rPr>
                <w:rFonts w:cs="宋体"/>
                <w:sz w:val="20"/>
                <w:szCs w:val="20"/>
                <w:lang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default" w:cs="宋体"/>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 xml:space="preserve">37,358,234.28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default" w:cs="宋体"/>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 xml:space="preserve">61,929,020.40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default" w:cs="宋体"/>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 xml:space="preserve">61,929,020.40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 xml:space="preserve">10.00 </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hint="default" w:cs="宋体"/>
                <w:sz w:val="20"/>
                <w:szCs w:val="20"/>
              </w:rPr>
            </w:pPr>
            <w:r>
              <w:rPr>
                <w:rFonts w:cs="宋体"/>
                <w:sz w:val="20"/>
                <w:szCs w:val="20"/>
                <w:lang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default" w:cs="宋体"/>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 xml:space="preserve">36,744,636.28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default" w:cs="宋体"/>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 xml:space="preserve">59,449,997.97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default" w:cs="宋体"/>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 xml:space="preserve">59,449,997.97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sz w:val="20"/>
                <w:szCs w:val="20"/>
              </w:rPr>
            </w:pPr>
            <w:r>
              <w:rPr>
                <w:rFonts w:ascii="微软雅黑" w:hAnsi="微软雅黑" w:eastAsia="微软雅黑" w:cs="微软雅黑"/>
                <w:b/>
                <w:bCs/>
                <w:sz w:val="20"/>
                <w:szCs w:val="20"/>
                <w:lang w:bidi="ar"/>
              </w:rPr>
              <w:t>绩效目标</w:t>
            </w:r>
          </w:p>
        </w:tc>
      </w:tr>
      <w:tr>
        <w:tblPrEx>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全年目标实际完成情况</w:t>
            </w:r>
          </w:p>
        </w:tc>
      </w:tr>
      <w:tr>
        <w:tblPrEx>
          <w:tblCellMar>
            <w:top w:w="0" w:type="dxa"/>
            <w:left w:w="108" w:type="dxa"/>
            <w:bottom w:w="0" w:type="dxa"/>
            <w:right w:w="108" w:type="dxa"/>
          </w:tblCellMar>
        </w:tblPrEx>
        <w:trPr>
          <w:trHeight w:val="2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eastAsia="宋体" w:cs="宋体"/>
                <w:sz w:val="20"/>
                <w:szCs w:val="20"/>
                <w:lang w:eastAsia="zh-CN"/>
              </w:rPr>
            </w:pPr>
            <w:r>
              <w:rPr>
                <w:rFonts w:cs="宋体"/>
                <w:sz w:val="20"/>
                <w:szCs w:val="20"/>
                <w:lang w:bidi="ar"/>
              </w:rPr>
              <w:t>垫江县周嘉镇人民政府认真贯彻落实上级党委政府的相关政策，在镇党委、政府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95%以上</w:t>
            </w:r>
            <w:r>
              <w:rPr>
                <w:rFonts w:hint="eastAsia" w:cs="宋体"/>
                <w:sz w:val="20"/>
                <w:szCs w:val="20"/>
                <w:lang w:eastAsia="zh-CN" w:bidi="ar"/>
              </w:rPr>
              <w:t>。</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eastAsia="宋体" w:cs="宋体"/>
                <w:sz w:val="20"/>
                <w:szCs w:val="20"/>
                <w:lang w:eastAsia="zh-CN"/>
              </w:rPr>
            </w:pPr>
            <w:r>
              <w:rPr>
                <w:rFonts w:cs="宋体"/>
                <w:sz w:val="20"/>
                <w:szCs w:val="20"/>
                <w:lang w:bidi="ar"/>
              </w:rPr>
              <w:t>垫江县周嘉镇人民政府认真贯彻落实上级党委政府的相关政策，在镇党委、政府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95%以上</w:t>
            </w:r>
            <w:r>
              <w:rPr>
                <w:rFonts w:hint="eastAsia" w:cs="宋体"/>
                <w:sz w:val="20"/>
                <w:szCs w:val="20"/>
                <w:lang w:eastAsia="zh-CN" w:bidi="ar"/>
              </w:rPr>
              <w:t>。</w:t>
            </w: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sz w:val="20"/>
                <w:szCs w:val="20"/>
              </w:rPr>
            </w:pPr>
            <w:r>
              <w:rPr>
                <w:rFonts w:ascii="微软雅黑" w:hAnsi="微软雅黑" w:eastAsia="微软雅黑" w:cs="微软雅黑"/>
                <w:b/>
                <w:bCs/>
                <w:sz w:val="20"/>
                <w:szCs w:val="20"/>
                <w:lang w:bidi="ar"/>
              </w:rPr>
              <w:t>绩效指标</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0"/>
                <w:szCs w:val="20"/>
              </w:rPr>
            </w:pPr>
            <w:r>
              <w:rPr>
                <w:rFonts w:cs="宋体"/>
                <w:b/>
                <w:bCs/>
                <w:sz w:val="20"/>
                <w:szCs w:val="20"/>
                <w:lang w:bidi="ar"/>
              </w:rPr>
              <w:t>说明</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党建培训人次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到市、进京非访、集访次数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规上工业总产值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困难群众补助人数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年生活垃圾处理量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农业总产值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企业税收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新增改厕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引进企业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征兵完成率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政务、财务公开率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重大安全事故发生次数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全年目标完成质量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辖区河道水质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部门预决算按时公开率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三季度预算执行进度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全年预算支出执行率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辖区居民人均纯收入增长率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一般公共预算收入完成率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辖区干部满意率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辖区群众满意度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0"/>
                <w:szCs w:val="20"/>
              </w:rPr>
            </w:pPr>
          </w:p>
        </w:tc>
      </w:tr>
    </w:tbl>
    <w:p>
      <w:pPr>
        <w:pStyle w:val="12"/>
        <w:autoSpaceDE w:val="0"/>
        <w:ind w:firstLine="0" w:firstLineChars="0"/>
        <w:rPr>
          <w:rFonts w:ascii="楷体" w:hAnsi="楷体" w:eastAsia="楷体" w:cs="楷体"/>
          <w:b/>
          <w:bCs/>
          <w:sz w:val="32"/>
          <w:szCs w:val="32"/>
          <w:shd w:val="clear" w:color="auto" w:fill="FFFFFF"/>
          <w:lang w:bidi="ar"/>
        </w:rPr>
      </w:pPr>
    </w:p>
    <w:p>
      <w:pPr>
        <w:pStyle w:val="12"/>
        <w:autoSpaceDE w:val="0"/>
        <w:ind w:firstLine="0" w:firstLineChars="0"/>
        <w:rPr>
          <w:rFonts w:ascii="楷体" w:hAnsi="楷体" w:eastAsia="楷体" w:cs="楷体"/>
          <w:b/>
          <w:bCs/>
          <w:sz w:val="32"/>
          <w:szCs w:val="32"/>
          <w:shd w:val="clear" w:color="auto" w:fill="FFFFFF"/>
          <w:lang w:bidi="ar"/>
        </w:rPr>
      </w:pPr>
    </w:p>
    <w:p>
      <w:pPr>
        <w:pStyle w:val="12"/>
        <w:autoSpaceDE w:val="0"/>
        <w:ind w:firstLine="0" w:firstLineChars="0"/>
        <w:rPr>
          <w:rFonts w:ascii="楷体" w:hAnsi="楷体" w:eastAsia="楷体" w:cs="楷体"/>
          <w:b/>
          <w:bCs/>
          <w:sz w:val="32"/>
          <w:szCs w:val="32"/>
          <w:shd w:val="clear" w:color="auto" w:fill="FFFFFF"/>
          <w:lang w:bidi="ar"/>
        </w:rPr>
      </w:pPr>
    </w:p>
    <w:p>
      <w:pPr>
        <w:pStyle w:val="12"/>
        <w:autoSpaceDE w:val="0"/>
        <w:ind w:firstLine="0" w:firstLineChars="0"/>
        <w:rPr>
          <w:rFonts w:ascii="楷体" w:hAnsi="楷体" w:eastAsia="楷体" w:cs="楷体"/>
          <w:b/>
          <w:bCs/>
          <w:sz w:val="32"/>
          <w:szCs w:val="32"/>
          <w:shd w:val="clear" w:color="auto" w:fill="FFFFFF"/>
          <w:lang w:bidi="ar"/>
        </w:rPr>
      </w:pPr>
    </w:p>
    <w:p>
      <w:pPr>
        <w:pStyle w:val="12"/>
        <w:autoSpaceDE w:val="0"/>
        <w:ind w:firstLine="0" w:firstLineChars="0"/>
        <w:rPr>
          <w:rFonts w:ascii="楷体" w:hAnsi="楷体" w:eastAsia="楷体" w:cs="楷体"/>
          <w:b/>
          <w:bCs/>
          <w:sz w:val="32"/>
          <w:szCs w:val="32"/>
          <w:shd w:val="clear" w:color="auto" w:fill="FFFFFF"/>
          <w:lang w:bidi="ar"/>
        </w:rPr>
      </w:pPr>
    </w:p>
    <w:p>
      <w:pPr>
        <w:pStyle w:val="12"/>
        <w:autoSpaceDE w:val="0"/>
        <w:ind w:firstLine="0" w:firstLineChars="0"/>
        <w:rPr>
          <w:rFonts w:ascii="楷体" w:hAnsi="楷体" w:eastAsia="楷体" w:cs="楷体"/>
          <w:b/>
          <w:bCs/>
          <w:sz w:val="32"/>
          <w:szCs w:val="32"/>
          <w:shd w:val="clear" w:color="auto" w:fill="FFFFFF"/>
          <w:lang w:bidi="ar"/>
        </w:rPr>
      </w:pPr>
    </w:p>
    <w:p>
      <w:pPr>
        <w:pStyle w:val="12"/>
        <w:autoSpaceDE w:val="0"/>
        <w:ind w:firstLine="0" w:firstLineChars="0"/>
        <w:rPr>
          <w:rFonts w:ascii="楷体" w:hAnsi="楷体" w:eastAsia="楷体" w:cs="楷体"/>
          <w:b/>
          <w:bCs/>
          <w:sz w:val="32"/>
          <w:szCs w:val="32"/>
          <w:shd w:val="clear" w:color="auto" w:fill="FFFFFF"/>
          <w:lang w:bidi="ar"/>
        </w:rPr>
      </w:pPr>
    </w:p>
    <w:p>
      <w:pPr>
        <w:pStyle w:val="12"/>
        <w:autoSpaceDE w:val="0"/>
        <w:ind w:firstLine="0" w:firstLineChars="0"/>
        <w:rPr>
          <w:rFonts w:ascii="楷体" w:hAnsi="楷体" w:eastAsia="楷体" w:cs="楷体"/>
          <w:b/>
          <w:bCs/>
          <w:sz w:val="32"/>
          <w:szCs w:val="32"/>
          <w:shd w:val="clear" w:color="auto" w:fill="FFFFFF"/>
          <w:lang w:bidi="ar"/>
        </w:rPr>
      </w:pPr>
    </w:p>
    <w:p>
      <w:pPr>
        <w:pStyle w:val="12"/>
        <w:autoSpaceDE w:val="0"/>
        <w:ind w:firstLine="0" w:firstLineChars="0"/>
        <w:rPr>
          <w:rFonts w:ascii="楷体" w:hAnsi="楷体" w:eastAsia="楷体" w:cs="楷体"/>
          <w:b/>
          <w:bCs/>
          <w:sz w:val="32"/>
          <w:szCs w:val="32"/>
          <w:shd w:val="clear" w:color="auto" w:fill="FFFFFF"/>
          <w:lang w:bidi="ar"/>
        </w:rPr>
      </w:pPr>
    </w:p>
    <w:p>
      <w:pPr>
        <w:pStyle w:val="12"/>
        <w:autoSpaceDE w:val="0"/>
        <w:ind w:firstLine="0" w:firstLineChars="0"/>
        <w:rPr>
          <w:rFonts w:ascii="楷体" w:hAnsi="楷体" w:eastAsia="楷体" w:cs="楷体"/>
          <w:b/>
          <w:bCs/>
          <w:sz w:val="32"/>
          <w:szCs w:val="32"/>
          <w:shd w:val="clear" w:color="auto" w:fill="FFFFFF"/>
          <w:lang w:bidi="ar"/>
        </w:rPr>
      </w:pPr>
    </w:p>
    <w:p>
      <w:pPr>
        <w:pStyle w:val="12"/>
        <w:autoSpaceDE w:val="0"/>
        <w:ind w:firstLine="0" w:firstLineChars="0"/>
        <w:rPr>
          <w:rFonts w:ascii="楷体" w:hAnsi="楷体" w:eastAsia="楷体" w:cs="楷体"/>
          <w:b/>
          <w:bCs/>
          <w:sz w:val="32"/>
          <w:szCs w:val="32"/>
          <w:shd w:val="clear" w:color="auto" w:fill="FFFFFF"/>
          <w:lang w:bidi="ar"/>
        </w:rPr>
      </w:pPr>
    </w:p>
    <w:tbl>
      <w:tblPr>
        <w:tblStyle w:val="8"/>
        <w:tblW w:w="0" w:type="auto"/>
        <w:tblInd w:w="93" w:type="dxa"/>
        <w:tblLayout w:type="autofit"/>
        <w:tblCellMar>
          <w:top w:w="0" w:type="dxa"/>
          <w:left w:w="108" w:type="dxa"/>
          <w:bottom w:w="0" w:type="dxa"/>
          <w:right w:w="108" w:type="dxa"/>
        </w:tblCellMar>
      </w:tblPr>
      <w:tblGrid>
        <w:gridCol w:w="579"/>
        <w:gridCol w:w="398"/>
        <w:gridCol w:w="398"/>
        <w:gridCol w:w="935"/>
        <w:gridCol w:w="981"/>
        <w:gridCol w:w="1170"/>
        <w:gridCol w:w="731"/>
        <w:gridCol w:w="935"/>
        <w:gridCol w:w="486"/>
        <w:gridCol w:w="620"/>
        <w:gridCol w:w="1205"/>
      </w:tblGrid>
      <w:tr>
        <w:tblPrEx>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sz w:val="40"/>
                <w:szCs w:val="40"/>
              </w:rPr>
            </w:pPr>
            <w:r>
              <w:rPr>
                <w:rFonts w:ascii="微软雅黑" w:hAnsi="微软雅黑" w:eastAsia="微软雅黑" w:cs="微软雅黑"/>
                <w:b/>
                <w:bCs/>
                <w:sz w:val="40"/>
                <w:szCs w:val="40"/>
                <w:lang w:bidi="ar"/>
              </w:rPr>
              <w:t>2023年度二级项目绩效自评表</w:t>
            </w:r>
          </w:p>
        </w:tc>
      </w:tr>
      <w:tr>
        <w:tblPrEx>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状态：绩效审核已审</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残疾人事业发展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50023123T000002763447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706-垫江县周嘉镇人民政府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014-会计管理核算中心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蒋汶娥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15823715908</w:t>
            </w: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资金情况</w:t>
            </w:r>
          </w:p>
        </w:tc>
      </w:tr>
      <w:tr>
        <w:tblPrEx>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sz w:val="22"/>
                <w:szCs w:val="22"/>
              </w:rPr>
            </w:pPr>
            <w:r>
              <w:rPr>
                <w:rFonts w:cs="宋体"/>
                <w:b/>
                <w:bCs/>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执行率得分</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年度总金额</w:t>
            </w:r>
          </w:p>
        </w:tc>
        <w:tc>
          <w:tcPr>
            <w:tcW w:w="0" w:type="auto"/>
            <w:tcBorders>
              <w:top w:val="single" w:color="000000" w:sz="4" w:space="0"/>
              <w:left w:val="nil"/>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36,544.00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99,652.00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99,652.00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36,544.00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99,652.00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99,652.00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10.00 </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36,544.00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83,260.00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83,260.00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sz w:val="22"/>
                <w:szCs w:val="22"/>
              </w:rPr>
            </w:pP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绩效目标</w:t>
            </w:r>
          </w:p>
        </w:tc>
      </w:tr>
      <w:tr>
        <w:tblPrEx>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全年目标实际完成情况</w:t>
            </w:r>
          </w:p>
        </w:tc>
      </w:tr>
      <w:tr>
        <w:tblPrEx>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完成13户困难重试残疾人家庭无障碍改造，对16个村一季度残疾人专职委员工作进行补贴。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完成13户困难重试残疾人家庭无障碍改造，对16个村一季度残疾人专职委员工作进行补贴。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完成13户困难重试残疾人家庭无障碍改造，对16个村一季度残疾人专职委员工作进行补贴。</w:t>
            </w: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绩效指标</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说明</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无障碍改造涉及户数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专职委员工作补贴人数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完成质量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资金到位时间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对残疾人家庭生活影响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有效改善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补贴对象满意度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补贴金额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62144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62144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bl>
    <w:p>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tbl>
      <w:tblPr>
        <w:tblStyle w:val="8"/>
        <w:tblW w:w="0" w:type="auto"/>
        <w:tblInd w:w="93" w:type="dxa"/>
        <w:tblLayout w:type="autofit"/>
        <w:tblCellMar>
          <w:top w:w="0" w:type="dxa"/>
          <w:left w:w="108" w:type="dxa"/>
          <w:bottom w:w="0" w:type="dxa"/>
          <w:right w:w="108" w:type="dxa"/>
        </w:tblCellMar>
      </w:tblPr>
      <w:tblGrid>
        <w:gridCol w:w="1278"/>
        <w:gridCol w:w="750"/>
        <w:gridCol w:w="750"/>
        <w:gridCol w:w="834"/>
        <w:gridCol w:w="657"/>
        <w:gridCol w:w="731"/>
        <w:gridCol w:w="819"/>
        <w:gridCol w:w="608"/>
        <w:gridCol w:w="569"/>
        <w:gridCol w:w="746"/>
        <w:gridCol w:w="696"/>
      </w:tblGrid>
      <w:tr>
        <w:tblPrEx>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40"/>
                <w:szCs w:val="40"/>
              </w:rPr>
            </w:pPr>
            <w:r>
              <w:rPr>
                <w:rFonts w:ascii="微软雅黑" w:hAnsi="微软雅黑" w:eastAsia="微软雅黑" w:cs="微软雅黑"/>
                <w:b/>
                <w:bCs/>
                <w:sz w:val="40"/>
                <w:szCs w:val="40"/>
                <w:lang w:bidi="ar"/>
              </w:rPr>
              <w:t>2023年度二级项目绩效自评表</w:t>
            </w:r>
          </w:p>
        </w:tc>
      </w:tr>
      <w:tr>
        <w:tblPrEx>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b/>
                <w:bCs/>
                <w:sz w:val="22"/>
                <w:szCs w:val="22"/>
              </w:rPr>
            </w:pPr>
            <w:r>
              <w:rPr>
                <w:rFonts w:cs="宋体"/>
                <w:b/>
                <w:bCs/>
                <w:sz w:val="22"/>
                <w:szCs w:val="22"/>
                <w:lang w:bidi="ar"/>
              </w:rPr>
              <w:t>状态：绩效审核已审</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农村“厕所革命”补助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50023122T000002052783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706-垫江县周嘉镇人民政府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014-会计管理核算中心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蒋汶娥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15823715908</w:t>
            </w: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资金情况</w:t>
            </w:r>
          </w:p>
        </w:tc>
      </w:tr>
      <w:tr>
        <w:tblPrEx>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22"/>
                <w:szCs w:val="22"/>
              </w:rPr>
            </w:pPr>
            <w:r>
              <w:rPr>
                <w:rFonts w:cs="宋体"/>
                <w:b/>
                <w:bCs/>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执行率得分</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22"/>
                <w:szCs w:val="22"/>
              </w:rPr>
            </w:pPr>
            <w:r>
              <w:rPr>
                <w:rFonts w:cs="宋体"/>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 xml:space="preserve">10.00 </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sz w:val="22"/>
                <w:szCs w:val="22"/>
              </w:rPr>
            </w:pP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绩效目标</w:t>
            </w:r>
          </w:p>
        </w:tc>
      </w:tr>
      <w:tr>
        <w:tblPrEx>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全年目标实际完成情况</w:t>
            </w:r>
          </w:p>
        </w:tc>
      </w:tr>
      <w:tr>
        <w:tblPrEx>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推对全镇厕所改革，对全镇234户农户改厕补助，促进农村人居环境改造。</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推对全镇厕所改革，对全镇234户农户改厕补助，促进农村人居环境改造。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推对全镇厕所改革，对全镇234户农户改厕补助，促进农村人居环境改造。</w:t>
            </w: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绩效指标</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说明</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零散推进户每户补助金额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项目零散推进户数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项目整体推进户数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整体推进户每户补助金额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改厕质量验收合格率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补助资金到位时间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2023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2023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对农户生活影响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补助群众满意度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项目所需资金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42.98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42.98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bl>
    <w:p>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tbl>
      <w:tblPr>
        <w:tblStyle w:val="8"/>
        <w:tblW w:w="0" w:type="auto"/>
        <w:tblInd w:w="93" w:type="dxa"/>
        <w:tblLayout w:type="autofit"/>
        <w:tblCellMar>
          <w:top w:w="0" w:type="dxa"/>
          <w:left w:w="108" w:type="dxa"/>
          <w:bottom w:w="0" w:type="dxa"/>
          <w:right w:w="108" w:type="dxa"/>
        </w:tblCellMar>
      </w:tblPr>
      <w:tblGrid>
        <w:gridCol w:w="1267"/>
        <w:gridCol w:w="744"/>
        <w:gridCol w:w="744"/>
        <w:gridCol w:w="827"/>
        <w:gridCol w:w="653"/>
        <w:gridCol w:w="725"/>
        <w:gridCol w:w="813"/>
        <w:gridCol w:w="669"/>
        <w:gridCol w:w="565"/>
        <w:gridCol w:w="740"/>
        <w:gridCol w:w="691"/>
      </w:tblGrid>
      <w:tr>
        <w:tblPrEx>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40"/>
                <w:szCs w:val="40"/>
              </w:rPr>
            </w:pPr>
            <w:r>
              <w:rPr>
                <w:rFonts w:ascii="微软雅黑" w:hAnsi="微软雅黑" w:eastAsia="微软雅黑" w:cs="微软雅黑"/>
                <w:b/>
                <w:bCs/>
                <w:sz w:val="40"/>
                <w:szCs w:val="40"/>
                <w:lang w:bidi="ar"/>
              </w:rPr>
              <w:t>2023年度二级项目绩效自评表</w:t>
            </w:r>
          </w:p>
        </w:tc>
      </w:tr>
      <w:tr>
        <w:tblPrEx>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b/>
                <w:bCs/>
                <w:sz w:val="22"/>
                <w:szCs w:val="22"/>
              </w:rPr>
            </w:pPr>
            <w:r>
              <w:rPr>
                <w:rFonts w:cs="宋体"/>
                <w:b/>
                <w:bCs/>
                <w:sz w:val="22"/>
                <w:szCs w:val="22"/>
                <w:lang w:bidi="ar"/>
              </w:rPr>
              <w:t>状态：绩效审核已审</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支持中小企业发展资金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50023123T000003746103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706-垫江县周嘉镇人民政府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014-会计管理核算中心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蒋汶娥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15823715908</w:t>
            </w: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资金情况</w:t>
            </w:r>
          </w:p>
        </w:tc>
      </w:tr>
      <w:tr>
        <w:tblPrEx>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22"/>
                <w:szCs w:val="22"/>
              </w:rPr>
            </w:pPr>
            <w:r>
              <w:rPr>
                <w:rFonts w:cs="宋体"/>
                <w:b/>
                <w:bCs/>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执行率得分</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22"/>
                <w:szCs w:val="22"/>
              </w:rPr>
            </w:pPr>
            <w:r>
              <w:rPr>
                <w:rFonts w:cs="宋体"/>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 xml:space="preserve">10.00 </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sz w:val="22"/>
                <w:szCs w:val="22"/>
              </w:rPr>
            </w:pP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绩效目标</w:t>
            </w:r>
          </w:p>
        </w:tc>
      </w:tr>
      <w:tr>
        <w:tblPrEx>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全年目标实际完成情况</w:t>
            </w:r>
          </w:p>
        </w:tc>
      </w:tr>
      <w:tr>
        <w:tblPrEx>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支持30余家中小企业健康发展，带动居民就业。</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支持30余家中小企业健康发展，带动居民就业。</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支持30余家中小企业健康发展，带动居民就业。</w:t>
            </w: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绩效指标</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说明</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增加附近居民就业人数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支持中小企业个数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支持中小企业条件</w:t>
            </w:r>
            <w:r>
              <w:rPr>
                <w:rFonts w:hint="eastAsia" w:cs="宋体"/>
                <w:sz w:val="22"/>
                <w:szCs w:val="22"/>
                <w:lang w:eastAsia="zh-CN" w:bidi="ar"/>
              </w:rPr>
              <w:t>符合</w:t>
            </w:r>
            <w:r>
              <w:rPr>
                <w:rFonts w:cs="宋体"/>
                <w:sz w:val="22"/>
                <w:szCs w:val="22"/>
                <w:lang w:bidi="ar"/>
              </w:rPr>
              <w:t>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项目资金到位及时率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带动企业增收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促进企业发展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受支持企业满意度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项目所需资金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bl>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（二）单位绩效评价情况</w:t>
      </w:r>
    </w:p>
    <w:p>
      <w:pPr>
        <w:pStyle w:val="12"/>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我单位未组织开展绩效评价。</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2"/>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六、专业名词解释</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 </w:t>
      </w: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七、决算公开联系方式及信息反馈渠道</w:t>
      </w:r>
    </w:p>
    <w:p>
      <w:pPr>
        <w:pStyle w:val="7"/>
        <w:spacing w:before="0" w:beforeAutospacing="0"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sz w:val="32"/>
          <w:szCs w:val="32"/>
          <w:shd w:val="clear" w:color="auto" w:fill="FFFFFF"/>
        </w:rPr>
        <w:t>本部门决算公开信息反馈和联系方式：</w:t>
      </w:r>
      <w:r>
        <w:rPr>
          <w:rFonts w:ascii="方正仿宋_GBK" w:hAnsi="方正仿宋_GBK" w:eastAsia="方正仿宋_GBK" w:cs="方正仿宋_GBK"/>
          <w:kern w:val="2"/>
          <w:sz w:val="32"/>
          <w:szCs w:val="32"/>
          <w:lang w:bidi="ar"/>
        </w:rPr>
        <w:t>：023-74542700。</w:t>
      </w:r>
    </w:p>
    <w:p>
      <w:pPr>
        <w:spacing w:after="100" w:afterAutospacing="1" w:line="594" w:lineRule="exact"/>
        <w:rPr>
          <w:rFonts w:hint="default" w:ascii="方正仿宋_GBK" w:hAnsi="方正仿宋_GBK" w:eastAsia="方正仿宋_GBK" w:cs="方正仿宋_GBK"/>
          <w:kern w:val="2"/>
          <w:sz w:val="32"/>
          <w:szCs w:val="32"/>
          <w:lang w:bidi="ar"/>
        </w:rPr>
      </w:pPr>
    </w:p>
    <w:p>
      <w:pPr>
        <w:spacing w:after="100" w:afterAutospacing="1" w:line="594" w:lineRule="exact"/>
        <w:rPr>
          <w:rFonts w:hint="default" w:ascii="方正仿宋_GBK" w:hAnsi="方正仿宋_GBK" w:eastAsia="方正仿宋_GBK" w:cs="方正仿宋_GBK"/>
          <w:kern w:val="2"/>
          <w:sz w:val="32"/>
          <w:szCs w:val="32"/>
          <w:lang w:bidi="ar"/>
        </w:rPr>
      </w:pPr>
    </w:p>
    <w:p>
      <w:pPr>
        <w:spacing w:after="100" w:afterAutospacing="1" w:line="594" w:lineRule="exact"/>
        <w:rPr>
          <w:rFonts w:hint="default" w:ascii="方正仿宋_GBK" w:hAnsi="方正仿宋_GBK" w:eastAsia="方正仿宋_GBK" w:cs="方正仿宋_GBK"/>
          <w:kern w:val="2"/>
          <w:sz w:val="32"/>
          <w:szCs w:val="32"/>
          <w:lang w:bidi="ar"/>
        </w:rPr>
      </w:pPr>
    </w:p>
    <w:p>
      <w:pPr>
        <w:spacing w:after="100" w:afterAutospacing="1" w:line="594" w:lineRule="exact"/>
        <w:rPr>
          <w:rFonts w:hint="default" w:ascii="方正仿宋_GBK" w:hAnsi="方正仿宋_GBK" w:eastAsia="方正仿宋_GBK" w:cs="方正仿宋_GBK"/>
          <w:kern w:val="2"/>
          <w:sz w:val="32"/>
          <w:szCs w:val="32"/>
          <w:lang w:bidi="ar"/>
        </w:rPr>
      </w:pPr>
    </w:p>
    <w:p>
      <w:pPr>
        <w:spacing w:after="100" w:afterAutospacing="1" w:line="594" w:lineRule="exact"/>
        <w:rPr>
          <w:rFonts w:hint="default" w:ascii="方正仿宋_GBK" w:hAnsi="方正仿宋_GBK" w:eastAsia="方正仿宋_GBK" w:cs="方正仿宋_GBK"/>
          <w:kern w:val="2"/>
          <w:sz w:val="32"/>
          <w:szCs w:val="32"/>
          <w:lang w:bidi="ar"/>
        </w:rPr>
      </w:pPr>
    </w:p>
    <w:p>
      <w:p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附表：</w:t>
      </w:r>
    </w:p>
    <w:p>
      <w:pPr>
        <w:numPr>
          <w:ilvl w:val="0"/>
          <w:numId w:val="3"/>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收入支出决算总表</w:t>
      </w:r>
    </w:p>
    <w:p>
      <w:pPr>
        <w:numPr>
          <w:ilvl w:val="0"/>
          <w:numId w:val="3"/>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收入决算表</w:t>
      </w:r>
    </w:p>
    <w:p>
      <w:pPr>
        <w:numPr>
          <w:ilvl w:val="0"/>
          <w:numId w:val="3"/>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支出决算表</w:t>
      </w:r>
    </w:p>
    <w:p>
      <w:pPr>
        <w:numPr>
          <w:ilvl w:val="0"/>
          <w:numId w:val="3"/>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财政拨款收入支出决算总表</w:t>
      </w:r>
    </w:p>
    <w:p>
      <w:pPr>
        <w:numPr>
          <w:ilvl w:val="0"/>
          <w:numId w:val="3"/>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一般公共预算财政拨款支出决算表</w:t>
      </w:r>
    </w:p>
    <w:p>
      <w:pPr>
        <w:numPr>
          <w:ilvl w:val="0"/>
          <w:numId w:val="3"/>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一般公共预算财政拨款基本支出决算表</w:t>
      </w:r>
    </w:p>
    <w:p>
      <w:pPr>
        <w:numPr>
          <w:ilvl w:val="0"/>
          <w:numId w:val="3"/>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政府性基金预算财政拨款收入支出决算表</w:t>
      </w:r>
    </w:p>
    <w:p>
      <w:pPr>
        <w:numPr>
          <w:ilvl w:val="0"/>
          <w:numId w:val="3"/>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国有资本经营预算财政拨款支出决算表</w:t>
      </w:r>
    </w:p>
    <w:p>
      <w:pPr>
        <w:numPr>
          <w:ilvl w:val="0"/>
          <w:numId w:val="3"/>
        </w:numPr>
        <w:spacing w:after="100" w:afterAutospacing="1" w:line="594" w:lineRule="exact"/>
        <w:rPr>
          <w:rStyle w:val="11"/>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kern w:val="2"/>
          <w:sz w:val="32"/>
          <w:szCs w:val="32"/>
          <w:lang w:bidi="ar"/>
        </w:rPr>
        <w:t>机构运行信息表</w:t>
      </w:r>
    </w:p>
    <w:p>
      <w:pPr>
        <w:pStyle w:val="12"/>
        <w:autoSpaceDE w:val="0"/>
        <w:ind w:firstLine="0" w:firstLineChars="0"/>
        <w:rPr>
          <w:rStyle w:val="11"/>
          <w:rFonts w:ascii="方正仿宋_GBK" w:hAnsi="方正仿宋_GBK" w:eastAsia="方正仿宋_GBK" w:cs="方正仿宋_GBK"/>
          <w:sz w:val="32"/>
          <w:szCs w:val="32"/>
          <w:shd w:val="clear" w:color="auto" w:fill="FFFF00"/>
        </w:rPr>
      </w:pPr>
    </w:p>
    <w:p>
      <w:pPr>
        <w:pStyle w:val="12"/>
        <w:autoSpaceDE w:val="0"/>
        <w:ind w:firstLine="0" w:firstLineChars="0"/>
        <w:rPr>
          <w:rStyle w:val="11"/>
          <w:rFonts w:ascii="方正仿宋_GBK" w:hAnsi="方正仿宋_GBK" w:eastAsia="方正仿宋_GBK" w:cs="方正仿宋_GBK"/>
          <w:sz w:val="32"/>
          <w:szCs w:val="32"/>
          <w:shd w:val="clear" w:color="auto" w:fill="FFFF00"/>
        </w:rPr>
      </w:pPr>
    </w:p>
    <w:p>
      <w:pPr>
        <w:pStyle w:val="12"/>
        <w:autoSpaceDE w:val="0"/>
        <w:ind w:firstLine="0" w:firstLineChars="0"/>
        <w:rPr>
          <w:rStyle w:val="11"/>
          <w:rFonts w:ascii="方正仿宋_GBK" w:hAnsi="方正仿宋_GBK" w:eastAsia="方正仿宋_GBK" w:cs="方正仿宋_GBK"/>
          <w:sz w:val="32"/>
          <w:szCs w:val="32"/>
          <w:shd w:val="clear" w:color="auto" w:fill="FFFF00"/>
        </w:rPr>
      </w:pPr>
    </w:p>
    <w:p>
      <w:pPr>
        <w:pStyle w:val="12"/>
        <w:autoSpaceDE w:val="0"/>
        <w:ind w:firstLine="0" w:firstLineChars="0"/>
        <w:rPr>
          <w:rStyle w:val="11"/>
          <w:rFonts w:ascii="方正仿宋_GBK" w:hAnsi="方正仿宋_GBK" w:eastAsia="方正仿宋_GBK" w:cs="方正仿宋_GBK"/>
          <w:sz w:val="32"/>
          <w:szCs w:val="32"/>
          <w:shd w:val="clear" w:color="auto" w:fill="FFFF00"/>
        </w:rPr>
      </w:pPr>
    </w:p>
    <w:p>
      <w:pPr>
        <w:pStyle w:val="12"/>
        <w:autoSpaceDE w:val="0"/>
        <w:ind w:firstLine="0" w:firstLineChars="0"/>
        <w:rPr>
          <w:rStyle w:val="11"/>
          <w:rFonts w:ascii="方正仿宋_GBK" w:hAnsi="方正仿宋_GBK" w:eastAsia="方正仿宋_GBK" w:cs="方正仿宋_GBK"/>
          <w:sz w:val="32"/>
          <w:szCs w:val="32"/>
          <w:shd w:val="clear" w:color="auto" w:fill="FFFF00"/>
        </w:rPr>
      </w:pPr>
    </w:p>
    <w:p>
      <w:pPr>
        <w:pStyle w:val="12"/>
        <w:autoSpaceDE w:val="0"/>
        <w:ind w:firstLine="0" w:firstLineChars="0"/>
        <w:rPr>
          <w:rStyle w:val="11"/>
          <w:rFonts w:ascii="方正仿宋_GBK" w:hAnsi="方正仿宋_GBK" w:eastAsia="方正仿宋_GBK" w:cs="方正仿宋_GBK"/>
          <w:sz w:val="32"/>
          <w:szCs w:val="32"/>
          <w:shd w:val="clear" w:color="auto" w:fill="FFFF00"/>
        </w:rPr>
      </w:pPr>
    </w:p>
    <w:p>
      <w:pPr>
        <w:pStyle w:val="12"/>
        <w:autoSpaceDE w:val="0"/>
        <w:ind w:firstLine="0" w:firstLineChars="0"/>
        <w:rPr>
          <w:rStyle w:val="11"/>
          <w:rFonts w:ascii="方正仿宋_GBK" w:hAnsi="方正仿宋_GBK" w:eastAsia="方正仿宋_GBK" w:cs="方正仿宋_GBK"/>
          <w:sz w:val="32"/>
          <w:szCs w:val="32"/>
          <w:shd w:val="clear" w:color="auto" w:fill="FFFF00"/>
        </w:rPr>
      </w:pPr>
    </w:p>
    <w:p>
      <w:pPr>
        <w:pStyle w:val="12"/>
        <w:autoSpaceDE w:val="0"/>
        <w:ind w:firstLine="0" w:firstLineChars="0"/>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8"/>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rPr>
            </w:pPr>
            <w:r>
              <w:rPr>
                <w:rFonts w:cs="宋体"/>
              </w:rPr>
              <w:t>公开部门：垫江县周嘉镇人民政府</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5,936.25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1,203.10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247.87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0.03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2.20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26.79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86.83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615.00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75.63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8.86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388.60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1,419.98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1,222.45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934.20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134.45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0.03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11.83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62.96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6,184.15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6,192.90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8.75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6,192.90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sz w:val="20"/>
                <w:szCs w:val="20"/>
              </w:rPr>
            </w:pPr>
            <w:r>
              <w:rPr>
                <w:rFonts w:cs="宋体"/>
                <w:sz w:val="21"/>
                <w:szCs w:val="21"/>
                <w:lang w:bidi="ar"/>
              </w:rPr>
              <w:t xml:space="preserve">6,192.90 </w:t>
            </w:r>
          </w:p>
        </w:tc>
      </w:tr>
    </w:tbl>
    <w:p>
      <w:pPr>
        <w:rPr>
          <w:rFonts w:hint="default" w:cs="宋体"/>
          <w:sz w:val="21"/>
          <w:szCs w:val="21"/>
          <w:lang w:bidi="ar"/>
        </w:rPr>
      </w:pPr>
      <w:r>
        <w:rPr>
          <w:rFonts w:cs="宋体"/>
          <w:sz w:val="21"/>
          <w:szCs w:val="21"/>
          <w:lang w:bidi="ar"/>
        </w:rPr>
        <w:t>备注：1.本表反映部门本年度的总收支和年末结转结余情况。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8"/>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r>
              <w:rPr>
                <w:rFonts w:cs="宋体"/>
              </w:rPr>
              <w:t>公开部门：垫江县周嘉镇人民政府</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6,184.15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6,184.15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1,196.35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1,196.35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人大会议</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政协事务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1,021.65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1,021.65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930.91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930.91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信访事务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2010507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17.70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17.70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2011308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7.51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7.51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21.04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21.04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13.04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13.04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其他党委办公厅（室）及相关机构事务支出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组织事务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98.91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98.91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2013699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98.91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98.91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市场监督管理事务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15.36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15.36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2013816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食品安全监管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15.36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15.36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20306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国防动员</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2030601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兵役征集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26.79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26.79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其他公安支出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司法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2040602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86.83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86.83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86.83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86.83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2070109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群众文化</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77.54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77.54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2070199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615.00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615.00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141.78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141.78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0.46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0.46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社会保险经办机构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2080150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140.32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140.32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其他人力资源和社会保障管理事务支出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民政管理事务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其他民政管理事务支出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324.98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324.98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124.41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124.41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52.20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52.20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148.37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148.37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48.89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48.89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死亡抚恤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其他优抚支出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3.73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3.73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退役安置</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其他退役安置支出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44.27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44.27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2081106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残疾人体育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43.77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43.77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临时救助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2082001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临时救助支出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6.49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6.49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其他城市生活救助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2082502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其他农村生活救助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46.59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46.59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2082850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36.60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36.60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75.63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75.63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2100410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2100799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其他计划生育事务支出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72.11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72.11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47.09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47.09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25.02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25.02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优抚对象医疗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优抚对象医疗补助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医疗保障管理事务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医疗保障经办事务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天然林保护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2110506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天然林保护工程建设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388.60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388.60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90.69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90.69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城管执法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90.69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90.69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城乡社区公共设施</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2120399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其他城乡社区公共设施支出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184.91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184.91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184.91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184.91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1,417.98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1,417.98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561.47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561.47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264.88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264.88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2130122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农业生产发展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2130135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农业资源保护修复与利用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211.78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211.78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2130148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渔业发展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其他农业农村支出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18.63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18.63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32.76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32.76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森林资源培育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32.76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32.76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50.92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50.92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2130314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防汛</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2130315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抗旱</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34.90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34.90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2130504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农村基础设施建设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其他巩固脱贫攻坚成果衔接乡村振兴支出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737.93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737.93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2130705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542.93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542.93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1,222.45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1,222.45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28.75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28.75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公路养护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28.75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28.75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车辆购置税支出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1,193.69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1,193.69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2140601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车辆购置税用于公路等基础设施建设支出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1,094.51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1,094.51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2140602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车辆购置税用于农村公路建设支出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99.18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99.18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2150899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934.20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934.20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134.45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134.45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40.80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40.80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2210105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农村危房改造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国有资本经营预算支出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解决历史遗留问题及改革成本支出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2230105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国有企业退休人员社会化管理补助支出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应急管理事务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安全监管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自然灾害防治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2240601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地质灾害防治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2240703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自然灾害救灾补助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2240799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22960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彩票公益金安排的支出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用于社会福利的彩票公益金支出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6.32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6.32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用于体育事业的彩票公益金支出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用于残疾人事业的彩票公益金支出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用于其他社会公益事业的彩票公益金支出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bl>
    <w:p>
      <w:pPr>
        <w:ind w:left="630" w:hanging="630" w:hangingChars="300"/>
        <w:rPr>
          <w:rFonts w:hint="default" w:cs="宋体"/>
          <w:sz w:val="21"/>
          <w:szCs w:val="21"/>
          <w:lang w:bidi="ar"/>
        </w:rPr>
      </w:pPr>
      <w:r>
        <w:rPr>
          <w:rFonts w:cs="宋体"/>
          <w:sz w:val="21"/>
          <w:szCs w:val="21"/>
          <w:lang w:bidi="ar"/>
        </w:rPr>
        <w:t>备注：1.本表反映部门本年度取得的各项收入情况。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pPr>
        <w:rPr>
          <w:rFonts w:hint="default" w:cs="宋体"/>
          <w:sz w:val="21"/>
          <w:szCs w:val="21"/>
          <w:lang w:bidi="ar"/>
        </w:rPr>
      </w:pPr>
      <w:r>
        <w:rPr>
          <w:rFonts w:cs="宋体"/>
          <w:sz w:val="21"/>
          <w:szCs w:val="21"/>
          <w:lang w:bidi="ar"/>
        </w:rPr>
        <w:br w:type="page"/>
      </w:r>
    </w:p>
    <w:p>
      <w:pPr>
        <w:ind w:left="630" w:hanging="630" w:hangingChars="300"/>
        <w:rPr>
          <w:rFonts w:hint="default" w:cs="宋体"/>
          <w:sz w:val="21"/>
          <w:szCs w:val="21"/>
          <w:lang w:bidi="ar"/>
        </w:rPr>
      </w:pPr>
    </w:p>
    <w:tbl>
      <w:tblPr>
        <w:tblStyle w:val="8"/>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lang w:bidi="ar"/>
              </w:rPr>
              <w:t xml:space="preserve">： </w:t>
            </w:r>
            <w:r>
              <w:t xml:space="preserve">垫江县周嘉镇人民政府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6,192.90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2,486.97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3,705.93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1,203.10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272.19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人大会议</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政协事务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1,021.65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90.74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信访事务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2010507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17.70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17.70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2011308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27.79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27.79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98.91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98.91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2013699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98.91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98.91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市场监督管理事务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15.36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15.36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2013816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食品安全监管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20306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国防动员</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2030601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兵役征集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26.79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26.79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司法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2040602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86.83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77.54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86.83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77.54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2070109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群众文化</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77.54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77.54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2070199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615.00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537.24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77.76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141.78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140.32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社会保险经办机构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2080150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140.32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140.32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其他人力资源和社会保障管理事务支出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民政管理事务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其他民政管理事务支出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324.98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315.17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124.41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124.41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148.37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138.56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48.89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45.16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3.73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死亡抚恤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其他优抚支出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3.73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3.73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退役安置</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其他退役安置支出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44.27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44.27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2081106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残疾人体育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43.77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43.77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临时救助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2082001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临时救助支出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6.49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6.49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其他城市生活救助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2082502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其他农村生活救助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46.59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36.60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2082850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36.60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36.60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75.63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72.11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2100410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2100799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72.11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72.11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47.09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47.09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25.02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25.02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优抚对象医疗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优抚对象医疗补助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医疗保障管理事务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医疗保障经办事务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天然林保护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2110506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天然林保护工程建设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388.60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90.69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297.91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90.69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90.69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城管执法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90.69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90.69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城乡社区公共设施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2120399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其他城乡社区公共设施支出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184.91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184.91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184.91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184.91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1,419.98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684.84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735.14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561.47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264.88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296.59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264.88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264.88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2130122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农业生产发展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2130135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农业资源保护修复与利用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211.78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211.78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2130148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渔业发展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其他农业农村支出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森林资源培育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50.92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50.92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2130314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防汛</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2130315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抗旱</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36.90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36.90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2130504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农村基础设施建设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其他巩固脱贫攻坚成果衔接乡村振兴支出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737.93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419.96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317.98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2130705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542.93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419.96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122.98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1,222.45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1,222.45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28.75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28.75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28.75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28.75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车辆购置税支出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1,193.69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1,193.69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车辆购置税用于公路等基础设施建设支出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1,094.51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1,094.51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车辆购置税用于农村公路建设支出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99.18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99.18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2150899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134.45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2210105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国有资本经营预算支出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解决历史遗留问题及改革成本支出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2230105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国有企业退休人员社会化管理补助支出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应急管理事务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自然灾害防治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地质灾害防治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2240703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2240799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22960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彩票公益金安排的支出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用于社会福利的彩票公益金支出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用于体育事业的彩票公益金支出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用于残疾人事业的彩票公益金支出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用于其他社会公益事业的彩票公益金支出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bl>
    <w:p>
      <w:pPr>
        <w:rPr>
          <w:rFonts w:hint="default" w:cs="宋体"/>
          <w:sz w:val="21"/>
          <w:szCs w:val="21"/>
        </w:rPr>
      </w:pPr>
      <w:r>
        <w:rPr>
          <w:rFonts w:cs="宋体"/>
          <w:sz w:val="21"/>
          <w:szCs w:val="21"/>
          <w:lang w:bidi="ar"/>
        </w:rPr>
        <w:t>备注：1.本表反映部门本年度各项支出情况。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8"/>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lang w:bidi="ar"/>
              </w:rPr>
              <w:t xml:space="preserve">： </w:t>
            </w:r>
            <w:r>
              <w:t>垫江县周嘉镇人民政府</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5,936.25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1,203.10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1,203.10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247.87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0.03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26.79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26.79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86.83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86.83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615.00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615.00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75.63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75.63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8.86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8.86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388.60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203.69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184.91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1,419.98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1,419.98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1,222.45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1,222.45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934.20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934.20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134.45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134.45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0.03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0.03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62.96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62.96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6,184.15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6,192.90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5,945.00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247.87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0.03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8.75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8.75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6,192.90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0"/>
                <w:szCs w:val="20"/>
              </w:rPr>
            </w:pPr>
            <w:r>
              <w:rPr>
                <w:rFonts w:cs="宋体"/>
                <w:sz w:val="21"/>
                <w:szCs w:val="21"/>
                <w:lang w:bidi="ar"/>
              </w:rPr>
              <w:t xml:space="preserve">6,192.90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0"/>
                <w:szCs w:val="20"/>
              </w:rPr>
            </w:pPr>
            <w:r>
              <w:rPr>
                <w:rFonts w:cs="宋体"/>
                <w:sz w:val="21"/>
                <w:szCs w:val="21"/>
                <w:lang w:bidi="ar"/>
              </w:rPr>
              <w:t xml:space="preserve">5,945.00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0"/>
                <w:szCs w:val="20"/>
              </w:rPr>
            </w:pPr>
            <w:r>
              <w:rPr>
                <w:rFonts w:cs="宋体"/>
                <w:sz w:val="21"/>
                <w:szCs w:val="21"/>
                <w:lang w:bidi="ar"/>
              </w:rPr>
              <w:t xml:space="preserve">247.87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0.03 </w:t>
            </w:r>
          </w:p>
        </w:tc>
      </w:tr>
    </w:tbl>
    <w:p>
      <w:pPr>
        <w:rPr>
          <w:rFonts w:hint="default" w:cs="宋体"/>
          <w:sz w:val="21"/>
          <w:szCs w:val="21"/>
        </w:rPr>
      </w:pPr>
      <w:r>
        <w:rPr>
          <w:rFonts w:cs="宋体"/>
          <w:sz w:val="21"/>
          <w:szCs w:val="21"/>
          <w:lang w:bidi="ar"/>
        </w:rPr>
        <w:t>备注：1.本表反映部门本年度一般公共预算财政拨款、政府性基金预算财政拨款及国有资本经营预算财政拨款的总收支和年末结转结余情况。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lang w:bidi="ar"/>
              </w:rPr>
              <w:t xml:space="preserve">： </w:t>
            </w:r>
            <w:r>
              <w:t>垫江县周嘉镇人民政府</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5,945.00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2,486.97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3,458.03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1,203.10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930.91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272.19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人大事务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8.82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8.82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5.40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人大会议</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1.82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1.82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代表工作</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政协事务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政府办公厅（室）及相关机构事务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1,021.65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930.91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90.74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930.91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930.91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88.70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88.70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信访事务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2.04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2.04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统计信息事务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6.19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6.19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2010507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专项普查活动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6.19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6.19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商贸事务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17.70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17.70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10.19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10.19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2011308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招商引资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7.51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7.51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党委办公厅（室）及相关机构事务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27.79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27.79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19.79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19.79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其他党委办公厅（室）及相关机构事务支出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组织事务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2.76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2.76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2.76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2.76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98.91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98.91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2013699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98.91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98.91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市场监督管理事务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15.36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15.36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2013816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食品安全监管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15.36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15.36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1.92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1.92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1.92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1.92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20306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国防动员</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2030601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兵役征集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26.79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26.79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公安</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8.58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8.58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其他公安支出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8.58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8.58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司法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2040602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16.60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16.60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文化旅游体育与传媒支出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86.83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77.54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9.29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文化和旅游</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86.83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77.54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9.29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2070109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群众文化</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77.54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77.54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2070199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其他文化和旅游支出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9.29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9.29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615.00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537.24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77.76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141.78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140.32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1.46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0.46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0.46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社会保险经办机构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0.18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0.18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2080150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140.32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140.32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其他人力资源和社会保障管理事务支出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0.83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0.83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民政管理事务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其他民政管理事务支出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324.98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315.17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9.81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124.41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124.41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52.20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52.20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148.37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138.56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9.81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48.89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45.16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3.73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死亡抚恤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45.16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45.16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其他优抚支出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3.73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3.73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退役安置</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其他退役安置支出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残疾人事业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44.27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44.27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2081106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残疾人体育</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其他残疾人事业支出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43.77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43.77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临时救助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2082001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临时救助支出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6.49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6.49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其他城市生活救助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4.10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2082502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其他农村生活救助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2.39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2.39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退役军人管理事务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46.59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36.60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2082850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36.60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36.60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其他退役军人事务管理支出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75.63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72.11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3.53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公共卫生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0.66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0.66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2100410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突发公共卫生事件应急处理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0.66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0.66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计划生育事务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0.91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0.91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2100799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其他计划生育事务支出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0.91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0.91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72.11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72.11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47.09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47.09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25.02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25.02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优抚对象医疗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0.31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0.31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优抚对象医疗补助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0.31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0.31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医疗保障管理事务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1.65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医疗保障经办事务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节能环保支出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8.86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8.86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天然林保护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8.86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8.86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2110506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天然林保护工程建设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8.86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8.86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203.69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90.69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113.00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90.69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90.69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城管执法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90.69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90.69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城乡社区公共设施</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2120399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其他城乡社区公共设施支出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33.00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33.00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33.00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33.00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1,419.98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684.84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735.14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农业农村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561.47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264.88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296.59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264.88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264.88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病虫害控制</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4.58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4.58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2130122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农业生产发展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12.60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12.60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2130135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农业资源保护修复与利用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211.78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211.78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2130148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渔业发展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49.00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49.00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其他农业农村支出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18.63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18.63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32.76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32.76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森林资源培育</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32.76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32.76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水利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50.92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50.92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2130314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防汛</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2130315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抗旱</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49.92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49.92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巩固脱贫攻坚成果衔接乡村振兴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36.90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36.90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2130504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农村基础设施建设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12.90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12.90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其他巩固脱贫攻坚成果衔接乡村振兴支出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24.00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24.00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农村综合改革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737.93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419.96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317.98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对村级公益事业建设的补助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195.00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195.00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2130705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对村民委员会和村党支部的补助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542.93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419.96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122.98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交通运输支出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1,222.45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1,222.45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公路水路运输</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28.75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28.75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公路养护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28.75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28.75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车辆购置税支出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1,193.69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1,193.69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车辆购置税用于公路等基础设施建设支出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1,094.51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1,094.51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车辆购置税用于农村公路建设支出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99.18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99.18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资源勘探工业信息等支出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934.20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934.20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934.20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934.20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2150899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934.20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934.20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134.45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93.65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40.80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保障性安居工程支出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40.80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40.80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2210105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农村危房改造</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40.80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40.80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93.65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93.65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93.65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93.65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灾害防治及应急管理支出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11.83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11.83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应急管理事务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1.05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1.05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安全监管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0.05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0.05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应急救援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自然灾害防治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0.28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0.28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地质灾害防治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0.28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0.28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自然灾害救灾及恢复重建支出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10.50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10.50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2240703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自然灾害救灾补助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2240799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其他自然灾害救灾及恢复重建支出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4.00 </w:t>
            </w:r>
          </w:p>
        </w:tc>
      </w:tr>
    </w:tbl>
    <w:p>
      <w:pPr>
        <w:rPr>
          <w:rFonts w:hint="default" w:cs="宋体"/>
          <w:sz w:val="21"/>
          <w:szCs w:val="21"/>
        </w:rPr>
      </w:pPr>
      <w:r>
        <w:rPr>
          <w:rFonts w:cs="宋体"/>
          <w:sz w:val="21"/>
          <w:szCs w:val="21"/>
          <w:lang w:bidi="ar"/>
        </w:rPr>
        <w:t>备注：1.本表反映部门本年度一般公共预算财政拨款支出情况。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8"/>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lang w:bidi="ar"/>
              </w:rPr>
              <w:t xml:space="preserve">： </w:t>
            </w:r>
            <w:r>
              <w:t>垫江县周嘉镇人民政府</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1,601.94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281.01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303.36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7.41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155.33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5.93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271.22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71.14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397.62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6.51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124.41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23.43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52.20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57.03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74.04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3.55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90.61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93.65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25.09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30.32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604.01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3.07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0.55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5.98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45.16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547.65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7.20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11.20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32.70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3.46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6.28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27.35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1.50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2,205.95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281.01 </w:t>
            </w:r>
          </w:p>
        </w:tc>
      </w:tr>
    </w:tbl>
    <w:p>
      <w:pPr>
        <w:rPr>
          <w:rFonts w:hint="default" w:cs="宋体"/>
          <w:sz w:val="21"/>
          <w:szCs w:val="21"/>
        </w:rPr>
      </w:pPr>
      <w:r>
        <w:rPr>
          <w:rFonts w:cs="宋体"/>
          <w:sz w:val="21"/>
          <w:szCs w:val="21"/>
          <w:lang w:bidi="ar"/>
        </w:rPr>
        <w:t>备注：1.本表反映部门本年度一般公共预算财政拨款基本支出明细情况。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lang w:bidi="ar"/>
              </w:rPr>
              <w:t xml:space="preserve">： </w:t>
            </w:r>
            <w:r>
              <w:t>垫江县周嘉镇人民政府</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247.87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247.87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247.87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212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城乡社区支出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184.91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21208</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184.91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2120899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其他国有土地使用权出让收入安排的支出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184.91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229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其他支出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62.96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62.96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62.96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22960</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彩票公益金安排的支出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62.96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62.96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62.96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2296002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用于社会福利的彩票公益金支出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6.32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6.32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6.32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2296003</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用于体育事业的彩票公益金支出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2296006</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用于残疾人事业的彩票公益金支出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1.64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1.64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1.64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2296099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用于其他社会公益事业的彩票公益金支出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50.00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bl>
    <w:p>
      <w:pPr>
        <w:rPr>
          <w:rFonts w:hint="default" w:cs="宋体"/>
          <w:sz w:val="21"/>
          <w:szCs w:val="21"/>
        </w:rPr>
      </w:pPr>
      <w:r>
        <w:rPr>
          <w:rFonts w:cs="宋体"/>
          <w:sz w:val="21"/>
          <w:szCs w:val="21"/>
          <w:lang w:bidi="ar"/>
        </w:rPr>
        <w:t>备注：1.本表反映部门本年度政府性基金预算财政拨款收入支出及结转和结余情况。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lang w:bidi="ar"/>
              </w:rPr>
              <w:t xml:space="preserve">： </w:t>
            </w:r>
            <w:r>
              <w:t>垫江县周嘉镇人民政府</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0.03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0.03 </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223</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国有资本经营预算支出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0.03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0.03 </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22301</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解决历史遗留问题及改革成本支出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0.03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0.03 </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2230105</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国有企业退休人员社会化管理补助支出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0.03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0.03 </w:t>
            </w:r>
          </w:p>
        </w:tc>
      </w:tr>
    </w:tbl>
    <w:p>
      <w:pPr>
        <w:rPr>
          <w:rFonts w:hint="default" w:cs="宋体"/>
          <w:sz w:val="21"/>
          <w:szCs w:val="21"/>
          <w:lang w:bidi="ar"/>
        </w:rPr>
      </w:pPr>
      <w:r>
        <w:rPr>
          <w:rFonts w:cs="宋体"/>
          <w:sz w:val="21"/>
          <w:szCs w:val="21"/>
          <w:lang w:bidi="ar"/>
        </w:rPr>
        <w:t>备注：1.本表反映部门本年度国有资本经营预算财政拨款支出情况。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lang w:bidi="ar"/>
              </w:rPr>
              <w:t xml:space="preserve">： </w:t>
            </w:r>
            <w:r>
              <w:t>垫江县周嘉镇人民政府</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253.82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18.26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18.26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253.82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6.28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6.28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6.28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6.28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11.98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11.98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11.98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2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156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1,603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4.89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2.15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r>
    </w:tbl>
    <w:p>
      <w:pPr>
        <w:rPr>
          <w:rFonts w:hint="default" w:cs="宋体"/>
          <w:sz w:val="21"/>
          <w:szCs w:val="21"/>
        </w:rPr>
      </w:pPr>
      <w:r>
        <w:rPr>
          <w:rFonts w:cs="宋体"/>
          <w:sz w:val="21"/>
          <w:szCs w:val="21"/>
          <w:lang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pStyle w:val="12"/>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仿宋">
    <w:altName w:val="方正仿宋_GBK"/>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rPr>
                          </w:pPr>
                          <w:r>
                            <w:fldChar w:fldCharType="begin"/>
                          </w:r>
                          <w:r>
                            <w:instrText xml:space="preserve"> PAGE  \* MERGEFORMAT </w:instrText>
                          </w:r>
                          <w:r>
                            <w:fldChar w:fldCharType="separate"/>
                          </w:r>
                          <w:r>
                            <w:rPr>
                              <w:rFonts w:hint="default"/>
                            </w:rPr>
                            <w:t>- 27 -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37 -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37 -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26B15"/>
    <w:multiLevelType w:val="singleLevel"/>
    <w:tmpl w:val="9EF26B15"/>
    <w:lvl w:ilvl="0" w:tentative="0">
      <w:start w:val="1"/>
      <w:numFmt w:val="decimal"/>
      <w:suff w:val="nothing"/>
      <w:lvlText w:val="%1、"/>
      <w:lvlJc w:val="left"/>
      <w:pPr>
        <w:ind w:left="320" w:firstLine="0"/>
      </w:pPr>
    </w:lvl>
  </w:abstractNum>
  <w:abstractNum w:abstractNumId="1">
    <w:nsid w:val="D42607D4"/>
    <w:multiLevelType w:val="singleLevel"/>
    <w:tmpl w:val="D42607D4"/>
    <w:lvl w:ilvl="0" w:tentative="0">
      <w:start w:val="5"/>
      <w:numFmt w:val="chineseCounting"/>
      <w:suff w:val="nothing"/>
      <w:lvlText w:val="%1、"/>
      <w:lvlJc w:val="left"/>
      <w:rPr>
        <w:rFonts w:hint="eastAsia"/>
      </w:rPr>
    </w:lvl>
  </w:abstractNum>
  <w:abstractNum w:abstractNumId="2">
    <w:nsid w:val="46FBF1FB"/>
    <w:multiLevelType w:val="singleLevel"/>
    <w:tmpl w:val="46FBF1FB"/>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MDFkNGQwMDU0MjA3NWZmOGFhNjg5YTVjMDUyNzYifQ=="/>
  </w:docVars>
  <w:rsids>
    <w:rsidRoot w:val="00B03CCD"/>
    <w:rsid w:val="0013767A"/>
    <w:rsid w:val="002E5443"/>
    <w:rsid w:val="00550ABE"/>
    <w:rsid w:val="00753938"/>
    <w:rsid w:val="007B419D"/>
    <w:rsid w:val="009B67B8"/>
    <w:rsid w:val="00B03CCD"/>
    <w:rsid w:val="00E76362"/>
    <w:rsid w:val="00F61551"/>
    <w:rsid w:val="00F73F90"/>
    <w:rsid w:val="01474EBF"/>
    <w:rsid w:val="01F3521E"/>
    <w:rsid w:val="02D43D06"/>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A5C4B69"/>
    <w:rsid w:val="0A86124A"/>
    <w:rsid w:val="0AB54CC0"/>
    <w:rsid w:val="0B9335CE"/>
    <w:rsid w:val="0C7927C4"/>
    <w:rsid w:val="0C9B098C"/>
    <w:rsid w:val="0D673E11"/>
    <w:rsid w:val="0DDA54E4"/>
    <w:rsid w:val="0E3A5F83"/>
    <w:rsid w:val="0F836721"/>
    <w:rsid w:val="0FA25D96"/>
    <w:rsid w:val="0FB87AA7"/>
    <w:rsid w:val="107B59E5"/>
    <w:rsid w:val="10EC0126"/>
    <w:rsid w:val="10F70B9A"/>
    <w:rsid w:val="111445C7"/>
    <w:rsid w:val="114278C6"/>
    <w:rsid w:val="11472E91"/>
    <w:rsid w:val="114B49CB"/>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CF0A66"/>
    <w:rsid w:val="1EF67CA4"/>
    <w:rsid w:val="1F020D3A"/>
    <w:rsid w:val="1F066AA7"/>
    <w:rsid w:val="1F2C5189"/>
    <w:rsid w:val="1F4B0B02"/>
    <w:rsid w:val="1FBB35CD"/>
    <w:rsid w:val="1FCD26AF"/>
    <w:rsid w:val="20642787"/>
    <w:rsid w:val="21556F04"/>
    <w:rsid w:val="222E323A"/>
    <w:rsid w:val="22403BD3"/>
    <w:rsid w:val="24B92327"/>
    <w:rsid w:val="24C14514"/>
    <w:rsid w:val="2533755C"/>
    <w:rsid w:val="25791755"/>
    <w:rsid w:val="26396DF4"/>
    <w:rsid w:val="27167136"/>
    <w:rsid w:val="27B23302"/>
    <w:rsid w:val="29310A5F"/>
    <w:rsid w:val="29C37A35"/>
    <w:rsid w:val="2A016EDD"/>
    <w:rsid w:val="2A076083"/>
    <w:rsid w:val="2A73162E"/>
    <w:rsid w:val="2B167953"/>
    <w:rsid w:val="2B200583"/>
    <w:rsid w:val="2B8209DE"/>
    <w:rsid w:val="2C6762A3"/>
    <w:rsid w:val="2E97220E"/>
    <w:rsid w:val="2EBF7B3E"/>
    <w:rsid w:val="2FCA4B37"/>
    <w:rsid w:val="2FE029D7"/>
    <w:rsid w:val="2FF06E00"/>
    <w:rsid w:val="30562E26"/>
    <w:rsid w:val="30586FEC"/>
    <w:rsid w:val="315F0B22"/>
    <w:rsid w:val="319D022C"/>
    <w:rsid w:val="31C90022"/>
    <w:rsid w:val="31D84415"/>
    <w:rsid w:val="32285F6F"/>
    <w:rsid w:val="32770556"/>
    <w:rsid w:val="329C0913"/>
    <w:rsid w:val="32AA0460"/>
    <w:rsid w:val="3337290D"/>
    <w:rsid w:val="33786BE9"/>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392285"/>
    <w:rsid w:val="3B1705E5"/>
    <w:rsid w:val="3B18334B"/>
    <w:rsid w:val="3B36794F"/>
    <w:rsid w:val="3C566AD6"/>
    <w:rsid w:val="3C6A5B02"/>
    <w:rsid w:val="3D2757A1"/>
    <w:rsid w:val="3D3D4FC4"/>
    <w:rsid w:val="3D7F9926"/>
    <w:rsid w:val="3DDF3AB1"/>
    <w:rsid w:val="3E1D0952"/>
    <w:rsid w:val="3E42660A"/>
    <w:rsid w:val="3E7555B1"/>
    <w:rsid w:val="3E787ED9"/>
    <w:rsid w:val="3EEC37F3"/>
    <w:rsid w:val="3F032E93"/>
    <w:rsid w:val="3F0527E5"/>
    <w:rsid w:val="3F694D83"/>
    <w:rsid w:val="3F885DCC"/>
    <w:rsid w:val="3FCD675E"/>
    <w:rsid w:val="4004000C"/>
    <w:rsid w:val="400916AF"/>
    <w:rsid w:val="411B6CE5"/>
    <w:rsid w:val="412070D7"/>
    <w:rsid w:val="41314E40"/>
    <w:rsid w:val="41E0734B"/>
    <w:rsid w:val="426554D0"/>
    <w:rsid w:val="426C1EA8"/>
    <w:rsid w:val="42736402"/>
    <w:rsid w:val="42E86A87"/>
    <w:rsid w:val="43307B09"/>
    <w:rsid w:val="43BB152F"/>
    <w:rsid w:val="44BE0CEE"/>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F0C6BA3"/>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A802D2"/>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B335AD"/>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5FB21E"/>
    <w:rsid w:val="7F7452B9"/>
    <w:rsid w:val="EDBF1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next w:val="3"/>
    <w:unhideWhenUsed/>
    <w:qFormat/>
    <w:uiPriority w:val="99"/>
    <w:pPr>
      <w:widowControl w:val="0"/>
      <w:jc w:val="both"/>
    </w:pPr>
    <w:rPr>
      <w:rFonts w:ascii="华文仿宋" w:hAnsi="华文仿宋" w:eastAsia="华文仿宋" w:cs="Times New Roman"/>
      <w:kern w:val="2"/>
      <w:sz w:val="32"/>
      <w:szCs w:val="24"/>
      <w:lang w:val="en-US" w:eastAsia="zh-CN" w:bidi="ar-SA"/>
    </w:rPr>
  </w:style>
  <w:style w:type="paragraph" w:styleId="3">
    <w:name w:val="toc 5"/>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bidi="ar-SA"/>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66</Pages>
  <Words>18611</Words>
  <Characters>26815</Characters>
  <Lines>257</Lines>
  <Paragraphs>72</Paragraphs>
  <TotalTime>23</TotalTime>
  <ScaleCrop>false</ScaleCrop>
  <LinksUpToDate>false</LinksUpToDate>
  <CharactersWithSpaces>30126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周嘉镇收文员</cp:lastModifiedBy>
  <dcterms:modified xsi:type="dcterms:W3CDTF">2025-10-22T15:26:07Z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0B2763084A5D43DA837A9DFFC44BE92A</vt:lpwstr>
  </property>
</Properties>
</file>