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垫江县周嘉镇文化服务中心</w:t>
      </w:r>
    </w:p>
    <w:p>
      <w:pPr>
        <w:pStyle w:val="6"/>
        <w:spacing w:before="0" w:beforeAutospacing="0"/>
        <w:jc w:val="center"/>
        <w:rPr>
          <w:rFonts w:hint="eastAsia" w:ascii="方正小标宋_GBK" w:hAnsi="方正小标宋_GBK" w:eastAsia="方正小标宋_GBK" w:cs="方正小标宋_GBK"/>
          <w:sz w:val="44"/>
          <w:szCs w:val="44"/>
          <w:shd w:val="clear" w:color="auto" w:fill="FFFFFF"/>
          <w:lang w:eastAsia="zh-CN"/>
        </w:rPr>
      </w:pPr>
      <w:r>
        <w:rPr>
          <w:rFonts w:hint="default" w:ascii="Times New Roman" w:hAnsi="Times New Roman" w:eastAsia="方正小标宋_GBK" w:cs="Times New Roman"/>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pPr>
        <w:pStyle w:val="6"/>
        <w:keepNext w:val="0"/>
        <w:keepLines w:val="0"/>
        <w:pageBreakBefore w:val="0"/>
        <w:widowControl/>
        <w:shd w:val="clear" w:color="auto" w:fill="FFFFFF"/>
        <w:kinsoku/>
        <w:wordWrap/>
        <w:overflowPunct/>
        <w:topLinePunct w:val="0"/>
        <w:autoSpaceDE/>
        <w:autoSpaceDN/>
        <w:bidi w:val="0"/>
        <w:adjustRightInd/>
        <w:snapToGrid/>
        <w:ind w:firstLine="642" w:firstLineChars="200"/>
        <w:textAlignment w:val="auto"/>
        <w:rPr>
          <w:rFonts w:hint="default" w:ascii="黑体" w:hAnsi="黑体" w:eastAsia="黑体" w:cs="黑体"/>
          <w:sz w:val="32"/>
          <w:szCs w:val="32"/>
        </w:rPr>
      </w:pPr>
      <w:r>
        <w:rPr>
          <w:rStyle w:val="10"/>
          <w:rFonts w:ascii="黑体" w:hAnsi="黑体" w:eastAsia="黑体" w:cs="黑体"/>
          <w:sz w:val="32"/>
          <w:szCs w:val="32"/>
          <w:shd w:val="clear" w:color="auto" w:fill="FFFFFF"/>
        </w:rPr>
        <w:t>一、单位基本情况</w:t>
      </w:r>
    </w:p>
    <w:p>
      <w:pPr>
        <w:pStyle w:val="6"/>
        <w:shd w:val="clear" w:color="auto" w:fill="FFFFFF"/>
        <w:ind w:firstLine="420"/>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（一）职能职责</w:t>
      </w:r>
    </w:p>
    <w:p>
      <w:pPr>
        <w:widowControl w:val="0"/>
        <w:snapToGrid w:val="0"/>
        <w:spacing w:line="520" w:lineRule="exact"/>
        <w:ind w:firstLine="640" w:firstLineChars="200"/>
        <w:jc w:val="both"/>
        <w:rPr>
          <w:rFonts w:hint="default" w:ascii="方正仿宋_GBK" w:hAnsi="方正仿宋_GBK" w:eastAsia="方正仿宋_GBK" w:cs="方正仿宋_GBK"/>
          <w:kern w:val="2"/>
          <w:sz w:val="32"/>
          <w:szCs w:val="32"/>
        </w:rPr>
      </w:pPr>
      <w:r>
        <w:rPr>
          <w:rFonts w:ascii="方正仿宋_GBK" w:hAnsi="方正仿宋_GBK" w:eastAsia="方正仿宋_GBK" w:cs="方正仿宋_GBK"/>
          <w:kern w:val="2"/>
          <w:sz w:val="32"/>
          <w:szCs w:val="32"/>
        </w:rPr>
        <w:t>本单位负责文化宣传、文化广播业务培训，组织开展群众文化、文艺活动等工作。负责组织开展群众性体育及全民健身活动。负责辖区内广播、旅游、文化设施的建设、维护和管理等工作。协助做好文物宣传保护工作。负责组织开展文化交流、民间文化艺术遗产收集整理与保护和地方文献资料收集整理上报等工作。</w:t>
      </w:r>
    </w:p>
    <w:p>
      <w:pPr>
        <w:pStyle w:val="6"/>
        <w:shd w:val="clear" w:color="auto" w:fill="FFFFFF"/>
        <w:ind w:firstLine="420"/>
        <w:rPr>
          <w:rFonts w:hint="default" w:ascii="楷体" w:hAnsi="楷体" w:eastAsia="楷体" w:cs="楷体"/>
          <w:sz w:val="32"/>
          <w:szCs w:val="32"/>
        </w:rPr>
      </w:pPr>
      <w:r>
        <w:rPr>
          <w:rStyle w:val="10"/>
          <w:rFonts w:ascii="楷体" w:hAnsi="楷体" w:eastAsia="楷体" w:cs="楷体"/>
          <w:sz w:val="32"/>
          <w:szCs w:val="32"/>
          <w:shd w:val="clear" w:color="auto" w:fill="FFFFFF"/>
        </w:rPr>
        <w:t>（二）机构设置</w:t>
      </w:r>
    </w:p>
    <w:p>
      <w:pPr>
        <w:pStyle w:val="6"/>
        <w:shd w:val="clear" w:color="auto" w:fill="FFFFFF"/>
        <w:ind w:firstLine="640"/>
        <w:rPr>
          <w:rFonts w:hint="default" w:ascii="仿宋_GB2312" w:hAnsi="仿宋" w:eastAsia="仿宋_GB2312"/>
          <w:sz w:val="32"/>
          <w:szCs w:val="32"/>
        </w:rPr>
      </w:pPr>
      <w:r>
        <w:rPr>
          <w:rFonts w:ascii="方正仿宋_GBK" w:hAnsi="方正仿宋_GBK" w:eastAsia="方正仿宋_GBK" w:cs="方正仿宋_GBK"/>
          <w:sz w:val="32"/>
          <w:szCs w:val="32"/>
        </w:rPr>
        <w:t>垫江县周嘉镇文化服务中心成立于2007年，总编制数 4人，现有编制人数 4人</w:t>
      </w:r>
      <w:r>
        <w:rPr>
          <w:rFonts w:ascii="仿宋_GB2312" w:hAnsi="仿宋" w:eastAsia="仿宋_GB2312"/>
          <w:sz w:val="32"/>
          <w:szCs w:val="32"/>
        </w:rPr>
        <w:t>。</w:t>
      </w:r>
    </w:p>
    <w:p>
      <w:pPr>
        <w:pStyle w:val="6"/>
        <w:keepNext w:val="0"/>
        <w:keepLines w:val="0"/>
        <w:pageBreakBefore w:val="0"/>
        <w:widowControl/>
        <w:shd w:val="clear" w:color="auto" w:fill="FFFFFF"/>
        <w:kinsoku/>
        <w:wordWrap/>
        <w:overflowPunct/>
        <w:topLinePunct w:val="0"/>
        <w:autoSpaceDE/>
        <w:autoSpaceDN/>
        <w:bidi w:val="0"/>
        <w:adjustRightInd/>
        <w:snapToGrid/>
        <w:ind w:firstLine="642" w:firstLineChars="200"/>
        <w:textAlignment w:val="auto"/>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二、</w:t>
      </w:r>
      <w:r>
        <w:rPr>
          <w:rStyle w:val="10"/>
          <w:rFonts w:hint="eastAsia" w:ascii="黑体" w:hAnsi="黑体" w:eastAsia="黑体" w:cs="黑体"/>
          <w:sz w:val="32"/>
          <w:szCs w:val="32"/>
          <w:shd w:val="clear" w:color="auto" w:fill="FFFFFF"/>
          <w:lang w:eastAsia="zh-CN"/>
        </w:rPr>
        <w:t>单位</w:t>
      </w:r>
      <w:r>
        <w:rPr>
          <w:rStyle w:val="10"/>
          <w:rFonts w:ascii="黑体" w:hAnsi="黑体" w:eastAsia="黑体" w:cs="黑体"/>
          <w:sz w:val="32"/>
          <w:szCs w:val="32"/>
          <w:shd w:val="clear" w:color="auto" w:fill="FFFFFF"/>
        </w:rPr>
        <w:t>决算</w:t>
      </w:r>
      <w:r>
        <w:rPr>
          <w:rStyle w:val="10"/>
          <w:rFonts w:hint="eastAsia" w:ascii="黑体" w:hAnsi="黑体" w:eastAsia="黑体" w:cs="黑体"/>
          <w:sz w:val="32"/>
          <w:szCs w:val="32"/>
          <w:shd w:val="clear" w:color="auto" w:fill="FFFFFF"/>
          <w:lang w:eastAsia="zh-CN"/>
        </w:rPr>
        <w:t>收支</w:t>
      </w:r>
      <w:r>
        <w:rPr>
          <w:rStyle w:val="10"/>
          <w:rFonts w:ascii="黑体" w:hAnsi="黑体" w:eastAsia="黑体" w:cs="黑体"/>
          <w:sz w:val="32"/>
          <w:szCs w:val="32"/>
          <w:shd w:val="clear" w:color="auto" w:fill="FFFFFF"/>
        </w:rPr>
        <w:t>情况说明</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pPr>
        <w:pStyle w:val="6"/>
        <w:shd w:val="clear" w:color="auto" w:fill="FFFFFF"/>
        <w:ind w:firstLine="642" w:firstLineChars="200"/>
        <w:rPr>
          <w:rFonts w:ascii="方正仿宋_GBK" w:hAnsi="方正仿宋_GBK" w:eastAsia="方正仿宋_GBK" w:cs="方正仿宋_GBK"/>
          <w:color w:val="auto"/>
          <w:sz w:val="32"/>
          <w:szCs w:val="32"/>
          <w:shd w:val="clear" w:color="auto" w:fill="FFFFFF"/>
        </w:rPr>
      </w:pPr>
      <w:r>
        <w:rPr>
          <w:rStyle w:val="10"/>
          <w:rFonts w:ascii="方正仿宋_GBK" w:hAnsi="方正仿宋_GBK" w:eastAsia="方正仿宋_GBK" w:cs="方正仿宋_GBK"/>
          <w:sz w:val="32"/>
          <w:szCs w:val="32"/>
          <w:shd w:val="clear" w:color="auto" w:fill="FFFFFF"/>
        </w:rPr>
        <w:t>1.总体情况。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度收入总计104.43万元，支出总计</w:t>
      </w:r>
      <w:r>
        <w:rPr>
          <w:rFonts w:ascii="方正仿宋_GBK" w:hAnsi="方正仿宋_GBK" w:eastAsia="方正仿宋_GBK" w:cs="方正仿宋_GBK"/>
          <w:sz w:val="32"/>
          <w:szCs w:val="32"/>
        </w:rPr>
        <w:t>104.43</w:t>
      </w:r>
      <w:r>
        <w:rPr>
          <w:rFonts w:ascii="方正仿宋_GBK" w:hAnsi="方正仿宋_GBK" w:eastAsia="方正仿宋_GBK" w:cs="方正仿宋_GBK"/>
          <w:sz w:val="32"/>
          <w:szCs w:val="32"/>
          <w:shd w:val="clear" w:color="auto" w:fill="FFFFFF"/>
        </w:rPr>
        <w:t>万元。收、支与2023年度相比，增加8.85万元，增长9.26%，主要原因是</w:t>
      </w:r>
      <w:r>
        <w:rPr>
          <w:rFonts w:hint="eastAsia" w:ascii="方正仿宋_GBK" w:hAnsi="方正仿宋_GBK" w:eastAsia="方正仿宋_GBK" w:cs="方正仿宋_GBK"/>
          <w:color w:val="auto"/>
          <w:sz w:val="32"/>
          <w:szCs w:val="32"/>
          <w:shd w:val="clear" w:color="auto" w:fill="FFFFFF"/>
          <w:lang w:eastAsia="zh-CN"/>
        </w:rPr>
        <w:t>职工工资福利的拨款收入和支出增加</w:t>
      </w:r>
      <w:r>
        <w:rPr>
          <w:rFonts w:ascii="方正仿宋_GBK" w:hAnsi="方正仿宋_GBK" w:eastAsia="方正仿宋_GBK" w:cs="方正仿宋_GBK"/>
          <w:color w:val="auto"/>
          <w:sz w:val="32"/>
          <w:szCs w:val="32"/>
          <w:shd w:val="clear" w:color="auto" w:fill="FFFFFF"/>
        </w:rPr>
        <w:t>。</w:t>
      </w:r>
    </w:p>
    <w:p>
      <w:pPr>
        <w:pStyle w:val="6"/>
        <w:shd w:val="clear" w:color="auto" w:fill="FFFFFF"/>
        <w:ind w:firstLine="642" w:firstLineChars="200"/>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2.收入情况。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度收入合计104.43万元，与2023年度相比，增加8.85万元，增长9.26%，主要原因是</w:t>
      </w:r>
      <w:r>
        <w:rPr>
          <w:rFonts w:hint="eastAsia" w:ascii="方正仿宋_GBK" w:hAnsi="方正仿宋_GBK" w:eastAsia="方正仿宋_GBK" w:cs="方正仿宋_GBK"/>
          <w:color w:val="auto"/>
          <w:sz w:val="32"/>
          <w:szCs w:val="32"/>
          <w:shd w:val="clear" w:color="auto" w:fill="FFFFFF"/>
          <w:lang w:eastAsia="zh-CN"/>
        </w:rPr>
        <w:t>职工工资福利的拨款收入增加</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sz w:val="32"/>
          <w:szCs w:val="32"/>
          <w:shd w:val="clear" w:color="auto" w:fill="FFFFFF"/>
        </w:rPr>
        <w:t>其中：财政拨款收入</w:t>
      </w:r>
      <w:r>
        <w:rPr>
          <w:rFonts w:ascii="方正仿宋_GBK" w:hAnsi="方正仿宋_GBK" w:eastAsia="方正仿宋_GBK" w:cs="方正仿宋_GBK"/>
          <w:sz w:val="32"/>
          <w:szCs w:val="32"/>
        </w:rPr>
        <w:t>104.43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exact"/>
        <w:ind w:firstLine="642"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3.支出情况。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度支出合计</w:t>
      </w:r>
      <w:r>
        <w:rPr>
          <w:rFonts w:ascii="方正仿宋_GBK" w:hAnsi="方正仿宋_GBK" w:eastAsia="方正仿宋_GBK" w:cs="方正仿宋_GBK"/>
          <w:sz w:val="32"/>
          <w:szCs w:val="32"/>
        </w:rPr>
        <w:t>104.43</w:t>
      </w:r>
      <w:r>
        <w:rPr>
          <w:rFonts w:ascii="方正仿宋_GBK" w:hAnsi="方正仿宋_GBK" w:eastAsia="方正仿宋_GBK" w:cs="方正仿宋_GBK"/>
          <w:sz w:val="32"/>
          <w:szCs w:val="32"/>
          <w:shd w:val="clear" w:color="auto" w:fill="FFFFFF"/>
        </w:rPr>
        <w:t>万元，与2023年度相比，增加8.85万元，增长9.26%，主要原因是</w:t>
      </w:r>
      <w:r>
        <w:rPr>
          <w:rFonts w:hint="eastAsia" w:ascii="方正仿宋_GBK" w:hAnsi="方正仿宋_GBK" w:eastAsia="方正仿宋_GBK" w:cs="方正仿宋_GBK"/>
          <w:color w:val="auto"/>
          <w:sz w:val="32"/>
          <w:szCs w:val="32"/>
          <w:shd w:val="clear" w:color="auto" w:fill="FFFFFF"/>
          <w:lang w:eastAsia="zh-CN"/>
        </w:rPr>
        <w:t>职工工资福利的支出增加</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sz w:val="32"/>
          <w:szCs w:val="32"/>
          <w:shd w:val="clear" w:color="auto" w:fill="FFFFFF"/>
        </w:rPr>
        <w:t>其中：基本支出</w:t>
      </w:r>
      <w:r>
        <w:rPr>
          <w:rFonts w:ascii="方正仿宋_GBK" w:hAnsi="方正仿宋_GBK" w:eastAsia="方正仿宋_GBK" w:cs="方正仿宋_GBK"/>
          <w:sz w:val="32"/>
          <w:szCs w:val="32"/>
        </w:rPr>
        <w:t>104.43</w:t>
      </w:r>
      <w:r>
        <w:rPr>
          <w:rFonts w:ascii="方正仿宋_GBK" w:hAnsi="方正仿宋_GBK" w:eastAsia="方正仿宋_GBK" w:cs="方正仿宋_GBK"/>
          <w:sz w:val="32"/>
          <w:szCs w:val="32"/>
          <w:shd w:val="clear" w:color="auto" w:fill="FFFFFF"/>
        </w:rPr>
        <w:t>万元，占100.00%；项目支出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2" w:firstLineChars="200"/>
        <w:jc w:val="both"/>
        <w:textAlignment w:val="auto"/>
        <w:rPr>
          <w:rFonts w:hint="default" w:ascii="方正仿宋_GBK" w:hAnsi="方正仿宋_GBK" w:eastAsia="方正仿宋_GBK" w:cs="方正仿宋_GBK"/>
          <w:color w:val="auto"/>
          <w:sz w:val="32"/>
          <w:szCs w:val="32"/>
          <w:shd w:val="clear" w:color="auto" w:fill="FFFFFF"/>
        </w:rPr>
      </w:pPr>
      <w:r>
        <w:rPr>
          <w:rStyle w:val="10"/>
          <w:rFonts w:ascii="方正仿宋_GBK" w:hAnsi="方正仿宋_GBK" w:eastAsia="方正仿宋_GBK" w:cs="方正仿宋_GBK"/>
          <w:sz w:val="32"/>
          <w:szCs w:val="32"/>
          <w:shd w:val="clear" w:color="auto" w:fill="FFFFFF"/>
        </w:rPr>
        <w:t>4.结转结余情况。</w:t>
      </w:r>
      <w:r>
        <w:rPr>
          <w:rFonts w:hint="eastAsia" w:ascii="方正仿宋_GBK" w:hAnsi="方正仿宋_GBK" w:eastAsia="方正仿宋_GBK" w:cs="方正仿宋_GBK"/>
          <w:color w:val="auto"/>
          <w:sz w:val="32"/>
          <w:szCs w:val="32"/>
          <w:shd w:val="clear" w:color="auto" w:fill="FFFFFF"/>
          <w:lang w:eastAsia="zh-CN"/>
        </w:rPr>
        <w:t>2024年度年末结转和结余0.00万元，与2023年度相比，无增减，主要原因是本单位按以收定支原则，无结余。</w:t>
      </w:r>
    </w:p>
    <w:p>
      <w:pPr>
        <w:pStyle w:val="11"/>
        <w:keepNext w:val="0"/>
        <w:keepLines w:val="0"/>
        <w:pageBreakBefore w:val="0"/>
        <w:widowControl/>
        <w:kinsoku/>
        <w:wordWrap/>
        <w:overflowPunct/>
        <w:topLinePunct w:val="0"/>
        <w:autoSpaceDE w:val="0"/>
        <w:autoSpaceDN/>
        <w:bidi w:val="0"/>
        <w:adjustRightInd/>
        <w:spacing w:line="600" w:lineRule="exact"/>
        <w:ind w:firstLine="643"/>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度财政拨款收、支总计104.43万元。与202</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年相比，财政拨款收、支总计各增加8.85万元，增长9.26%。主要原因是</w:t>
      </w:r>
      <w:r>
        <w:rPr>
          <w:rFonts w:hint="eastAsia" w:ascii="方正仿宋_GBK" w:hAnsi="方正仿宋_GBK" w:eastAsia="方正仿宋_GBK" w:cs="方正仿宋_GBK"/>
          <w:color w:val="auto"/>
          <w:sz w:val="32"/>
          <w:szCs w:val="32"/>
          <w:shd w:val="clear" w:color="auto" w:fill="FFFFFF"/>
          <w:lang w:eastAsia="zh-CN"/>
        </w:rPr>
        <w:t>职工工资福利的财政拨款收入和支出增加</w:t>
      </w:r>
      <w:r>
        <w:rPr>
          <w:rFonts w:ascii="方正仿宋_GBK" w:hAnsi="方正仿宋_GBK" w:eastAsia="方正仿宋_GBK" w:cs="方正仿宋_GBK"/>
          <w:color w:val="auto"/>
          <w:sz w:val="32"/>
          <w:szCs w:val="32"/>
          <w:shd w:val="clear" w:color="auto" w:fill="FFFFFF"/>
        </w:rPr>
        <w:t>。</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pPr>
        <w:pStyle w:val="6"/>
        <w:snapToGrid w:val="0"/>
        <w:spacing w:before="0" w:beforeAutospacing="0" w:after="0" w:afterAutospacing="0" w:line="600" w:lineRule="exact"/>
        <w:ind w:firstLine="642" w:firstLineChars="200"/>
        <w:jc w:val="both"/>
        <w:rPr>
          <w:rFonts w:ascii="方正仿宋_GBK" w:hAnsi="方正仿宋_GBK" w:eastAsia="方正仿宋_GBK" w:cs="方正仿宋_GBK"/>
          <w:color w:val="auto"/>
          <w:sz w:val="32"/>
          <w:szCs w:val="32"/>
          <w:shd w:val="clear" w:color="auto" w:fill="FFFFFF"/>
        </w:rPr>
      </w:pPr>
      <w:r>
        <w:rPr>
          <w:rStyle w:val="10"/>
          <w:rFonts w:ascii="方正仿宋_GBK" w:hAnsi="方正仿宋_GBK" w:eastAsia="方正仿宋_GBK" w:cs="方正仿宋_GBK"/>
          <w:sz w:val="32"/>
          <w:szCs w:val="32"/>
          <w:shd w:val="clear" w:color="auto" w:fill="FFFFFF"/>
        </w:rPr>
        <w:t>1.收入情况。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度一般公共预算财政拨款收入</w:t>
      </w:r>
      <w:r>
        <w:rPr>
          <w:rFonts w:ascii="方正仿宋_GBK" w:hAnsi="方正仿宋_GBK" w:eastAsia="方正仿宋_GBK" w:cs="方正仿宋_GBK"/>
          <w:sz w:val="32"/>
          <w:szCs w:val="32"/>
        </w:rPr>
        <w:t>104.43</w:t>
      </w:r>
      <w:r>
        <w:rPr>
          <w:rFonts w:ascii="方正仿宋_GBK" w:hAnsi="方正仿宋_GBK" w:eastAsia="方正仿宋_GBK" w:cs="方正仿宋_GBK"/>
          <w:sz w:val="32"/>
          <w:szCs w:val="32"/>
          <w:shd w:val="clear" w:color="auto" w:fill="FFFFFF"/>
        </w:rPr>
        <w:t>万元，与2023年度相比，增加8.85万元，增长9.26%。主要原因是</w:t>
      </w:r>
      <w:bookmarkStart w:id="0" w:name="_GoBack"/>
      <w:bookmarkEnd w:id="0"/>
      <w:r>
        <w:rPr>
          <w:rFonts w:hint="eastAsia" w:ascii="方正仿宋_GBK" w:hAnsi="方正仿宋_GBK" w:eastAsia="方正仿宋_GBK" w:cs="方正仿宋_GBK"/>
          <w:color w:val="auto"/>
          <w:sz w:val="32"/>
          <w:szCs w:val="32"/>
          <w:shd w:val="clear" w:color="auto" w:fill="FFFFFF"/>
          <w:lang w:eastAsia="zh-CN"/>
        </w:rPr>
        <w:t>职工工资福利的拨款收入增加</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sz w:val="32"/>
          <w:szCs w:val="32"/>
          <w:shd w:val="clear" w:color="auto" w:fill="FFFFFF"/>
        </w:rPr>
        <w:t>较年初预算数增加11.35万元，增长12.19%。主要原因是</w:t>
      </w:r>
      <w:r>
        <w:rPr>
          <w:rFonts w:hint="eastAsia" w:ascii="方正仿宋_GBK" w:hAnsi="方正仿宋_GBK" w:eastAsia="方正仿宋_GBK" w:cs="方正仿宋_GBK"/>
          <w:color w:val="auto"/>
          <w:sz w:val="32"/>
          <w:szCs w:val="32"/>
          <w:shd w:val="clear" w:color="auto" w:fill="FFFFFF"/>
          <w:lang w:eastAsia="zh-CN"/>
        </w:rPr>
        <w:t>职工工资调增标准。</w:t>
      </w:r>
      <w:r>
        <w:rPr>
          <w:rFonts w:ascii="方正仿宋_GBK" w:hAnsi="方正仿宋_GBK" w:eastAsia="方正仿宋_GBK" w:cs="方正仿宋_GBK"/>
          <w:color w:val="auto"/>
          <w:sz w:val="32"/>
          <w:szCs w:val="32"/>
          <w:shd w:val="clear" w:color="auto" w:fill="FFFFFF"/>
        </w:rPr>
        <w:t>此外，年初财政拨款结转和结余0.00万元。</w:t>
      </w:r>
    </w:p>
    <w:p>
      <w:pPr>
        <w:pStyle w:val="6"/>
        <w:snapToGrid w:val="0"/>
        <w:spacing w:before="0" w:beforeAutospacing="0" w:after="0" w:afterAutospacing="0" w:line="600" w:lineRule="exact"/>
        <w:ind w:firstLine="642"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2.支出情况。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度一般公共预算财政拨款支出</w:t>
      </w:r>
      <w:r>
        <w:rPr>
          <w:rFonts w:ascii="方正仿宋_GBK" w:hAnsi="方正仿宋_GBK" w:eastAsia="方正仿宋_GBK" w:cs="方正仿宋_GBK"/>
          <w:sz w:val="32"/>
          <w:szCs w:val="32"/>
        </w:rPr>
        <w:t>104.43</w:t>
      </w:r>
      <w:r>
        <w:rPr>
          <w:rFonts w:ascii="方正仿宋_GBK" w:hAnsi="方正仿宋_GBK" w:eastAsia="方正仿宋_GBK" w:cs="方正仿宋_GBK"/>
          <w:sz w:val="32"/>
          <w:szCs w:val="32"/>
          <w:shd w:val="clear" w:color="auto" w:fill="FFFFFF"/>
        </w:rPr>
        <w:t>万元，与2023年度相比，增加8.85万元，增长9.26%。主要原因是</w:t>
      </w:r>
      <w:r>
        <w:rPr>
          <w:rFonts w:hint="eastAsia" w:ascii="方正仿宋_GBK" w:hAnsi="方正仿宋_GBK" w:eastAsia="方正仿宋_GBK" w:cs="方正仿宋_GBK"/>
          <w:color w:val="auto"/>
          <w:sz w:val="32"/>
          <w:szCs w:val="32"/>
          <w:shd w:val="clear" w:color="auto" w:fill="FFFFFF"/>
          <w:lang w:eastAsia="zh-CN"/>
        </w:rPr>
        <w:t>职工工资调增标准，增加了财政拨款支出</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sz w:val="32"/>
          <w:szCs w:val="32"/>
          <w:shd w:val="clear" w:color="auto" w:fill="FFFFFF"/>
        </w:rPr>
        <w:t>较年初预算数增加11.35万元，增长12.19%。主要原因是</w:t>
      </w:r>
      <w:r>
        <w:rPr>
          <w:rFonts w:hint="eastAsia" w:ascii="方正仿宋_GBK" w:hAnsi="方正仿宋_GBK" w:eastAsia="方正仿宋_GBK" w:cs="方正仿宋_GBK"/>
          <w:color w:val="auto"/>
          <w:sz w:val="32"/>
          <w:szCs w:val="32"/>
          <w:shd w:val="clear" w:color="auto" w:fill="FFFFFF"/>
          <w:lang w:eastAsia="zh-CN"/>
        </w:rPr>
        <w:t>职工工资调增标准。</w:t>
      </w:r>
    </w:p>
    <w:p>
      <w:pPr>
        <w:pStyle w:val="6"/>
        <w:snapToGrid w:val="0"/>
        <w:spacing w:before="0" w:beforeAutospacing="0" w:after="0" w:afterAutospacing="0" w:line="600" w:lineRule="exact"/>
        <w:ind w:firstLine="642"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3.结转结余情况。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ascii="方正仿宋_GBK" w:hAnsi="方正仿宋_GBK" w:eastAsia="方正仿宋_GBK" w:cs="方正仿宋_GBK"/>
          <w:color w:val="auto"/>
          <w:sz w:val="32"/>
          <w:szCs w:val="32"/>
          <w:shd w:val="clear" w:color="auto" w:fill="FFFFFF"/>
        </w:rPr>
        <w:t>本单位按以收定支原则，无结余。</w:t>
      </w:r>
    </w:p>
    <w:p>
      <w:pPr>
        <w:pStyle w:val="6"/>
        <w:snapToGrid w:val="0"/>
        <w:spacing w:before="0" w:beforeAutospacing="0" w:after="0" w:afterAutospacing="0" w:line="600" w:lineRule="exact"/>
        <w:ind w:firstLine="642" w:firstLineChars="200"/>
        <w:jc w:val="both"/>
        <w:rPr>
          <w:rFonts w:hint="default" w:ascii="方正仿宋_GBK" w:hAnsi="方正仿宋_GBK" w:eastAsia="方正仿宋_GBK" w:cs="方正仿宋_GBK"/>
          <w:color w:val="FF0000"/>
          <w:sz w:val="32"/>
          <w:szCs w:val="32"/>
          <w:highlight w:val="cyan"/>
          <w:shd w:val="clear" w:color="auto" w:fill="FFFFFF"/>
        </w:rPr>
      </w:pPr>
      <w:r>
        <w:rPr>
          <w:rStyle w:val="10"/>
          <w:rFonts w:ascii="方正仿宋_GBK" w:hAnsi="方正仿宋_GBK" w:eastAsia="方正仿宋_GBK" w:cs="方正仿宋_GBK"/>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本单位</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度一般公共预算财政拨款支出主要用于以下几个方面：</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（1）文化旅游体育与传媒支出</w:t>
      </w:r>
      <w:r>
        <w:rPr>
          <w:rFonts w:ascii="方正仿宋_GBK" w:hAnsi="方正仿宋_GBK" w:eastAsia="方正仿宋_GBK" w:cs="方正仿宋_GBK"/>
          <w:sz w:val="32"/>
          <w:szCs w:val="32"/>
        </w:rPr>
        <w:t>70.66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67.66</w:t>
      </w:r>
      <w:r>
        <w:rPr>
          <w:rFonts w:ascii="方正仿宋_GBK" w:hAnsi="方正仿宋_GBK" w:eastAsia="方正仿宋_GBK" w:cs="方正仿宋_GBK"/>
          <w:sz w:val="32"/>
          <w:szCs w:val="32"/>
          <w:shd w:val="clear" w:color="auto" w:fill="FFFFFF"/>
        </w:rPr>
        <w:t>%，较年初预算数减少2.22万元，下降3.05%，主要原因是</w:t>
      </w:r>
      <w:r>
        <w:rPr>
          <w:rFonts w:hint="eastAsia" w:ascii="方正仿宋_GBK" w:hAnsi="方正仿宋_GBK" w:eastAsia="方正仿宋_GBK" w:cs="方正仿宋_GBK"/>
          <w:color w:val="auto"/>
          <w:sz w:val="32"/>
          <w:szCs w:val="32"/>
          <w:shd w:val="clear" w:color="auto" w:fill="FFFFFF"/>
          <w:lang w:eastAsia="zh-CN"/>
        </w:rPr>
        <w:t>节约开支，减少了职工差旅费等公用经费支出。</w:t>
      </w:r>
    </w:p>
    <w:p>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color w:val="auto"/>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）社会保障与就业支出</w:t>
      </w:r>
      <w:r>
        <w:rPr>
          <w:rFonts w:ascii="方正仿宋_GBK" w:hAnsi="方正仿宋_GBK" w:eastAsia="方正仿宋_GBK" w:cs="方正仿宋_GBK"/>
          <w:sz w:val="32"/>
          <w:szCs w:val="32"/>
        </w:rPr>
        <w:t>21.85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20.92</w:t>
      </w:r>
      <w:r>
        <w:rPr>
          <w:rFonts w:ascii="方正仿宋_GBK" w:hAnsi="方正仿宋_GBK" w:eastAsia="方正仿宋_GBK" w:cs="方正仿宋_GBK"/>
          <w:sz w:val="32"/>
          <w:szCs w:val="32"/>
          <w:shd w:val="clear" w:color="auto" w:fill="FFFFFF"/>
        </w:rPr>
        <w:t>%，较年初预算数增加9.94万元，增长83.46%，主要原因是</w:t>
      </w:r>
      <w:r>
        <w:rPr>
          <w:rFonts w:hint="eastAsia" w:ascii="方正仿宋_GBK" w:hAnsi="方正仿宋_GBK" w:eastAsia="方正仿宋_GBK" w:cs="方正仿宋_GBK"/>
          <w:color w:val="auto"/>
          <w:sz w:val="32"/>
          <w:szCs w:val="32"/>
          <w:shd w:val="clear" w:color="auto" w:fill="FFFFFF"/>
          <w:lang w:eastAsia="zh-CN"/>
        </w:rPr>
        <w:t>职工养老、职业年金的基数增加。</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）卫生健康支出</w:t>
      </w:r>
      <w:r>
        <w:rPr>
          <w:rFonts w:ascii="方正仿宋_GBK" w:hAnsi="方正仿宋_GBK" w:eastAsia="方正仿宋_GBK" w:cs="方正仿宋_GBK"/>
          <w:sz w:val="32"/>
          <w:szCs w:val="32"/>
        </w:rPr>
        <w:t>3.77</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3.61</w:t>
      </w:r>
      <w:r>
        <w:rPr>
          <w:rFonts w:ascii="方正仿宋_GBK" w:hAnsi="方正仿宋_GBK" w:eastAsia="方正仿宋_GBK" w:cs="方正仿宋_GBK"/>
          <w:sz w:val="32"/>
          <w:szCs w:val="32"/>
          <w:shd w:val="clear" w:color="auto" w:fill="FFFFFF"/>
        </w:rPr>
        <w:t>%，较年初预算数无增减，主要原因是</w:t>
      </w:r>
      <w:r>
        <w:rPr>
          <w:rFonts w:hint="eastAsia" w:ascii="方正仿宋_GBK" w:hAnsi="方正仿宋_GBK" w:eastAsia="方正仿宋_GBK" w:cs="方正仿宋_GBK"/>
          <w:sz w:val="32"/>
          <w:szCs w:val="32"/>
          <w:shd w:val="clear" w:color="auto" w:fill="FFFFFF"/>
          <w:lang w:eastAsia="zh-CN"/>
        </w:rPr>
        <w:t>职工</w:t>
      </w:r>
      <w:r>
        <w:rPr>
          <w:rFonts w:hint="eastAsia" w:ascii="方正仿宋_GBK" w:hAnsi="方正仿宋_GBK" w:eastAsia="方正仿宋_GBK" w:cs="方正仿宋_GBK"/>
          <w:color w:val="auto"/>
          <w:sz w:val="32"/>
          <w:szCs w:val="32"/>
          <w:shd w:val="clear" w:color="auto" w:fill="FFFFFF"/>
          <w:lang w:eastAsia="zh-CN"/>
        </w:rPr>
        <w:t>人数和医疗保险基数无变化</w:t>
      </w:r>
      <w:r>
        <w:rPr>
          <w:rFonts w:ascii="方正仿宋_GBK" w:hAnsi="方正仿宋_GBK" w:eastAsia="方正仿宋_GBK" w:cs="方正仿宋_GBK"/>
          <w:color w:val="auto"/>
          <w:sz w:val="32"/>
          <w:szCs w:val="32"/>
          <w:shd w:val="clear" w:color="auto" w:fill="FFFFFF"/>
        </w:rPr>
        <w:t>。</w:t>
      </w:r>
    </w:p>
    <w:p>
      <w:pPr>
        <w:ind w:firstLine="640" w:firstLineChars="200"/>
        <w:rPr>
          <w:rFonts w:hint="eastAsia" w:ascii="方正仿宋_GBK" w:hAnsi="方正仿宋_GBK" w:eastAsia="方正仿宋_GBK" w:cs="方正仿宋_GBK"/>
          <w:color w:val="auto"/>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住房保障支出8.15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7.81</w:t>
      </w:r>
      <w:r>
        <w:rPr>
          <w:rFonts w:ascii="方正仿宋_GBK" w:hAnsi="方正仿宋_GBK" w:eastAsia="方正仿宋_GBK" w:cs="方正仿宋_GBK"/>
          <w:sz w:val="32"/>
          <w:szCs w:val="32"/>
          <w:shd w:val="clear" w:color="auto" w:fill="FFFFFF"/>
        </w:rPr>
        <w:t>%，较年初预算数增加3.63万元，增长80.31%，</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职工住房公积金基数增加。</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sz w:val="32"/>
          <w:szCs w:val="32"/>
          <w:shd w:val="clear" w:color="auto" w:fill="FFFFFF"/>
        </w:rPr>
        <w:t> </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度一般公共财政拨款基本支出</w:t>
      </w:r>
      <w:r>
        <w:rPr>
          <w:rFonts w:ascii="方正仿宋_GBK" w:hAnsi="方正仿宋_GBK" w:eastAsia="方正仿宋_GBK" w:cs="方正仿宋_GBK"/>
          <w:sz w:val="32"/>
          <w:szCs w:val="32"/>
        </w:rPr>
        <w:t>104.43</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100.89</w:t>
      </w:r>
      <w:r>
        <w:rPr>
          <w:rFonts w:ascii="方正仿宋_GBK" w:hAnsi="方正仿宋_GBK" w:eastAsia="方正仿宋_GBK" w:cs="方正仿宋_GBK"/>
          <w:sz w:val="32"/>
          <w:szCs w:val="32"/>
          <w:shd w:val="clear" w:color="auto" w:fill="FFFFFF"/>
        </w:rPr>
        <w:t>万元，与2023年度相比，增加8.87万元，增长9.64%，主要原因是</w:t>
      </w:r>
      <w:r>
        <w:rPr>
          <w:rFonts w:hint="eastAsia" w:ascii="方正仿宋_GBK" w:hAnsi="方正仿宋_GBK" w:eastAsia="方正仿宋_GBK" w:cs="方正仿宋_GBK"/>
          <w:color w:val="auto"/>
          <w:sz w:val="32"/>
          <w:szCs w:val="32"/>
          <w:shd w:val="clear" w:color="auto" w:fill="FFFFFF"/>
          <w:lang w:eastAsia="zh-CN"/>
        </w:rPr>
        <w:t>工资调标等增加了工资福利支出</w:t>
      </w:r>
      <w:r>
        <w:rPr>
          <w:rFonts w:ascii="方正仿宋_GBK" w:hAnsi="方正仿宋_GBK" w:eastAsia="方正仿宋_GBK" w:cs="方正仿宋_GBK"/>
          <w:color w:val="auto"/>
          <w:sz w:val="32"/>
          <w:szCs w:val="32"/>
          <w:shd w:val="clear" w:color="auto" w:fill="FFFFFF"/>
        </w:rPr>
        <w:t>。人员经费用途主要包括括职工工资、津补贴、奖金、职工统筹、公积金等。公用经费3.54万元，与2023年度相比，减少0.02万元，下降0.56%，主要原因是</w:t>
      </w:r>
      <w:r>
        <w:rPr>
          <w:rFonts w:hint="eastAsia" w:ascii="方正仿宋_GBK" w:hAnsi="方正仿宋_GBK" w:eastAsia="方正仿宋_GBK" w:cs="方正仿宋_GBK"/>
          <w:color w:val="auto"/>
          <w:sz w:val="32"/>
          <w:szCs w:val="32"/>
          <w:shd w:val="clear" w:color="auto" w:fill="FFFFFF"/>
          <w:lang w:eastAsia="zh-CN"/>
        </w:rPr>
        <w:t>节约开支，减少了职工差旅费等公用经费支出。</w:t>
      </w:r>
      <w:r>
        <w:rPr>
          <w:rFonts w:ascii="方正仿宋_GBK" w:hAnsi="方正仿宋_GBK" w:eastAsia="方正仿宋_GBK" w:cs="方正仿宋_GBK"/>
          <w:color w:val="auto"/>
          <w:sz w:val="32"/>
          <w:szCs w:val="32"/>
          <w:shd w:val="clear" w:color="auto" w:fill="FFFFFF"/>
        </w:rPr>
        <w:t>公用经费用途主要包括</w:t>
      </w:r>
      <w:r>
        <w:rPr>
          <w:rFonts w:hint="eastAsia" w:ascii="方正仿宋_GBK" w:hAnsi="方正仿宋_GBK" w:eastAsia="方正仿宋_GBK" w:cs="方正仿宋_GBK"/>
          <w:color w:val="auto"/>
          <w:sz w:val="32"/>
          <w:szCs w:val="32"/>
          <w:shd w:val="clear" w:color="auto" w:fill="FFFFFF"/>
          <w:lang w:eastAsia="zh-CN"/>
        </w:rPr>
        <w:t>差旅费。</w:t>
      </w:r>
    </w:p>
    <w:p>
      <w:pPr>
        <w:pStyle w:val="11"/>
        <w:autoSpaceDE w:val="0"/>
        <w:ind w:firstLine="643"/>
        <w:rPr>
          <w:rFonts w:hint="eastAsia"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（五）政府性基金预算收支决算情况说明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度政府性基金预算财政拨款年初结转结余0.00万元，年末结转结余0.00万元。本年收入0</w:t>
      </w:r>
      <w:r>
        <w:rPr>
          <w:rFonts w:ascii="方正仿宋_GBK" w:hAnsi="方正仿宋_GBK" w:eastAsia="方正仿宋_GBK" w:cs="方正仿宋_GBK"/>
          <w:sz w:val="32"/>
          <w:szCs w:val="32"/>
        </w:rPr>
        <w:t>.00</w:t>
      </w:r>
      <w:r>
        <w:rPr>
          <w:rFonts w:ascii="方正仿宋_GBK" w:hAnsi="方正仿宋_GBK" w:eastAsia="方正仿宋_GBK" w:cs="方正仿宋_GBK"/>
          <w:sz w:val="32"/>
          <w:szCs w:val="32"/>
          <w:shd w:val="clear" w:color="auto" w:fill="FFFFFF"/>
        </w:rPr>
        <w:t>万元，与2023年度相比，无增减，主要原因是</w:t>
      </w:r>
      <w:r>
        <w:rPr>
          <w:rFonts w:ascii="Times New Roman" w:hAnsi="Times New Roman" w:eastAsia="方正仿宋_GBK"/>
          <w:color w:val="auto"/>
          <w:sz w:val="32"/>
          <w:szCs w:val="32"/>
          <w:shd w:val="clear" w:color="auto" w:fill="FFFFFF"/>
        </w:rPr>
        <w:t>本年度无政府性基金预算财政拨款收入。</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ascii="Times New Roman" w:hAnsi="Times New Roman" w:eastAsia="方正仿宋_GBK"/>
          <w:color w:val="auto"/>
          <w:sz w:val="32"/>
          <w:szCs w:val="32"/>
          <w:shd w:val="clear" w:color="auto" w:fill="FFFFFF"/>
        </w:rPr>
        <w:t>本年度无政府性基金预算财政拨款支出。</w:t>
      </w:r>
      <w:r>
        <w:rPr>
          <w:rFonts w:ascii="方正仿宋_GBK" w:hAnsi="方正仿宋_GBK" w:eastAsia="方正仿宋_GBK" w:cs="方正仿宋_GBK"/>
          <w:color w:val="auto"/>
          <w:sz w:val="32"/>
          <w:szCs w:val="32"/>
          <w:shd w:val="clear" w:color="auto" w:fill="FFFFFF"/>
        </w:rPr>
        <w:t>本单位</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度无政府性基金预算财政拨款收支。</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 </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度国有资本经营预算财政拨本年支出</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万元，基本支出</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万元，项目支出</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万元。本单位</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度无国有资本经营预算财政拨款支出。</w:t>
      </w:r>
    </w:p>
    <w:p>
      <w:pPr>
        <w:pStyle w:val="6"/>
        <w:keepNext w:val="0"/>
        <w:keepLines w:val="0"/>
        <w:pageBreakBefore w:val="0"/>
        <w:widowControl/>
        <w:shd w:val="clear" w:color="auto" w:fill="FFFFFF"/>
        <w:kinsoku/>
        <w:wordWrap/>
        <w:overflowPunct/>
        <w:topLinePunct w:val="0"/>
        <w:autoSpaceDE/>
        <w:autoSpaceDN/>
        <w:bidi w:val="0"/>
        <w:adjustRightInd/>
        <w:snapToGrid/>
        <w:ind w:firstLine="642" w:firstLineChars="200"/>
        <w:textAlignment w:val="auto"/>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三、</w:t>
      </w:r>
      <w:r>
        <w:rPr>
          <w:rStyle w:val="10"/>
          <w:rFonts w:hint="eastAsia" w:ascii="黑体" w:hAnsi="黑体" w:eastAsia="黑体" w:cs="黑体"/>
          <w:sz w:val="32"/>
          <w:szCs w:val="32"/>
          <w:shd w:val="clear" w:color="auto" w:fill="FFFFFF"/>
          <w:lang w:eastAsia="zh-CN"/>
        </w:rPr>
        <w:t>财政拨款</w:t>
      </w:r>
      <w:r>
        <w:rPr>
          <w:rStyle w:val="10"/>
          <w:rFonts w:ascii="黑体" w:hAnsi="黑体" w:eastAsia="黑体" w:cs="黑体"/>
          <w:sz w:val="32"/>
          <w:szCs w:val="32"/>
          <w:shd w:val="clear" w:color="auto" w:fill="FFFFFF"/>
        </w:rPr>
        <w:t>“三公”经费情况说明</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xml:space="preserve"> （一）“三公”经费支出总体情况说明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年度“三公”经费支出共计0.00万元，较年初预算数无增减，主要原因是我单位202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年未发生“三公”经费支出。较上年支出数无增减，主要原因是我单位本年及上年均未发生“三公”经费支出。</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pPr>
        <w:adjustRightInd w:val="0"/>
        <w:snapToGrid w:val="0"/>
        <w:spacing w:line="600" w:lineRule="exact"/>
        <w:ind w:firstLine="640" w:firstLineChars="200"/>
        <w:rPr>
          <w:rFonts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度本单位因公出国（境）费用</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r>
        <w:rPr>
          <w:rFonts w:ascii="方正仿宋_GBK" w:hAnsi="方正仿宋_GBK" w:eastAsia="方正仿宋_GBK" w:cs="方正仿宋_GBK"/>
          <w:color w:val="auto"/>
          <w:sz w:val="32"/>
          <w:szCs w:val="32"/>
          <w:shd w:val="clear" w:color="auto" w:fill="FFFFFF"/>
        </w:rPr>
        <w:t>。费用支出较年初预算数无增减，主要原因是年初预算数未安排因公出国（境）费用，也未发生因公出国（境）费用。较上年支出数无增减，主要原因是上年和本年均未发生因公出国（境）费用。</w:t>
      </w:r>
    </w:p>
    <w:p>
      <w:pPr>
        <w:adjustRightInd w:val="0"/>
        <w:snapToGrid w:val="0"/>
        <w:spacing w:line="600" w:lineRule="exact"/>
        <w:ind w:firstLine="640" w:firstLineChars="200"/>
        <w:rPr>
          <w:rFonts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 公务车购置费</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万元。费用支出较年初预算数无增减，主要原因是年初预算数未安排且本年未发生公务车购置费用。较上年支出数无增减，主要原因是上年和本年均未发生公务车购置费用。</w:t>
      </w:r>
    </w:p>
    <w:p>
      <w:pPr>
        <w:adjustRightInd w:val="0"/>
        <w:snapToGrid w:val="0"/>
        <w:spacing w:line="600" w:lineRule="exact"/>
        <w:ind w:firstLine="640" w:firstLineChars="200"/>
        <w:rPr>
          <w:rFonts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 公务车运行维护费</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万元。费用支出较年初预算数无增减，主要原因是年初预算数未安排且本年未发生公务</w:t>
      </w:r>
      <w:r>
        <w:rPr>
          <w:rFonts w:hint="eastAsia" w:ascii="方正仿宋_GBK" w:hAnsi="方正仿宋_GBK" w:eastAsia="方正仿宋_GBK" w:cs="方正仿宋_GBK"/>
          <w:color w:val="auto"/>
          <w:sz w:val="32"/>
          <w:szCs w:val="32"/>
          <w:shd w:val="clear" w:color="auto" w:fill="FFFFFF"/>
          <w:lang w:eastAsia="zh-CN"/>
        </w:rPr>
        <w:t>用</w:t>
      </w:r>
      <w:r>
        <w:rPr>
          <w:rFonts w:ascii="方正仿宋_GBK" w:hAnsi="方正仿宋_GBK" w:eastAsia="方正仿宋_GBK" w:cs="方正仿宋_GBK"/>
          <w:color w:val="auto"/>
          <w:sz w:val="32"/>
          <w:szCs w:val="32"/>
          <w:shd w:val="clear" w:color="auto" w:fill="FFFFFF"/>
        </w:rPr>
        <w:t>车运行维护费用。较上年支出数无增减，主要原因是上年和本年均未发生公务</w:t>
      </w:r>
      <w:r>
        <w:rPr>
          <w:rFonts w:hint="eastAsia" w:ascii="方正仿宋_GBK" w:hAnsi="方正仿宋_GBK" w:eastAsia="方正仿宋_GBK" w:cs="方正仿宋_GBK"/>
          <w:color w:val="auto"/>
          <w:sz w:val="32"/>
          <w:szCs w:val="32"/>
          <w:shd w:val="clear" w:color="auto" w:fill="FFFFFF"/>
          <w:lang w:eastAsia="zh-CN"/>
        </w:rPr>
        <w:t>用</w:t>
      </w:r>
      <w:r>
        <w:rPr>
          <w:rFonts w:ascii="方正仿宋_GBK" w:hAnsi="方正仿宋_GBK" w:eastAsia="方正仿宋_GBK" w:cs="方正仿宋_GBK"/>
          <w:color w:val="auto"/>
          <w:sz w:val="32"/>
          <w:szCs w:val="32"/>
          <w:shd w:val="clear" w:color="auto" w:fill="FFFFFF"/>
        </w:rPr>
        <w:t>车运行维护费用。</w:t>
      </w:r>
    </w:p>
    <w:p>
      <w:pPr>
        <w:pStyle w:val="6"/>
        <w:widowControl w:val="0"/>
        <w:snapToGrid w:val="0"/>
        <w:spacing w:before="0" w:beforeAutospacing="0" w:after="0" w:afterAutospacing="0" w:line="600" w:lineRule="exact"/>
        <w:ind w:firstLine="640" w:firstLineChars="200"/>
        <w:jc w:val="both"/>
        <w:rPr>
          <w:rFonts w:hint="default" w:ascii="Times New Roman" w:hAnsi="Times New Roman" w:eastAsia="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 公务接待费</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万元。费用支出较年初预算数无增减，</w:t>
      </w:r>
      <w:r>
        <w:rPr>
          <w:rFonts w:ascii="方正仿宋_GBK" w:eastAsia="方正仿宋_GBK"/>
          <w:color w:val="auto"/>
          <w:sz w:val="32"/>
          <w:szCs w:val="32"/>
        </w:rPr>
        <w:t>主要原因是年初预算数未安排且本年未发生公务接待费用</w:t>
      </w:r>
      <w:r>
        <w:rPr>
          <w:rFonts w:ascii="方正仿宋_GBK" w:hAnsi="方正仿宋_GBK" w:eastAsia="方正仿宋_GBK" w:cs="方正仿宋_GBK"/>
          <w:color w:val="auto"/>
          <w:sz w:val="32"/>
          <w:szCs w:val="32"/>
          <w:shd w:val="clear" w:color="auto" w:fill="FFFFFF"/>
        </w:rPr>
        <w:t>。较上年支出数无增减，</w:t>
      </w:r>
      <w:r>
        <w:rPr>
          <w:rFonts w:ascii="方正仿宋_GBK" w:eastAsia="方正仿宋_GBK"/>
          <w:color w:val="auto"/>
          <w:sz w:val="32"/>
          <w:szCs w:val="32"/>
        </w:rPr>
        <w:t>主要原因是上年和本年均未发生公务接待费用</w:t>
      </w:r>
      <w:r>
        <w:rPr>
          <w:rFonts w:hint="default" w:ascii="Times New Roman" w:hAnsi="Times New Roman" w:eastAsia="方正仿宋_GBK"/>
          <w:color w:val="auto"/>
          <w:sz w:val="32"/>
          <w:szCs w:val="32"/>
          <w:shd w:val="clear" w:color="auto" w:fill="FFFFFF"/>
        </w:rPr>
        <w:t>。</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xml:space="preserve">  </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度本单位因公出国（境）共计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本单位人均接待费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w:t>
      </w:r>
    </w:p>
    <w:p>
      <w:pPr>
        <w:pStyle w:val="6"/>
        <w:keepNext w:val="0"/>
        <w:keepLines w:val="0"/>
        <w:pageBreakBefore w:val="0"/>
        <w:widowControl/>
        <w:shd w:val="clear" w:color="auto" w:fill="FFFFFF"/>
        <w:kinsoku/>
        <w:wordWrap/>
        <w:overflowPunct/>
        <w:topLinePunct w:val="0"/>
        <w:autoSpaceDE/>
        <w:autoSpaceDN/>
        <w:bidi w:val="0"/>
        <w:adjustRightInd/>
        <w:snapToGrid/>
        <w:ind w:firstLine="642" w:firstLineChars="200"/>
        <w:textAlignment w:val="auto"/>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四、其他需要说明的事项</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（一）财政拨款会议费和培训费情况说明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xml:space="preserve">  </w:t>
      </w:r>
      <w:r>
        <w:rPr>
          <w:rFonts w:ascii="方正仿宋_GBK" w:hAnsi="方正仿宋_GBK" w:eastAsia="方正仿宋_GBK" w:cs="方正仿宋_GBK"/>
          <w:color w:val="auto"/>
          <w:sz w:val="32"/>
          <w:szCs w:val="32"/>
          <w:shd w:val="clear" w:color="auto" w:fill="FFFFFF"/>
        </w:rPr>
        <w:t>本年度会议费支出</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万元，与2023年度相比，无增减，</w:t>
      </w:r>
      <w:r>
        <w:rPr>
          <w:rFonts w:ascii="方正仿宋_GBK" w:eastAsia="方正仿宋_GBK"/>
          <w:color w:val="auto"/>
          <w:sz w:val="32"/>
          <w:szCs w:val="32"/>
        </w:rPr>
        <w:t>主要原因是上年和本年均未发生会议费支出</w:t>
      </w:r>
      <w:r>
        <w:rPr>
          <w:rFonts w:ascii="方正仿宋_GBK" w:hAnsi="方正仿宋_GBK" w:eastAsia="方正仿宋_GBK" w:cs="方正仿宋_GBK"/>
          <w:color w:val="auto"/>
          <w:sz w:val="32"/>
          <w:szCs w:val="32"/>
          <w:shd w:val="clear" w:color="auto" w:fill="FFFFFF"/>
        </w:rPr>
        <w:t>。本年度培训费支出</w:t>
      </w:r>
      <w:r>
        <w:rPr>
          <w:rFonts w:hint="default"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w:t>
      </w:r>
      <w:r>
        <w:rPr>
          <w:rFonts w:hint="eastAsia" w:ascii="方正仿宋_GBK" w:hAnsi="方正仿宋_GBK" w:eastAsia="方正仿宋_GBK" w:cs="方正仿宋_GBK"/>
          <w:color w:val="auto"/>
          <w:sz w:val="32"/>
          <w:szCs w:val="32"/>
          <w:shd w:val="clear" w:color="auto" w:fill="FFFFFF"/>
          <w:lang w:eastAsia="zh-CN"/>
        </w:rPr>
        <w:t>，</w:t>
      </w:r>
      <w:r>
        <w:rPr>
          <w:rFonts w:ascii="方正仿宋_GBK" w:hAnsi="方正仿宋_GBK" w:eastAsia="方正仿宋_GBK" w:cs="方正仿宋_GBK"/>
          <w:sz w:val="32"/>
          <w:szCs w:val="32"/>
          <w:shd w:val="clear" w:color="auto" w:fill="FFFFFF"/>
        </w:rPr>
        <w:t>与2023年度相比，无变化，主要原因是</w:t>
      </w:r>
      <w:r>
        <w:rPr>
          <w:rFonts w:ascii="方正仿宋_GBK" w:eastAsia="方正仿宋_GBK"/>
          <w:color w:val="auto"/>
          <w:sz w:val="32"/>
          <w:szCs w:val="32"/>
        </w:rPr>
        <w:t>主要原因是上年和本年均未发生培训费支出</w:t>
      </w:r>
      <w:r>
        <w:rPr>
          <w:rFonts w:ascii="方正仿宋_GBK" w:hAnsi="方正仿宋_GBK" w:eastAsia="方正仿宋_GBK" w:cs="方正仿宋_GBK"/>
          <w:color w:val="auto"/>
          <w:sz w:val="32"/>
          <w:szCs w:val="32"/>
          <w:shd w:val="clear" w:color="auto" w:fill="FFFFFF"/>
        </w:rPr>
        <w:t>。</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度本单位机关运行经费支出</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万元，机关运行经费较上年支出数无增减，</w:t>
      </w:r>
      <w:r>
        <w:rPr>
          <w:rFonts w:ascii="方正仿宋_GBK" w:eastAsia="方正仿宋_GBK"/>
          <w:bCs/>
          <w:color w:val="auto"/>
          <w:sz w:val="32"/>
          <w:szCs w:val="32"/>
        </w:rPr>
        <w:t>主要原因是按照部门决算列报口径，我单位不在机关运行经费统计范围之内。</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color w:val="auto"/>
          <w:sz w:val="32"/>
          <w:szCs w:val="32"/>
          <w:shd w:val="clear" w:color="auto" w:fill="FFFFFF"/>
          <w:lang w:eastAsia="zh-CN"/>
        </w:rPr>
      </w:pPr>
      <w:r>
        <w:rPr>
          <w:rFonts w:ascii="方正仿宋_GBK" w:hAnsi="方正仿宋_GBK" w:eastAsia="方正仿宋_GBK" w:cs="方正仿宋_GBK"/>
          <w:sz w:val="32"/>
          <w:szCs w:val="32"/>
          <w:shd w:val="clear" w:color="auto" w:fill="FFFFFF"/>
        </w:rPr>
        <w:t>  截至</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12月31日，本单位共有车辆</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 xml:space="preserve">  </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度本单位政府采购支出总额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0.00万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 xml:space="preserve"> %。</w:t>
      </w:r>
      <w:r>
        <w:rPr>
          <w:rFonts w:ascii="方正仿宋_GBK" w:hAnsi="方正仿宋_GBK" w:eastAsia="方正仿宋_GBK" w:cs="方正仿宋_GBK"/>
          <w:color w:val="auto"/>
          <w:sz w:val="32"/>
          <w:szCs w:val="32"/>
          <w:shd w:val="clear" w:color="auto" w:fill="FFFFFF"/>
        </w:rPr>
        <w:t>202</w:t>
      </w:r>
      <w:r>
        <w:rPr>
          <w:rFonts w:hint="eastAsia" w:ascii="方正仿宋_GBK" w:hAnsi="方正仿宋_GBK" w:eastAsia="方正仿宋_GBK" w:cs="方正仿宋_GBK"/>
          <w:color w:val="auto"/>
          <w:sz w:val="32"/>
          <w:szCs w:val="32"/>
          <w:shd w:val="clear" w:color="auto" w:fill="FFFFFF"/>
          <w:lang w:val="en-US" w:eastAsia="zh-CN"/>
        </w:rPr>
        <w:t>4</w:t>
      </w:r>
      <w:r>
        <w:rPr>
          <w:rFonts w:ascii="方正仿宋_GBK" w:hAnsi="方正仿宋_GBK" w:eastAsia="方正仿宋_GBK" w:cs="方正仿宋_GBK"/>
          <w:color w:val="auto"/>
          <w:sz w:val="32"/>
          <w:szCs w:val="32"/>
          <w:shd w:val="clear" w:color="auto" w:fill="FFFFFF"/>
        </w:rPr>
        <w:t>年度我单位未发生政府采购事项，无相关经费支出。</w:t>
      </w:r>
    </w:p>
    <w:p>
      <w:pPr>
        <w:pStyle w:val="11"/>
        <w:autoSpaceDE w:val="0"/>
        <w:ind w:firstLine="643"/>
        <w:rPr>
          <w:rStyle w:val="10"/>
          <w:rFonts w:hint="eastAsia" w:ascii="黑体" w:hAnsi="黑体" w:eastAsia="黑体" w:cs="黑体"/>
          <w:sz w:val="32"/>
          <w:szCs w:val="32"/>
          <w:shd w:val="clear" w:color="auto" w:fill="FFFFFF"/>
          <w:lang w:val="en-US" w:eastAsia="zh-CN" w:bidi="ar-SA"/>
        </w:rPr>
      </w:pPr>
      <w:r>
        <w:rPr>
          <w:rStyle w:val="10"/>
          <w:rFonts w:hint="eastAsia" w:ascii="黑体" w:hAnsi="黑体" w:eastAsia="黑体" w:cs="黑体"/>
          <w:sz w:val="32"/>
          <w:szCs w:val="32"/>
          <w:shd w:val="clear" w:color="auto" w:fill="FFFFFF"/>
          <w:lang w:val="en-US" w:eastAsia="zh-CN" w:bidi="ar-SA"/>
        </w:rPr>
        <w:t>五、2024年度预算绩效管理情况说明</w:t>
      </w:r>
    </w:p>
    <w:p>
      <w:pPr>
        <w:pStyle w:val="11"/>
        <w:autoSpaceDE w:val="0"/>
        <w:ind w:firstLine="643"/>
        <w:rPr>
          <w:rFonts w:ascii="楷体" w:hAnsi="楷体" w:eastAsia="楷体" w:cs="楷体"/>
          <w:b/>
          <w:bCs/>
          <w:color w:val="auto"/>
          <w:sz w:val="32"/>
          <w:szCs w:val="32"/>
          <w:shd w:val="clear" w:color="auto" w:fill="FFFFFF"/>
          <w:lang w:bidi="ar"/>
        </w:rPr>
      </w:pPr>
      <w:r>
        <w:rPr>
          <w:rFonts w:hint="eastAsia" w:ascii="楷体" w:hAnsi="楷体" w:eastAsia="楷体" w:cs="楷体"/>
          <w:b/>
          <w:bCs/>
          <w:color w:val="auto"/>
          <w:sz w:val="32"/>
          <w:szCs w:val="32"/>
          <w:shd w:val="clear" w:color="auto" w:fill="FFFFFF"/>
          <w:lang w:bidi="ar"/>
        </w:rPr>
        <w:t>（一）单位自评情况</w:t>
      </w:r>
    </w:p>
    <w:p>
      <w:pPr>
        <w:pStyle w:val="11"/>
        <w:autoSpaceDE w:val="0"/>
        <w:ind w:firstLine="640"/>
        <w:rPr>
          <w:rFonts w:ascii="方正仿宋_GBK" w:hAnsi="方正仿宋_GBK" w:eastAsia="方正仿宋_GBK" w:cs="方正仿宋_GBK"/>
          <w:color w:val="auto"/>
          <w:sz w:val="32"/>
          <w:szCs w:val="32"/>
          <w:shd w:val="clear" w:color="auto" w:fill="FFFFFF"/>
          <w:lang w:bidi="ar"/>
        </w:rPr>
      </w:pPr>
      <w:r>
        <w:rPr>
          <w:rFonts w:hint="eastAsia" w:ascii="方正仿宋_GBK" w:hAnsi="方正仿宋_GBK" w:eastAsia="方正仿宋_GBK" w:cs="方正仿宋_GBK"/>
          <w:color w:val="auto"/>
          <w:sz w:val="32"/>
          <w:szCs w:val="32"/>
          <w:shd w:val="clear" w:color="auto" w:fill="FFFFFF"/>
          <w:lang w:bidi="ar"/>
        </w:rPr>
        <w:t>我单位无项目支出，未组织开展绩效自评。</w:t>
      </w:r>
    </w:p>
    <w:p>
      <w:pPr>
        <w:pStyle w:val="11"/>
        <w:autoSpaceDE w:val="0"/>
        <w:ind w:firstLine="643"/>
        <w:rPr>
          <w:rFonts w:ascii="楷体" w:hAnsi="楷体" w:eastAsia="楷体" w:cs="楷体"/>
          <w:b/>
          <w:bCs/>
          <w:color w:val="auto"/>
          <w:sz w:val="32"/>
          <w:szCs w:val="32"/>
          <w:shd w:val="clear" w:color="auto" w:fill="FFFFFF"/>
          <w:lang w:bidi="ar"/>
        </w:rPr>
      </w:pPr>
      <w:r>
        <w:rPr>
          <w:rFonts w:hint="eastAsia" w:ascii="楷体" w:hAnsi="楷体" w:eastAsia="楷体" w:cs="楷体"/>
          <w:b/>
          <w:bCs/>
          <w:color w:val="auto"/>
          <w:sz w:val="32"/>
          <w:szCs w:val="32"/>
          <w:shd w:val="clear" w:color="auto" w:fill="FFFFFF"/>
          <w:lang w:bidi="ar"/>
        </w:rPr>
        <w:t>（二）单位绩效评价情况</w:t>
      </w:r>
    </w:p>
    <w:p>
      <w:pPr>
        <w:pStyle w:val="14"/>
        <w:autoSpaceDE w:val="0"/>
        <w:rPr>
          <w:rFonts w:ascii="方正仿宋_GBK" w:hAnsi="方正仿宋_GBK" w:eastAsia="方正仿宋_GBK" w:cs="方正仿宋_GBK"/>
          <w:color w:val="auto"/>
          <w:sz w:val="32"/>
          <w:szCs w:val="32"/>
          <w:shd w:val="clear" w:color="auto" w:fill="FFFFFF"/>
          <w:lang w:bidi="ar"/>
        </w:rPr>
      </w:pPr>
      <w:r>
        <w:rPr>
          <w:rFonts w:hint="eastAsia" w:ascii="方正仿宋_GBK" w:hAnsi="方正仿宋_GBK" w:eastAsia="方正仿宋_GBK" w:cs="方正仿宋_GBK"/>
          <w:color w:val="auto"/>
          <w:sz w:val="32"/>
          <w:szCs w:val="32"/>
          <w:shd w:val="clear" w:color="auto" w:fill="FFFFFF"/>
          <w:lang w:bidi="ar"/>
        </w:rPr>
        <w:t>我单位未组织开展绩效评价。</w:t>
      </w:r>
    </w:p>
    <w:p>
      <w:pPr>
        <w:pStyle w:val="11"/>
        <w:autoSpaceDE w:val="0"/>
        <w:ind w:firstLine="643"/>
        <w:rPr>
          <w:rFonts w:ascii="楷体" w:hAnsi="楷体" w:eastAsia="楷体" w:cs="楷体"/>
          <w:b/>
          <w:bCs/>
          <w:color w:val="auto"/>
          <w:sz w:val="32"/>
          <w:szCs w:val="32"/>
          <w:shd w:val="clear" w:color="auto" w:fill="FFFFFF"/>
          <w:lang w:bidi="ar"/>
        </w:rPr>
      </w:pPr>
      <w:r>
        <w:rPr>
          <w:rFonts w:hint="eastAsia" w:ascii="楷体" w:hAnsi="楷体" w:eastAsia="楷体" w:cs="楷体"/>
          <w:b/>
          <w:bCs/>
          <w:color w:val="auto"/>
          <w:sz w:val="32"/>
          <w:szCs w:val="32"/>
          <w:shd w:val="clear" w:color="auto" w:fill="FFFFFF"/>
          <w:lang w:bidi="ar"/>
        </w:rPr>
        <w:t>（三）财政绩效评价情况</w:t>
      </w:r>
    </w:p>
    <w:p>
      <w:pPr>
        <w:pStyle w:val="11"/>
        <w:autoSpaceDE w:val="0"/>
        <w:ind w:firstLine="640"/>
        <w:rPr>
          <w:rFonts w:ascii="方正仿宋_GBK" w:hAnsi="方正仿宋_GBK" w:eastAsia="方正仿宋_GBK" w:cs="方正仿宋_GBK"/>
          <w:color w:val="auto"/>
          <w:sz w:val="32"/>
          <w:szCs w:val="32"/>
          <w:shd w:val="clear" w:color="auto" w:fill="FFFFFF"/>
          <w:lang w:bidi="ar"/>
        </w:rPr>
      </w:pPr>
      <w:r>
        <w:rPr>
          <w:rFonts w:hint="eastAsia" w:ascii="方正仿宋_GBK" w:hAnsi="方正仿宋_GBK" w:eastAsia="方正仿宋_GBK" w:cs="方正仿宋_GBK"/>
          <w:color w:val="auto"/>
          <w:sz w:val="32"/>
          <w:szCs w:val="32"/>
          <w:shd w:val="clear" w:color="auto" w:fill="FFFFFF"/>
          <w:lang w:bidi="ar"/>
        </w:rPr>
        <w:t>县财政局未委托第三方对我单位开展绩效评价。</w:t>
      </w:r>
    </w:p>
    <w:p>
      <w:pPr>
        <w:pStyle w:val="6"/>
        <w:keepNext w:val="0"/>
        <w:keepLines w:val="0"/>
        <w:pageBreakBefore w:val="0"/>
        <w:widowControl/>
        <w:shd w:val="clear" w:color="auto" w:fill="FFFFFF"/>
        <w:kinsoku/>
        <w:wordWrap/>
        <w:overflowPunct/>
        <w:topLinePunct w:val="0"/>
        <w:autoSpaceDE/>
        <w:autoSpaceDN/>
        <w:bidi w:val="0"/>
        <w:adjustRightInd/>
        <w:snapToGrid/>
        <w:ind w:firstLine="642" w:firstLineChars="200"/>
        <w:textAlignment w:val="auto"/>
        <w:rPr>
          <w:rStyle w:val="10"/>
          <w:rFonts w:hint="default" w:ascii="黑体" w:hAnsi="黑体" w:eastAsia="黑体" w:cs="黑体"/>
          <w:sz w:val="32"/>
          <w:szCs w:val="32"/>
          <w:shd w:val="clear" w:color="auto" w:fill="FFFFFF"/>
          <w:lang w:val="en-US" w:eastAsia="zh-CN"/>
        </w:rPr>
      </w:pPr>
      <w:r>
        <w:rPr>
          <w:rStyle w:val="10"/>
          <w:rFonts w:hint="eastAsia" w:ascii="黑体" w:hAnsi="黑体" w:eastAsia="黑体" w:cs="黑体"/>
          <w:sz w:val="32"/>
          <w:szCs w:val="32"/>
          <w:shd w:val="clear" w:color="auto" w:fill="FFFFFF"/>
          <w:lang w:val="en-US" w:eastAsia="zh-CN"/>
        </w:rPr>
        <w:t>  六、专业名词解释</w:t>
      </w:r>
    </w:p>
    <w:p>
      <w:pPr>
        <w:pStyle w:val="6"/>
        <w:snapToGrid w:val="0"/>
        <w:spacing w:before="0" w:beforeAutospacing="0" w:after="0" w:afterAutospacing="0" w:line="600" w:lineRule="exact"/>
        <w:ind w:firstLine="642"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b/>
          <w:bCs/>
          <w:sz w:val="32"/>
          <w:szCs w:val="32"/>
          <w:shd w:val="clear" w:color="auto" w:fill="FFFFFF"/>
        </w:rPr>
        <w:t> </w:t>
      </w:r>
      <w:r>
        <w:rPr>
          <w:rFonts w:ascii="楷体" w:hAnsi="楷体" w:eastAsia="楷体" w:cs="楷体"/>
          <w:b/>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pPr>
        <w:pStyle w:val="6"/>
        <w:snapToGrid w:val="0"/>
        <w:spacing w:before="0" w:beforeAutospacing="0" w:after="0" w:afterAutospacing="0" w:line="600" w:lineRule="exact"/>
        <w:ind w:firstLine="642"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（二）事业收入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pPr>
        <w:pStyle w:val="6"/>
        <w:snapToGrid w:val="0"/>
        <w:spacing w:before="0" w:beforeAutospacing="0" w:after="0" w:afterAutospacing="0" w:line="600" w:lineRule="exact"/>
        <w:ind w:firstLine="642"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（三）经营收入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pPr>
        <w:pStyle w:val="6"/>
        <w:snapToGrid w:val="0"/>
        <w:spacing w:before="0" w:beforeAutospacing="0" w:after="0" w:afterAutospacing="0" w:line="600" w:lineRule="exact"/>
        <w:ind w:firstLine="642"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（四）其他收入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6"/>
        <w:snapToGrid w:val="0"/>
        <w:spacing w:before="0" w:beforeAutospacing="0" w:after="0" w:afterAutospacing="0" w:line="600" w:lineRule="exact"/>
        <w:ind w:firstLine="642"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（五）使用非财政拨款结余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6"/>
        <w:snapToGrid w:val="0"/>
        <w:spacing w:before="0" w:beforeAutospacing="0" w:after="0" w:afterAutospacing="0" w:line="600" w:lineRule="exact"/>
        <w:ind w:firstLine="642"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（六）年初结转和结余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6"/>
        <w:snapToGrid w:val="0"/>
        <w:spacing w:before="0" w:beforeAutospacing="0" w:after="0" w:afterAutospacing="0" w:line="600" w:lineRule="exact"/>
        <w:ind w:firstLine="642"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（七）结余分配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6"/>
        <w:snapToGrid w:val="0"/>
        <w:spacing w:before="0" w:beforeAutospacing="0" w:after="0" w:afterAutospacing="0" w:line="600" w:lineRule="exact"/>
        <w:ind w:firstLine="642"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pPr>
        <w:pStyle w:val="6"/>
        <w:snapToGrid w:val="0"/>
        <w:spacing w:before="0" w:beforeAutospacing="0" w:after="0" w:afterAutospacing="0" w:line="600" w:lineRule="exact"/>
        <w:ind w:firstLine="642"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（九）基本支出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6"/>
        <w:snapToGrid w:val="0"/>
        <w:spacing w:before="0" w:beforeAutospacing="0" w:after="0" w:afterAutospacing="0" w:line="600" w:lineRule="exact"/>
        <w:ind w:firstLine="642"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6"/>
        <w:snapToGrid w:val="0"/>
        <w:spacing w:before="0" w:beforeAutospacing="0" w:after="0" w:afterAutospacing="0" w:line="600" w:lineRule="exact"/>
        <w:ind w:firstLine="642"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（十一）经营支出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6"/>
        <w:snapToGrid w:val="0"/>
        <w:spacing w:before="0" w:beforeAutospacing="0" w:after="0" w:afterAutospacing="0" w:line="600" w:lineRule="exact"/>
        <w:ind w:firstLine="642"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（十二）“三公”经费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6"/>
        <w:snapToGrid w:val="0"/>
        <w:spacing w:before="0" w:beforeAutospacing="0" w:after="0" w:afterAutospacing="0" w:line="600" w:lineRule="exact"/>
        <w:ind w:firstLine="642"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（十三）机关运行经费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6"/>
        <w:snapToGrid w:val="0"/>
        <w:spacing w:before="0" w:beforeAutospacing="0" w:after="0" w:afterAutospacing="0" w:line="600" w:lineRule="exact"/>
        <w:ind w:firstLine="642"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（十四）工资福利支出（支出经济分类科目类级）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6"/>
        <w:snapToGrid w:val="0"/>
        <w:spacing w:before="0" w:beforeAutospacing="0" w:after="0" w:afterAutospacing="0" w:line="600" w:lineRule="exact"/>
        <w:ind w:firstLine="642"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（十五）商品和服务支出（支出经济分类科目类级）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6"/>
        <w:snapToGrid w:val="0"/>
        <w:spacing w:before="0" w:beforeAutospacing="0" w:after="0" w:afterAutospacing="0" w:line="600" w:lineRule="exact"/>
        <w:ind w:firstLine="642"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（十六）对个人和家庭的补助（支出经济分类科目类级）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pPr>
        <w:pStyle w:val="6"/>
        <w:snapToGrid w:val="0"/>
        <w:spacing w:before="0" w:beforeAutospacing="0" w:after="0" w:afterAutospacing="0" w:line="600" w:lineRule="exact"/>
        <w:ind w:firstLine="642"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（十七）其他资本性支出（支出经济分类科目类级）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6"/>
        <w:keepNext w:val="0"/>
        <w:keepLines w:val="0"/>
        <w:pageBreakBefore w:val="0"/>
        <w:widowControl/>
        <w:shd w:val="clear" w:color="auto" w:fill="FFFFFF"/>
        <w:kinsoku/>
        <w:wordWrap/>
        <w:overflowPunct/>
        <w:topLinePunct w:val="0"/>
        <w:autoSpaceDE/>
        <w:autoSpaceDN/>
        <w:bidi w:val="0"/>
        <w:adjustRightInd/>
        <w:snapToGrid/>
        <w:ind w:firstLine="642" w:firstLineChars="200"/>
        <w:textAlignment w:val="auto"/>
        <w:rPr>
          <w:rStyle w:val="10"/>
          <w:rFonts w:hint="default" w:ascii="方正仿宋_GBK" w:hAnsi="方正仿宋_GBK" w:eastAsia="方正仿宋_GBK" w:cs="方正仿宋_GBK"/>
          <w:sz w:val="32"/>
          <w:szCs w:val="32"/>
          <w:shd w:val="clear" w:color="auto" w:fill="FFFFFF"/>
        </w:rPr>
      </w:pPr>
      <w:r>
        <w:rPr>
          <w:rStyle w:val="10"/>
          <w:rFonts w:ascii="黑体" w:hAnsi="黑体" w:eastAsia="黑体" w:cs="黑体"/>
          <w:sz w:val="32"/>
          <w:szCs w:val="32"/>
          <w:shd w:val="clear" w:color="auto" w:fill="FFFFFF"/>
        </w:rPr>
        <w:t>七、决算公开联系方式及信息反馈渠道</w:t>
      </w:r>
    </w:p>
    <w:p>
      <w:pPr>
        <w:pStyle w:val="6"/>
        <w:spacing w:before="0" w:beforeAutospacing="0" w:line="594" w:lineRule="exact"/>
        <w:ind w:firstLine="640" w:firstLineChars="200"/>
        <w:rPr>
          <w:rFonts w:hint="default" w:ascii="方正仿宋_GBK" w:hAnsi="方正仿宋_GBK" w:eastAsia="方正仿宋_GBK" w:cs="方正仿宋_GBK"/>
          <w:color w:val="auto"/>
          <w:kern w:val="2"/>
          <w:sz w:val="32"/>
          <w:szCs w:val="32"/>
          <w:lang w:bidi="ar"/>
        </w:rPr>
      </w:pPr>
      <w:r>
        <w:rPr>
          <w:rFonts w:ascii="方正仿宋_GBK" w:hAnsi="方正仿宋_GBK" w:eastAsia="方正仿宋_GBK" w:cs="方正仿宋_GBK"/>
          <w:color w:val="auto"/>
          <w:sz w:val="32"/>
          <w:szCs w:val="32"/>
          <w:shd w:val="clear" w:color="auto" w:fill="FFFFFF"/>
        </w:rPr>
        <w:t>本单位决算公开信息反馈和联系方式：</w:t>
      </w:r>
      <w:r>
        <w:rPr>
          <w:rFonts w:ascii="方正仿宋_GBK" w:hAnsi="方正仿宋_GBK" w:eastAsia="方正仿宋_GBK" w:cs="方正仿宋_GBK"/>
          <w:color w:val="auto"/>
          <w:kern w:val="2"/>
          <w:sz w:val="32"/>
          <w:szCs w:val="32"/>
          <w:lang w:bidi="ar"/>
        </w:rPr>
        <w:t>垫江县周嘉镇人民政府办公室电话：023-74542700。</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p>
    <w:p>
      <w:pPr>
        <w:numPr>
          <w:ilvl w:val="0"/>
          <w:numId w:val="0"/>
        </w:numPr>
        <w:spacing w:after="100" w:afterAutospacing="1" w:line="594" w:lineRule="exact"/>
        <w:ind w:left="320" w:leftChars="0"/>
        <w:rPr>
          <w:rStyle w:val="10"/>
          <w:rFonts w:hint="default" w:ascii="方正仿宋_GBK" w:hAnsi="方正仿宋_GBK" w:eastAsia="方正仿宋_GBK" w:cs="方正仿宋_GBK"/>
          <w:color w:val="auto"/>
          <w:sz w:val="32"/>
          <w:szCs w:val="32"/>
          <w:shd w:val="clear" w:color="auto" w:fill="FFFF00"/>
        </w:rPr>
      </w:pPr>
    </w:p>
    <w:p>
      <w:pPr>
        <w:pStyle w:val="11"/>
        <w:autoSpaceDE w:val="0"/>
        <w:ind w:firstLine="0" w:firstLineChars="0"/>
        <w:rPr>
          <w:rStyle w:val="10"/>
          <w:rFonts w:ascii="方正仿宋_GBK" w:hAnsi="方正仿宋_GBK" w:eastAsia="方正仿宋_GBK" w:cs="方正仿宋_GBK"/>
          <w:color w:val="auto"/>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7"/>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309"/>
        <w:gridCol w:w="3571"/>
        <w:gridCol w:w="4059"/>
        <w:gridCol w:w="2852"/>
      </w:tblGrid>
      <w:tr>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r>
              <w:rPr>
                <w:rFonts w:cs="宋体"/>
                <w:sz w:val="20"/>
                <w:szCs w:val="20"/>
              </w:rPr>
              <w:t>单位：</w:t>
            </w:r>
            <w:r>
              <w:rPr>
                <w:sz w:val="20"/>
                <w:u w:color="auto"/>
              </w:rPr>
              <w:t>垫江县周嘉镇文化服务中心</w:t>
            </w: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104.43</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70.66</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21.85</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3.77</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8.15</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104.43</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104.43</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104.43</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104.43</w:t>
            </w:r>
            <w:r>
              <w:rPr>
                <w:rFonts w:ascii="Times New Roman" w:hAnsi="Times New Roman"/>
                <w:color w:val="000000"/>
                <w:sz w:val="20"/>
                <w:u w:color="auto"/>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5059" w:type="pct"/>
        <w:tblInd w:w="0" w:type="dxa"/>
        <w:tblLayout w:type="autofit"/>
        <w:tblCellMar>
          <w:top w:w="0" w:type="dxa"/>
          <w:left w:w="0" w:type="dxa"/>
          <w:bottom w:w="0" w:type="dxa"/>
          <w:right w:w="0" w:type="dxa"/>
        </w:tblCellMar>
      </w:tblPr>
      <w:tblGrid>
        <w:gridCol w:w="1637"/>
        <w:gridCol w:w="3230"/>
        <w:gridCol w:w="1316"/>
        <w:gridCol w:w="1375"/>
        <w:gridCol w:w="1194"/>
        <w:gridCol w:w="1195"/>
        <w:gridCol w:w="1329"/>
        <w:gridCol w:w="1267"/>
        <w:gridCol w:w="1401"/>
        <w:gridCol w:w="1615"/>
      </w:tblGrid>
      <w:tr>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CellMar>
            <w:top w:w="0" w:type="dxa"/>
            <w:left w:w="0" w:type="dxa"/>
            <w:bottom w:w="0" w:type="dxa"/>
            <w:right w:w="0" w:type="dxa"/>
          </w:tblCellMar>
        </w:tblPrEx>
        <w:trPr>
          <w:trHeight w:val="328" w:hRule="atLeast"/>
        </w:trPr>
        <w:tc>
          <w:tcPr>
            <w:tcW w:w="1903" w:type="pct"/>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sz w:val="20"/>
                <w:u w:color="auto"/>
              </w:rPr>
              <w:t>垫江县周嘉镇文化服务中心</w:t>
            </w:r>
          </w:p>
        </w:tc>
        <w:tc>
          <w:tcPr>
            <w:tcW w:w="454"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9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9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38"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19"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27"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tblPrEx>
          <w:tblCellMar>
            <w:top w:w="0" w:type="dxa"/>
            <w:left w:w="0" w:type="dxa"/>
            <w:bottom w:w="0" w:type="dxa"/>
            <w:right w:w="0" w:type="dxa"/>
          </w:tblCellMar>
        </w:tblPrEx>
        <w:trPr>
          <w:trHeight w:val="328" w:hRule="atLeast"/>
        </w:trPr>
        <w:tc>
          <w:tcPr>
            <w:tcW w:w="1903"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54"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9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9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38"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19"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27"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31" w:hRule="atLeast"/>
        </w:trPr>
        <w:tc>
          <w:tcPr>
            <w:tcW w:w="1468"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45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39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83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41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46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52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CellMar>
            <w:top w:w="0" w:type="dxa"/>
            <w:left w:w="0" w:type="dxa"/>
            <w:bottom w:w="0" w:type="dxa"/>
            <w:right w:w="0" w:type="dxa"/>
          </w:tblCellMar>
        </w:tblPrEx>
        <w:trPr>
          <w:trHeight w:val="334" w:hRule="atLeast"/>
        </w:trPr>
        <w:tc>
          <w:tcPr>
            <w:tcW w:w="463"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004"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9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43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41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004"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004"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004"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46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104.43</w:t>
            </w:r>
            <w:r>
              <w:rPr>
                <w:rFonts w:ascii="Times New Roman" w:hAnsi="Times New Roman"/>
                <w:b/>
                <w:color w:val="000000"/>
                <w:sz w:val="20"/>
                <w:u w:color="auto"/>
              </w:rPr>
              <w:t xml:space="preserve"> </w:t>
            </w:r>
          </w:p>
        </w:tc>
        <w:tc>
          <w:tcPr>
            <w:tcW w:w="4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104.43</w:t>
            </w:r>
            <w:r>
              <w:rPr>
                <w:rFonts w:ascii="Times New Roman" w:hAnsi="Times New Roman"/>
                <w:b/>
                <w:color w:val="000000"/>
                <w:sz w:val="20"/>
                <w:u w:color="auto"/>
              </w:rPr>
              <w:t xml:space="preserve"> </w:t>
            </w:r>
          </w:p>
        </w:tc>
        <w:tc>
          <w:tcPr>
            <w:tcW w:w="3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3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3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1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6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2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文化旅游体育与传媒支出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70.66</w:t>
            </w:r>
            <w:r>
              <w:rPr>
                <w:rFonts w:ascii="Times New Roman" w:hAnsi="Times New Roman"/>
                <w:b/>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70.66</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20701</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文化和旅游</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70.66</w:t>
            </w:r>
            <w:r>
              <w:rPr>
                <w:rFonts w:ascii="Times New Roman" w:hAnsi="Times New Roman"/>
                <w:b/>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70.66</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2070109</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群众文化</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70.66</w:t>
            </w:r>
            <w:r>
              <w:rPr>
                <w:rFonts w:ascii="Times New Roman" w:hAnsi="Times New Roman"/>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70.66</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21.85</w:t>
            </w:r>
            <w:r>
              <w:rPr>
                <w:rFonts w:ascii="Times New Roman" w:hAnsi="Times New Roman"/>
                <w:b/>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21.85</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21.85</w:t>
            </w:r>
            <w:r>
              <w:rPr>
                <w:rFonts w:ascii="Times New Roman" w:hAnsi="Times New Roman"/>
                <w:b/>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21.85</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12.81</w:t>
            </w:r>
            <w:r>
              <w:rPr>
                <w:rFonts w:ascii="Times New Roman" w:hAnsi="Times New Roman"/>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12.81</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6.43</w:t>
            </w:r>
            <w:r>
              <w:rPr>
                <w:rFonts w:ascii="Times New Roman" w:hAnsi="Times New Roman"/>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6.43</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2.60</w:t>
            </w:r>
            <w:r>
              <w:rPr>
                <w:rFonts w:ascii="Times New Roman" w:hAnsi="Times New Roman"/>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2.60</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3.77</w:t>
            </w:r>
            <w:r>
              <w:rPr>
                <w:rFonts w:ascii="Times New Roman" w:hAnsi="Times New Roman"/>
                <w:b/>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3.77</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3.77</w:t>
            </w:r>
            <w:r>
              <w:rPr>
                <w:rFonts w:ascii="Times New Roman" w:hAnsi="Times New Roman"/>
                <w:b/>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3.77</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3.77</w:t>
            </w:r>
            <w:r>
              <w:rPr>
                <w:rFonts w:ascii="Times New Roman" w:hAnsi="Times New Roman"/>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3.77</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8.15</w:t>
            </w:r>
            <w:r>
              <w:rPr>
                <w:rFonts w:ascii="Times New Roman" w:hAnsi="Times New Roman"/>
                <w:b/>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8.15</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8.15</w:t>
            </w:r>
            <w:r>
              <w:rPr>
                <w:rFonts w:ascii="Times New Roman" w:hAnsi="Times New Roman"/>
                <w:b/>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8.15</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8.15</w:t>
            </w:r>
            <w:r>
              <w:rPr>
                <w:rFonts w:ascii="Times New Roman" w:hAnsi="Times New Roman"/>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8.15</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7"/>
        <w:tblW w:w="5000" w:type="pct"/>
        <w:tblInd w:w="0" w:type="dxa"/>
        <w:tblLayout w:type="autofit"/>
        <w:tblCellMar>
          <w:top w:w="0" w:type="dxa"/>
          <w:left w:w="0" w:type="dxa"/>
          <w:bottom w:w="0" w:type="dxa"/>
          <w:right w:w="0" w:type="dxa"/>
        </w:tblCellMar>
      </w:tblPr>
      <w:tblGrid>
        <w:gridCol w:w="1637"/>
        <w:gridCol w:w="3543"/>
        <w:gridCol w:w="1652"/>
        <w:gridCol w:w="1701"/>
        <w:gridCol w:w="1634"/>
        <w:gridCol w:w="1566"/>
        <w:gridCol w:w="1701"/>
        <w:gridCol w:w="1944"/>
      </w:tblGrid>
      <w:tr>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CellMar>
            <w:top w:w="0" w:type="dxa"/>
            <w:left w:w="0" w:type="dxa"/>
            <w:bottom w:w="0" w:type="dxa"/>
            <w:right w:w="0" w:type="dxa"/>
          </w:tblCellMar>
        </w:tblPrEx>
        <w:trPr>
          <w:trHeight w:val="342" w:hRule="atLeast"/>
        </w:trPr>
        <w:tc>
          <w:tcPr>
            <w:tcW w:w="2187" w:type="pct"/>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垫江县周嘉镇文化服务中心 </w:t>
            </w:r>
          </w:p>
        </w:tc>
        <w:tc>
          <w:tcPr>
            <w:tcW w:w="560"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38"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1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60"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tblPrEx>
          <w:tblCellMar>
            <w:top w:w="0" w:type="dxa"/>
            <w:left w:w="0" w:type="dxa"/>
            <w:bottom w:w="0" w:type="dxa"/>
            <w:right w:w="0" w:type="dxa"/>
          </w:tblCellMar>
        </w:tblPrEx>
        <w:trPr>
          <w:trHeight w:val="342" w:hRule="atLeast"/>
        </w:trPr>
        <w:tc>
          <w:tcPr>
            <w:tcW w:w="2187"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60"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38"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1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60"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62" w:hRule="atLeast"/>
        </w:trPr>
        <w:tc>
          <w:tcPr>
            <w:tcW w:w="164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54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56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3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51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56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CellMar>
            <w:top w:w="0" w:type="dxa"/>
            <w:left w:w="0" w:type="dxa"/>
            <w:bottom w:w="0" w:type="dxa"/>
            <w:right w:w="0" w:type="dxa"/>
          </w:tblCellMar>
        </w:tblPrEx>
        <w:trPr>
          <w:trHeight w:val="338" w:hRule="atLeast"/>
        </w:trPr>
        <w:tc>
          <w:tcPr>
            <w:tcW w:w="484"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59"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4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84"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59"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4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84"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59"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4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84"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59"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4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62" w:hRule="atLeast"/>
        </w:trPr>
        <w:tc>
          <w:tcPr>
            <w:tcW w:w="164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4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104.43</w:t>
            </w:r>
            <w:r>
              <w:rPr>
                <w:rFonts w:ascii="Times New Roman" w:hAnsi="Times New Roman"/>
                <w:b/>
                <w:color w:val="000000"/>
                <w:sz w:val="20"/>
                <w:u w:color="auto"/>
              </w:rPr>
              <w:t xml:space="preserve"> </w:t>
            </w:r>
          </w:p>
        </w:tc>
        <w:tc>
          <w:tcPr>
            <w:tcW w:w="56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104.43</w:t>
            </w:r>
            <w:r>
              <w:rPr>
                <w:rFonts w:ascii="Times New Roman" w:hAnsi="Times New Roman"/>
                <w:b/>
                <w:color w:val="000000"/>
                <w:sz w:val="20"/>
                <w:u w:color="auto"/>
              </w:rPr>
              <w:t xml:space="preserve"> </w:t>
            </w:r>
          </w:p>
        </w:tc>
        <w:tc>
          <w:tcPr>
            <w:tcW w:w="53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6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文化旅游体育与传媒支出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70.66</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70.66</w:t>
            </w:r>
            <w:r>
              <w:rPr>
                <w:rFonts w:ascii="Times New Roman" w:hAnsi="Times New Roman"/>
                <w:b/>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20701</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文化和旅游</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70.66</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70.66</w:t>
            </w:r>
            <w:r>
              <w:rPr>
                <w:rFonts w:ascii="Times New Roman" w:hAnsi="Times New Roman"/>
                <w:b/>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2070109</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群众文化</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70.66</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70.66</w:t>
            </w:r>
            <w:r>
              <w:rPr>
                <w:rFonts w:ascii="Times New Roman" w:hAnsi="Times New Roman"/>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21.85</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21.85</w:t>
            </w:r>
            <w:r>
              <w:rPr>
                <w:rFonts w:ascii="Times New Roman" w:hAnsi="Times New Roman"/>
                <w:b/>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21.85</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21.85</w:t>
            </w:r>
            <w:r>
              <w:rPr>
                <w:rFonts w:ascii="Times New Roman" w:hAnsi="Times New Roman"/>
                <w:b/>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12.81</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12.81</w:t>
            </w:r>
            <w:r>
              <w:rPr>
                <w:rFonts w:ascii="Times New Roman" w:hAnsi="Times New Roman"/>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6.43</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6.43</w:t>
            </w:r>
            <w:r>
              <w:rPr>
                <w:rFonts w:ascii="Times New Roman" w:hAnsi="Times New Roman"/>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2.60</w:t>
            </w:r>
            <w:r>
              <w:rPr>
                <w:rFonts w:ascii="Times New Roman" w:hAnsi="Times New Roman"/>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3.77</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3.77</w:t>
            </w:r>
            <w:r>
              <w:rPr>
                <w:rFonts w:ascii="Times New Roman" w:hAnsi="Times New Roman"/>
                <w:b/>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3.77</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3.77</w:t>
            </w:r>
            <w:r>
              <w:rPr>
                <w:rFonts w:ascii="Times New Roman" w:hAnsi="Times New Roman"/>
                <w:b/>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3.77</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3.77</w:t>
            </w:r>
            <w:r>
              <w:rPr>
                <w:rFonts w:ascii="Times New Roman" w:hAnsi="Times New Roman"/>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8.15</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8.15</w:t>
            </w:r>
            <w:r>
              <w:rPr>
                <w:rFonts w:ascii="Times New Roman" w:hAnsi="Times New Roman"/>
                <w:b/>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8.15</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8.15</w:t>
            </w:r>
            <w:r>
              <w:rPr>
                <w:rFonts w:ascii="Times New Roman" w:hAnsi="Times New Roman"/>
                <w:b/>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8.15</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8.15</w:t>
            </w:r>
            <w:r>
              <w:rPr>
                <w:rFonts w:ascii="Times New Roman" w:hAnsi="Times New Roman"/>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7"/>
        <w:tblW w:w="4790" w:type="pct"/>
        <w:tblInd w:w="0" w:type="dxa"/>
        <w:tblLayout w:type="autofit"/>
        <w:tblCellMar>
          <w:top w:w="0" w:type="dxa"/>
          <w:left w:w="0" w:type="dxa"/>
          <w:bottom w:w="0" w:type="dxa"/>
          <w:right w:w="0" w:type="dxa"/>
        </w:tblCellMar>
      </w:tblPr>
      <w:tblGrid>
        <w:gridCol w:w="2979"/>
        <w:gridCol w:w="1526"/>
        <w:gridCol w:w="3191"/>
        <w:gridCol w:w="1700"/>
        <w:gridCol w:w="1700"/>
        <w:gridCol w:w="1700"/>
        <w:gridCol w:w="1936"/>
      </w:tblGrid>
      <w:tr>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垫江县周嘉镇文化服务中心</w:t>
            </w: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104.43</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70.66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70.66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21.85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21.85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8.15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8.15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104.43</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104.43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104.43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104.43</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104.43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104.43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5000" w:type="pct"/>
        <w:tblInd w:w="0" w:type="dxa"/>
        <w:tblLayout w:type="autofit"/>
        <w:tblCellMar>
          <w:top w:w="0" w:type="dxa"/>
          <w:left w:w="0" w:type="dxa"/>
          <w:bottom w:w="0" w:type="dxa"/>
          <w:right w:w="0" w:type="dxa"/>
        </w:tblCellMar>
      </w:tblPr>
      <w:tblGrid>
        <w:gridCol w:w="1492"/>
        <w:gridCol w:w="3909"/>
        <w:gridCol w:w="3319"/>
        <w:gridCol w:w="3312"/>
        <w:gridCol w:w="3346"/>
      </w:tblGrid>
      <w:tr>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CellMar>
            <w:top w:w="0" w:type="dxa"/>
            <w:left w:w="0" w:type="dxa"/>
            <w:bottom w:w="0" w:type="dxa"/>
            <w:right w:w="0" w:type="dxa"/>
          </w:tblCellMar>
        </w:tblPrEx>
        <w:trPr>
          <w:trHeight w:val="255" w:hRule="atLeast"/>
        </w:trPr>
        <w:tc>
          <w:tcPr>
            <w:tcW w:w="2835" w:type="pct"/>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垫江县周嘉镇文化服务中心</w:t>
            </w:r>
          </w:p>
        </w:tc>
        <w:tc>
          <w:tcPr>
            <w:tcW w:w="107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6"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tblPrEx>
          <w:tblCellMar>
            <w:top w:w="0" w:type="dxa"/>
            <w:left w:w="0" w:type="dxa"/>
            <w:bottom w:w="0" w:type="dxa"/>
            <w:right w:w="0" w:type="dxa"/>
          </w:tblCellMar>
        </w:tblPrEx>
        <w:trPr>
          <w:trHeight w:val="285" w:hRule="atLeast"/>
        </w:trPr>
        <w:tc>
          <w:tcPr>
            <w:tcW w:w="2835"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7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6"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08" w:hRule="atLeast"/>
        </w:trPr>
        <w:tc>
          <w:tcPr>
            <w:tcW w:w="175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3243"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26" w:hRule="atLeast"/>
        </w:trPr>
        <w:tc>
          <w:tcPr>
            <w:tcW w:w="4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27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08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26" w:hRule="atLeast"/>
        </w:trPr>
        <w:tc>
          <w:tcPr>
            <w:tcW w:w="4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7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8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5" w:hRule="atLeast"/>
        </w:trPr>
        <w:tc>
          <w:tcPr>
            <w:tcW w:w="4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7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8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08" w:hRule="atLeast"/>
        </w:trPr>
        <w:tc>
          <w:tcPr>
            <w:tcW w:w="1756"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104.43</w:t>
            </w:r>
            <w:r>
              <w:rPr>
                <w:rFonts w:ascii="Times New Roman" w:hAnsi="Times New Roman"/>
                <w:b/>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104.43</w:t>
            </w:r>
            <w:r>
              <w:rPr>
                <w:rFonts w:ascii="Times New Roman" w:hAnsi="Times New Roman"/>
                <w:b/>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文化旅游体育与传媒支出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70.66</w:t>
            </w:r>
            <w:r>
              <w:rPr>
                <w:rFonts w:ascii="Times New Roman" w:hAnsi="Times New Roman"/>
                <w:b/>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70.66</w:t>
            </w:r>
            <w:r>
              <w:rPr>
                <w:rFonts w:ascii="Times New Roman" w:hAnsi="Times New Roman"/>
                <w:b/>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文化和旅游</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70.66</w:t>
            </w:r>
            <w:r>
              <w:rPr>
                <w:rFonts w:ascii="Times New Roman" w:hAnsi="Times New Roman"/>
                <w:b/>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70.66</w:t>
            </w:r>
            <w:r>
              <w:rPr>
                <w:rFonts w:ascii="Times New Roman" w:hAnsi="Times New Roman"/>
                <w:b/>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2070109</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群众文化</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70.66</w:t>
            </w:r>
            <w:r>
              <w:rPr>
                <w:rFonts w:ascii="Times New Roman" w:hAnsi="Times New Roman"/>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70.66</w:t>
            </w:r>
            <w:r>
              <w:rPr>
                <w:rFonts w:ascii="Times New Roman" w:hAnsi="Times New Roman"/>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21.85</w:t>
            </w:r>
            <w:r>
              <w:rPr>
                <w:rFonts w:ascii="Times New Roman" w:hAnsi="Times New Roman"/>
                <w:b/>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21.85</w:t>
            </w:r>
            <w:r>
              <w:rPr>
                <w:rFonts w:ascii="Times New Roman" w:hAnsi="Times New Roman"/>
                <w:b/>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21.85</w:t>
            </w:r>
            <w:r>
              <w:rPr>
                <w:rFonts w:ascii="Times New Roman" w:hAnsi="Times New Roman"/>
                <w:b/>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21.85</w:t>
            </w:r>
            <w:r>
              <w:rPr>
                <w:rFonts w:ascii="Times New Roman" w:hAnsi="Times New Roman"/>
                <w:b/>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12.81</w:t>
            </w:r>
            <w:r>
              <w:rPr>
                <w:rFonts w:ascii="Times New Roman" w:hAnsi="Times New Roman"/>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12.81</w:t>
            </w:r>
            <w:r>
              <w:rPr>
                <w:rFonts w:ascii="Times New Roman" w:hAnsi="Times New Roman"/>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6.43</w:t>
            </w:r>
            <w:r>
              <w:rPr>
                <w:rFonts w:ascii="Times New Roman" w:hAnsi="Times New Roman"/>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6.43</w:t>
            </w:r>
            <w:r>
              <w:rPr>
                <w:rFonts w:ascii="Times New Roman" w:hAnsi="Times New Roman"/>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2.60</w:t>
            </w:r>
            <w:r>
              <w:rPr>
                <w:rFonts w:ascii="Times New Roman" w:hAnsi="Times New Roman"/>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2.60</w:t>
            </w:r>
            <w:r>
              <w:rPr>
                <w:rFonts w:ascii="Times New Roman" w:hAnsi="Times New Roman"/>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3.77</w:t>
            </w:r>
            <w:r>
              <w:rPr>
                <w:rFonts w:ascii="Times New Roman" w:hAnsi="Times New Roman"/>
                <w:b/>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3.77</w:t>
            </w:r>
            <w:r>
              <w:rPr>
                <w:rFonts w:ascii="Times New Roman" w:hAnsi="Times New Roman"/>
                <w:b/>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3.77</w:t>
            </w:r>
            <w:r>
              <w:rPr>
                <w:rFonts w:ascii="Times New Roman" w:hAnsi="Times New Roman"/>
                <w:b/>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3.77</w:t>
            </w:r>
            <w:r>
              <w:rPr>
                <w:rFonts w:ascii="Times New Roman" w:hAnsi="Times New Roman"/>
                <w:b/>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3.77</w:t>
            </w:r>
            <w:r>
              <w:rPr>
                <w:rFonts w:ascii="Times New Roman" w:hAnsi="Times New Roman"/>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3.77</w:t>
            </w:r>
            <w:r>
              <w:rPr>
                <w:rFonts w:ascii="Times New Roman" w:hAnsi="Times New Roman"/>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8.15</w:t>
            </w:r>
            <w:r>
              <w:rPr>
                <w:rFonts w:ascii="Times New Roman" w:hAnsi="Times New Roman"/>
                <w:b/>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8.15</w:t>
            </w:r>
            <w:r>
              <w:rPr>
                <w:rFonts w:ascii="Times New Roman" w:hAnsi="Times New Roman"/>
                <w:b/>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8.15</w:t>
            </w:r>
            <w:r>
              <w:rPr>
                <w:rFonts w:ascii="Times New Roman" w:hAnsi="Times New Roman"/>
                <w:b/>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8.15</w:t>
            </w:r>
            <w:r>
              <w:rPr>
                <w:rFonts w:ascii="Times New Roman" w:hAnsi="Times New Roman"/>
                <w:b/>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8.15</w:t>
            </w:r>
            <w:r>
              <w:rPr>
                <w:rFonts w:ascii="Times New Roman" w:hAnsi="Times New Roman"/>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8.15</w:t>
            </w:r>
            <w:r>
              <w:rPr>
                <w:rFonts w:ascii="Times New Roman" w:hAnsi="Times New Roman"/>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7"/>
        <w:tblW w:w="4994" w:type="pct"/>
        <w:tblInd w:w="0" w:type="dxa"/>
        <w:tblLayout w:type="autofit"/>
        <w:tblCellMar>
          <w:top w:w="0" w:type="dxa"/>
          <w:left w:w="0" w:type="dxa"/>
          <w:bottom w:w="0" w:type="dxa"/>
          <w:right w:w="0" w:type="dxa"/>
        </w:tblCellMar>
      </w:tblPr>
      <w:tblGrid>
        <w:gridCol w:w="605"/>
        <w:gridCol w:w="2740"/>
        <w:gridCol w:w="1376"/>
        <w:gridCol w:w="836"/>
        <w:gridCol w:w="1923"/>
        <w:gridCol w:w="1656"/>
        <w:gridCol w:w="808"/>
        <w:gridCol w:w="3527"/>
        <w:gridCol w:w="1889"/>
      </w:tblGrid>
      <w:tr>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CellMar>
            <w:top w:w="0" w:type="dxa"/>
            <w:left w:w="0" w:type="dxa"/>
            <w:bottom w:w="0" w:type="dxa"/>
            <w:right w:w="0" w:type="dxa"/>
          </w:tblCellMar>
        </w:tblPrEx>
        <w:trPr>
          <w:trHeight w:val="90" w:hRule="atLeast"/>
        </w:trPr>
        <w:tc>
          <w:tcPr>
            <w:tcW w:w="2435" w:type="pct"/>
            <w:gridSpan w:val="5"/>
            <w:vMerge w:val="restart"/>
            <w:tcBorders>
              <w:top w:val="nil"/>
              <w:left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垫江县周嘉镇文化服务中心</w:t>
            </w:r>
          </w:p>
        </w:tc>
        <w:tc>
          <w:tcPr>
            <w:tcW w:w="539"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263"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148"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15"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tblPrEx>
          <w:tblCellMar>
            <w:top w:w="0" w:type="dxa"/>
            <w:left w:w="0" w:type="dxa"/>
            <w:bottom w:w="0" w:type="dxa"/>
            <w:right w:w="0" w:type="dxa"/>
          </w:tblCellMar>
        </w:tblPrEx>
        <w:trPr>
          <w:trHeight w:val="90" w:hRule="atLeast"/>
        </w:trPr>
        <w:tc>
          <w:tcPr>
            <w:tcW w:w="2435" w:type="pct"/>
            <w:gridSpan w:val="5"/>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39"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263"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148"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15"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537"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w:t>
            </w:r>
          </w:p>
        </w:tc>
        <w:tc>
          <w:tcPr>
            <w:tcW w:w="3463"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w:t>
            </w:r>
          </w:p>
        </w:tc>
      </w:tr>
      <w:tr>
        <w:tblPrEx>
          <w:tblCellMar>
            <w:top w:w="0" w:type="dxa"/>
            <w:left w:w="0" w:type="dxa"/>
            <w:bottom w:w="0" w:type="dxa"/>
            <w:right w:w="0" w:type="dxa"/>
          </w:tblCellMar>
        </w:tblPrEx>
        <w:trPr>
          <w:trHeight w:val="312" w:hRule="atLeast"/>
        </w:trPr>
        <w:tc>
          <w:tcPr>
            <w:tcW w:w="197"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892"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4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27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2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3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263"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4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61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r>
      <w:tr>
        <w:tblPrEx>
          <w:tblCellMar>
            <w:top w:w="0" w:type="dxa"/>
            <w:left w:w="0" w:type="dxa"/>
            <w:bottom w:w="0" w:type="dxa"/>
            <w:right w:w="0" w:type="dxa"/>
          </w:tblCellMar>
        </w:tblPrEx>
        <w:trPr>
          <w:trHeight w:val="312" w:hRule="atLeast"/>
        </w:trPr>
        <w:tc>
          <w:tcPr>
            <w:tcW w:w="197"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892"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44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27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62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3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263"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14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61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301</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工资福利支出</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98.29</w:t>
            </w: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302</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商品和服务支出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3.54</w:t>
            </w: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310</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资本性支出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30101</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基本工资</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19.41</w:t>
            </w: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30201</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31001</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房屋建筑物购建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30102</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津贴补贴</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3.26</w:t>
            </w: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30202</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印刷费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31002</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办公设备购置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30103</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30203</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咨询费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31003</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专用设备购置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30106</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伙食补助费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30204</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手续费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31005</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基础设施建设</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30107</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绩效工资</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42.67</w:t>
            </w: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30205</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水费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31006</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大型修缮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30108</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12.81</w:t>
            </w: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30206</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电费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31007</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30109</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职业年金缴费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6.43</w:t>
            </w: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30207</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邮电费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31008</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物资储备</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30110</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3.77</w:t>
            </w: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30208</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取暖费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土地补偿</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30111</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30209</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物业管理费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31010</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安置补助</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30112</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其他社会保障缴费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0.11</w:t>
            </w: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30211</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差旅费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3.04</w:t>
            </w: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31011</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30113</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住房公积金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8.15</w:t>
            </w: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30212</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因公出国（境）费用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31012</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拆迁补偿</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30114</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0.88</w:t>
            </w: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30213</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维修（护）费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31013</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30199</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其他工资福利支出</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0.78</w:t>
            </w: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30214</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租赁费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其他交通工具购置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303</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对个人和家庭的补助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2.60</w:t>
            </w: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30215</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会议费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31021</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文物和陈列品购置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30301</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离休费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30216</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培训费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31022</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无形资产购置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30302</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退休费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30217</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公务接待费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31099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其他资本性支出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30303</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退职（役）费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30218</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专用材料费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312</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对企业补助</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30304</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抚恤金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30224</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被装购置费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31201</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资本金注入</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30305</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生活补助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2.60</w:t>
            </w: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30225</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专用燃料费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31203</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30306</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救济费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30226</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劳务费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31204</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费用补贴</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30307</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30227</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委托业务费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0.50</w:t>
            </w: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31205</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利息补贴</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30308</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助学金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30228</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工会经费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31206</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30309</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奖励金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30229</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福利费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31299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其他对企业补助</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30310</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个人农业生产补贴</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30231</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399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其他支出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30311</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代缴社会保险费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30239</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39907</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国家赔偿费用支出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30399</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30240</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税金及附加费用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39908</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30299</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经常性赠与</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307</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债务利息及费用支出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39910</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资本性赠与</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30701</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国内债务付息</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39999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30702</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国外债务付息</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30703</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国内债务发行费用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155"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30704</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国外债务发行费用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310" w:hRule="atLeast"/>
        </w:trPr>
        <w:tc>
          <w:tcPr>
            <w:tcW w:w="1089"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人员经费合计</w:t>
            </w:r>
          </w:p>
        </w:tc>
        <w:tc>
          <w:tcPr>
            <w:tcW w:w="44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100.89</w:t>
            </w:r>
            <w:r>
              <w:rPr>
                <w:rFonts w:ascii="Times New Roman" w:hAnsi="Times New Roman"/>
                <w:color w:val="000000"/>
                <w:sz w:val="18"/>
                <w:u w:color="auto"/>
              </w:rPr>
              <w:t xml:space="preserve"> </w:t>
            </w:r>
          </w:p>
        </w:tc>
        <w:tc>
          <w:tcPr>
            <w:tcW w:w="284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公用经费合计</w:t>
            </w:r>
          </w:p>
        </w:tc>
        <w:tc>
          <w:tcPr>
            <w:tcW w:w="61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3.54</w:t>
            </w:r>
            <w:r>
              <w:rPr>
                <w:rFonts w:ascii="Times New Roman" w:hAnsi="Times New Roman"/>
                <w:color w:val="000000"/>
                <w:sz w:val="18"/>
                <w:u w:color="auto"/>
              </w:rPr>
              <w:t xml:space="preserve"> </w:t>
            </w:r>
          </w:p>
        </w:tc>
      </w:tr>
    </w:tbl>
    <w:p>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5000" w:type="pct"/>
        <w:tblInd w:w="0" w:type="dxa"/>
        <w:tblLayout w:type="autofit"/>
        <w:tblCellMar>
          <w:top w:w="0" w:type="dxa"/>
          <w:left w:w="0" w:type="dxa"/>
          <w:bottom w:w="0" w:type="dxa"/>
          <w:right w:w="0" w:type="dxa"/>
        </w:tblCellMar>
      </w:tblPr>
      <w:tblGrid>
        <w:gridCol w:w="1642"/>
        <w:gridCol w:w="3297"/>
        <w:gridCol w:w="1707"/>
        <w:gridCol w:w="1707"/>
        <w:gridCol w:w="1707"/>
        <w:gridCol w:w="1707"/>
        <w:gridCol w:w="1772"/>
        <w:gridCol w:w="1839"/>
      </w:tblGrid>
      <w:tr>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2161" w:type="pct"/>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垫江县周嘉镇文化服务中心</w:t>
            </w: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6"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tblPrEx>
          <w:tblCellMar>
            <w:top w:w="0" w:type="dxa"/>
            <w:left w:w="0" w:type="dxa"/>
            <w:bottom w:w="0" w:type="dxa"/>
            <w:right w:w="0" w:type="dxa"/>
          </w:tblCellMar>
        </w:tblPrEx>
        <w:trPr>
          <w:trHeight w:val="329" w:hRule="atLeast"/>
        </w:trPr>
        <w:tc>
          <w:tcPr>
            <w:tcW w:w="2161"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6"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39" w:hRule="atLeast"/>
        </w:trPr>
        <w:tc>
          <w:tcPr>
            <w:tcW w:w="160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59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CellMar>
            <w:top w:w="0" w:type="dxa"/>
            <w:left w:w="0" w:type="dxa"/>
            <w:bottom w:w="0" w:type="dxa"/>
            <w:right w:w="0" w:type="dxa"/>
          </w:tblCellMar>
        </w:tblPrEx>
        <w:trPr>
          <w:trHeight w:val="335" w:hRule="atLeast"/>
        </w:trPr>
        <w:tc>
          <w:tcPr>
            <w:tcW w:w="53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07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5" w:hRule="atLeast"/>
        </w:trPr>
        <w:tc>
          <w:tcPr>
            <w:tcW w:w="53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rPr>
          <w:trHeight w:val="645" w:hRule="atLeast"/>
        </w:trPr>
        <w:tc>
          <w:tcPr>
            <w:tcW w:w="53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1606"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53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10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7"/>
        <w:tblW w:w="5000" w:type="pct"/>
        <w:tblInd w:w="0" w:type="dxa"/>
        <w:tblLayout w:type="autofit"/>
        <w:tblCellMar>
          <w:top w:w="0" w:type="dxa"/>
          <w:left w:w="0" w:type="dxa"/>
          <w:bottom w:w="0" w:type="dxa"/>
          <w:right w:w="0" w:type="dxa"/>
        </w:tblCellMar>
      </w:tblPr>
      <w:tblGrid>
        <w:gridCol w:w="2008"/>
        <w:gridCol w:w="2928"/>
        <w:gridCol w:w="3276"/>
        <w:gridCol w:w="200"/>
        <w:gridCol w:w="3475"/>
        <w:gridCol w:w="77"/>
        <w:gridCol w:w="3414"/>
      </w:tblGrid>
      <w:tr>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垫江县周嘉镇文化服务中心</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8"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8"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22" w:hRule="atLeast"/>
        </w:trPr>
        <w:tc>
          <w:tcPr>
            <w:tcW w:w="160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3394"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39" w:hRule="atLeast"/>
        </w:trPr>
        <w:tc>
          <w:tcPr>
            <w:tcW w:w="653"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952"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133"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39" w:hRule="atLeast"/>
        </w:trPr>
        <w:tc>
          <w:tcPr>
            <w:tcW w:w="653"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952"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3"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653"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952"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3"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26" w:hRule="atLeast"/>
        </w:trPr>
        <w:tc>
          <w:tcPr>
            <w:tcW w:w="653"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952"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3"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1" w:hRule="atLeast"/>
        </w:trPr>
        <w:tc>
          <w:tcPr>
            <w:tcW w:w="160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3"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488" w:hRule="atLeast"/>
        </w:trPr>
        <w:tc>
          <w:tcPr>
            <w:tcW w:w="6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9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3"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7"/>
        <w:tblW w:w="4611" w:type="pct"/>
        <w:tblInd w:w="0" w:type="dxa"/>
        <w:tblLayout w:type="fixed"/>
        <w:tblCellMar>
          <w:top w:w="0" w:type="dxa"/>
          <w:left w:w="170" w:type="dxa"/>
          <w:bottom w:w="0" w:type="dxa"/>
          <w:right w:w="170" w:type="dxa"/>
        </w:tblCellMar>
      </w:tblPr>
      <w:tblGrid>
        <w:gridCol w:w="3190"/>
        <w:gridCol w:w="2425"/>
        <w:gridCol w:w="2384"/>
        <w:gridCol w:w="3687"/>
        <w:gridCol w:w="2496"/>
      </w:tblGrid>
      <w:tr>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垫江县周嘉镇文化服务中心</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3.04</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pPr>
        <w:rPr>
          <w:rFonts w:hint="default" w:cs="宋体"/>
          <w:sz w:val="21"/>
          <w:szCs w:val="21"/>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839" w:h="11907"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仿宋_GB2312">
    <w:altName w:val="方正仿宋_GBK"/>
    <w:panose1 w:val="00000000000000000000"/>
    <w:charset w:val="86"/>
    <w:family w:val="modern"/>
    <w:pitch w:val="default"/>
    <w:sig w:usb0="00000000" w:usb1="00000000" w:usb2="0000001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3000509000000000000"/>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Bitstream Charter">
    <w:panose1 w:val="00000000000000000000"/>
    <w:charset w:val="00"/>
    <w:family w:val="auto"/>
    <w:pitch w:val="default"/>
    <w:sig w:usb0="00000000" w:usb1="00000000" w:usb2="00000000" w:usb3="00000000" w:csb0="00000000" w:csb1="00000000"/>
  </w:font>
  <w:font w:name="Microsoft YaHei">
    <w:altName w:val="方正黑体_GBK"/>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3"/>
                            <w:rPr>
                              <w:rFonts w:hint="default"/>
                            </w:rPr>
                          </w:pPr>
                          <w:r>
                            <w:fldChar w:fldCharType="begin"/>
                          </w:r>
                          <w:r>
                            <w:instrText xml:space="preserve"> PAGE  \* MERGEFORMAT </w:instrText>
                          </w:r>
                          <w:r>
                            <w:fldChar w:fldCharType="separate"/>
                          </w:r>
                          <w:r>
                            <w:rPr>
                              <w:rFonts w:hint="default"/>
                            </w:rPr>
                            <w:t>- 23 -</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u9gqJIgIAADc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meQrMh36MKmrc+lJit2261vd&#10;2uqITr09UyU4vm5QyoaF+Mg8uIHywff4gEMqi5S2lyiprf/0t/fkj5HBSkkLrpXUYBkoUW8NRplo&#10;OQh+ELaDYPb6zoK8E+yR41nEBx/VIEpv9UcswSrlkEwFBGaGIxsGNYh3EVpvxDJxsVpd9L3zza6+&#10;fgYxHYsb8+R4P+qEXnCrfQTaeQgJszNQGF5SwM48xn6TEv1/1bPXdd+XP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WAAAAZHJzL1BLAQIU&#10;ABQAAAAIAIdO4kCzSVju0AAAAAUBAAAPAAAAAAAAAAEAIAAAADgAAABkcnMvZG93bnJldi54bWxQ&#10;SwECFAAUAAAACACHTuJA7vYKiSICAAA3BAAADgAAAAAAAAABACAAAAA1AQAAZHJzL2Uyb0RvYy54&#10;bWxQSwUGAAAAAAYABgBZAQAAyQUAAAAA&#10;">
              <v:fill on="f" focussize="0,0"/>
              <v:stroke on="f" weight="0.5pt"/>
              <v:imagedata o:title=""/>
              <o:lock v:ext="edit" aspectratio="f"/>
              <v:textbox inset="0mm,0mm,0mm,0mm" style="mso-fit-shape-to-text:t;">
                <w:txbxContent>
                  <w:p>
                    <w:pPr>
                      <w:pStyle w:val="3"/>
                      <w:rPr>
                        <w:rFonts w:hint="default"/>
                      </w:rPr>
                    </w:pPr>
                    <w:r>
                      <w:fldChar w:fldCharType="begin"/>
                    </w:r>
                    <w:r>
                      <w:instrText xml:space="preserve"> PAGE  \* MERGEFORMAT </w:instrText>
                    </w:r>
                    <w:r>
                      <w:fldChar w:fldCharType="separate"/>
                    </w:r>
                    <w:r>
                      <w:rPr>
                        <w:rFonts w:hint="default"/>
                      </w:rPr>
                      <w:t>- 23 -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25 -</w:t>
                          </w:r>
                          <w:r>
                            <w:fldChar w:fldCharType="end"/>
                          </w:r>
                          <w:r>
                            <w:t xml:space="preserve"> </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8Y1JphwCAAArBAAADgAAAAAAAAABACAAAAA1AQAAZHJzL2Uyb0RvYy54bWxQSwUG&#10;AAAAAAYABgBZAQAAwwUAAAAA&#10;">
              <v:fill on="f" focussize="0,0"/>
              <v:stroke on="f" weight="0.5pt"/>
              <v:imagedata o:title=""/>
              <o:lock v:ext="edit" aspectratio="f"/>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25 -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true"/>
                    <wps:spPr>
                      <a:xfrm>
                        <a:off x="0" y="0"/>
                        <a:ext cx="1828800" cy="220980"/>
                      </a:xfrm>
                      <a:prstGeom prst="rect">
                        <a:avLst/>
                      </a:prstGeom>
                      <a:noFill/>
                      <a:ln w="6350">
                        <a:noFill/>
                      </a:ln>
                      <a:effectLst/>
                    </wps:spPr>
                    <wps:txbx>
                      <w:txbxContent>
                        <w:p>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FgAAAGRy&#10;cy9QSwECFAAUAAAACACHTuJAeA1UVNgAAAAKAQAADwAAAAAAAAABACAAAAA4AAAAZHJzL2Rvd25y&#10;ZXYueG1sUEsBAhQAFAAAAAgAh07iQJMZTUchAgAAKgQAAA4AAAAAAAAAAQAgAAAAPQEAAGRycy9l&#10;Mm9Eb2MueG1sUEsFBgAAAAAGAAYAWQEAANAFAAAAAA==&#10;">
              <v:fill on="f" focussize="0,0"/>
              <v:stroke on="f" weight="0.5pt"/>
              <v:imagedata o:title=""/>
              <o:lock v:ext="edit" aspectratio="f"/>
              <v:textbox inset="0mm,0mm,0mm,0mm">
                <w:txbxContent>
                  <w:p>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true"/>
  <w:bordersDoNotSurroundFooter w:val="true"/>
  <w:documentProtection w:enforcement="0"/>
  <w:defaultTabStop w:val="420"/>
  <w:drawingGridHorizontalSpacing w:val="120"/>
  <w:drawingGridVerticalSpacing w:val="163"/>
  <w:displayHorizontalDrawingGridEvery w:val="2"/>
  <w:displayVerticalDrawingGridEvery w:val="2"/>
  <w:noPunctuationKerning w:val="true"/>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39C6"/>
    <w:rsid w:val="001D3BB7"/>
    <w:rsid w:val="002B254B"/>
    <w:rsid w:val="00466C9B"/>
    <w:rsid w:val="00550ABE"/>
    <w:rsid w:val="00770383"/>
    <w:rsid w:val="007819D4"/>
    <w:rsid w:val="007B419D"/>
    <w:rsid w:val="007B7C4B"/>
    <w:rsid w:val="007D3D39"/>
    <w:rsid w:val="00994AF7"/>
    <w:rsid w:val="009B67B8"/>
    <w:rsid w:val="009D2B67"/>
    <w:rsid w:val="00A566F9"/>
    <w:rsid w:val="00AF2751"/>
    <w:rsid w:val="00B03CCD"/>
    <w:rsid w:val="00BE2B89"/>
    <w:rsid w:val="00C10E9E"/>
    <w:rsid w:val="00C20C3E"/>
    <w:rsid w:val="00CF2ACF"/>
    <w:rsid w:val="00F73F90"/>
    <w:rsid w:val="00FB4B3B"/>
    <w:rsid w:val="01474EBF"/>
    <w:rsid w:val="01F3521E"/>
    <w:rsid w:val="03B87EA0"/>
    <w:rsid w:val="03E3214F"/>
    <w:rsid w:val="044C50BA"/>
    <w:rsid w:val="05BC6D49"/>
    <w:rsid w:val="06194FF1"/>
    <w:rsid w:val="06A2550B"/>
    <w:rsid w:val="06F80EE2"/>
    <w:rsid w:val="07001CCA"/>
    <w:rsid w:val="075678DB"/>
    <w:rsid w:val="079D7CC7"/>
    <w:rsid w:val="08051BCA"/>
    <w:rsid w:val="082062CA"/>
    <w:rsid w:val="086C12F4"/>
    <w:rsid w:val="08705944"/>
    <w:rsid w:val="08BA052C"/>
    <w:rsid w:val="08DB07BA"/>
    <w:rsid w:val="0969353F"/>
    <w:rsid w:val="098305D0"/>
    <w:rsid w:val="0A3317EA"/>
    <w:rsid w:val="0A5C4B69"/>
    <w:rsid w:val="0A86124A"/>
    <w:rsid w:val="0AB54CC0"/>
    <w:rsid w:val="0B156E0E"/>
    <w:rsid w:val="0B9335CE"/>
    <w:rsid w:val="0BF2311A"/>
    <w:rsid w:val="0C2A5909"/>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63A6CEE"/>
    <w:rsid w:val="173708E3"/>
    <w:rsid w:val="17C374FC"/>
    <w:rsid w:val="182E4AB6"/>
    <w:rsid w:val="189079DC"/>
    <w:rsid w:val="189B0D0B"/>
    <w:rsid w:val="18B43F7C"/>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4B92327"/>
    <w:rsid w:val="24C14514"/>
    <w:rsid w:val="2533755C"/>
    <w:rsid w:val="25791755"/>
    <w:rsid w:val="26396DF4"/>
    <w:rsid w:val="27167136"/>
    <w:rsid w:val="271B442C"/>
    <w:rsid w:val="27B23302"/>
    <w:rsid w:val="29310A5F"/>
    <w:rsid w:val="29C37A35"/>
    <w:rsid w:val="2A076083"/>
    <w:rsid w:val="2A73162E"/>
    <w:rsid w:val="2B167953"/>
    <w:rsid w:val="2B200583"/>
    <w:rsid w:val="2B8209DE"/>
    <w:rsid w:val="2C636760"/>
    <w:rsid w:val="2C6762A3"/>
    <w:rsid w:val="2FCA4B37"/>
    <w:rsid w:val="2FE029D7"/>
    <w:rsid w:val="2FF06E00"/>
    <w:rsid w:val="30586FEC"/>
    <w:rsid w:val="315F0B22"/>
    <w:rsid w:val="31D84415"/>
    <w:rsid w:val="32285F6F"/>
    <w:rsid w:val="3251196A"/>
    <w:rsid w:val="32770556"/>
    <w:rsid w:val="329C0913"/>
    <w:rsid w:val="32AA0460"/>
    <w:rsid w:val="3337290D"/>
    <w:rsid w:val="33E31118"/>
    <w:rsid w:val="33EF7674"/>
    <w:rsid w:val="342D7BC6"/>
    <w:rsid w:val="35243365"/>
    <w:rsid w:val="352930DB"/>
    <w:rsid w:val="35573069"/>
    <w:rsid w:val="355F6038"/>
    <w:rsid w:val="358C217E"/>
    <w:rsid w:val="36C9128A"/>
    <w:rsid w:val="37841E99"/>
    <w:rsid w:val="37BF1123"/>
    <w:rsid w:val="383C3F15"/>
    <w:rsid w:val="38BE4696"/>
    <w:rsid w:val="3906562C"/>
    <w:rsid w:val="3939115E"/>
    <w:rsid w:val="39B82A39"/>
    <w:rsid w:val="39C42CA8"/>
    <w:rsid w:val="39DC4FD6"/>
    <w:rsid w:val="39F03D7A"/>
    <w:rsid w:val="39F33306"/>
    <w:rsid w:val="3A2C1C67"/>
    <w:rsid w:val="3ADD7F09"/>
    <w:rsid w:val="3B1705E5"/>
    <w:rsid w:val="3B18334B"/>
    <w:rsid w:val="3B36794F"/>
    <w:rsid w:val="3B6F6EE0"/>
    <w:rsid w:val="3C566AD6"/>
    <w:rsid w:val="3C594871"/>
    <w:rsid w:val="3C6A5B02"/>
    <w:rsid w:val="3D2757A1"/>
    <w:rsid w:val="3D3D4FC4"/>
    <w:rsid w:val="3DDF3AB1"/>
    <w:rsid w:val="3E1D0952"/>
    <w:rsid w:val="3E42660A"/>
    <w:rsid w:val="3E7555B1"/>
    <w:rsid w:val="3E787ED9"/>
    <w:rsid w:val="3F032E93"/>
    <w:rsid w:val="3F0527E5"/>
    <w:rsid w:val="3F694D83"/>
    <w:rsid w:val="3F885DCC"/>
    <w:rsid w:val="3FCD675E"/>
    <w:rsid w:val="4004000C"/>
    <w:rsid w:val="40BD5482"/>
    <w:rsid w:val="411B6CE5"/>
    <w:rsid w:val="412070D7"/>
    <w:rsid w:val="41314E40"/>
    <w:rsid w:val="41E0734B"/>
    <w:rsid w:val="420E6F2F"/>
    <w:rsid w:val="42311F2D"/>
    <w:rsid w:val="426C1EA8"/>
    <w:rsid w:val="42736402"/>
    <w:rsid w:val="42E86A87"/>
    <w:rsid w:val="43307B09"/>
    <w:rsid w:val="439A3EB9"/>
    <w:rsid w:val="43BB152F"/>
    <w:rsid w:val="44C37687"/>
    <w:rsid w:val="45CB699A"/>
    <w:rsid w:val="45E2495B"/>
    <w:rsid w:val="465B470D"/>
    <w:rsid w:val="469D6AD4"/>
    <w:rsid w:val="471E6C84"/>
    <w:rsid w:val="4747418F"/>
    <w:rsid w:val="4748792B"/>
    <w:rsid w:val="475D719D"/>
    <w:rsid w:val="47674801"/>
    <w:rsid w:val="48225EF7"/>
    <w:rsid w:val="488F422B"/>
    <w:rsid w:val="48E36915"/>
    <w:rsid w:val="48EB6572"/>
    <w:rsid w:val="495C4A24"/>
    <w:rsid w:val="497135DF"/>
    <w:rsid w:val="4A263DF2"/>
    <w:rsid w:val="4A6F6675"/>
    <w:rsid w:val="4A974551"/>
    <w:rsid w:val="4B135857"/>
    <w:rsid w:val="4B7951CB"/>
    <w:rsid w:val="4B7C315C"/>
    <w:rsid w:val="4DAC4ACA"/>
    <w:rsid w:val="4DBE01D2"/>
    <w:rsid w:val="4F0C6BA3"/>
    <w:rsid w:val="4F186D58"/>
    <w:rsid w:val="50F06B6E"/>
    <w:rsid w:val="51D21804"/>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829E0"/>
    <w:rsid w:val="555A3CBC"/>
    <w:rsid w:val="5582012B"/>
    <w:rsid w:val="558E4E05"/>
    <w:rsid w:val="55BE2E85"/>
    <w:rsid w:val="56530F5D"/>
    <w:rsid w:val="567700D3"/>
    <w:rsid w:val="56FF7E9E"/>
    <w:rsid w:val="578867FC"/>
    <w:rsid w:val="5842572D"/>
    <w:rsid w:val="5A3B59D6"/>
    <w:rsid w:val="5AD134D8"/>
    <w:rsid w:val="5B9A01F8"/>
    <w:rsid w:val="5C263CE4"/>
    <w:rsid w:val="5C5D2777"/>
    <w:rsid w:val="5CF66BF3"/>
    <w:rsid w:val="5D290C69"/>
    <w:rsid w:val="5F2D4A41"/>
    <w:rsid w:val="60C74F6C"/>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EE5541"/>
    <w:rsid w:val="67924660"/>
    <w:rsid w:val="67F112CB"/>
    <w:rsid w:val="68407834"/>
    <w:rsid w:val="6883293E"/>
    <w:rsid w:val="688412AD"/>
    <w:rsid w:val="68EB1B71"/>
    <w:rsid w:val="691A5092"/>
    <w:rsid w:val="6A6C7940"/>
    <w:rsid w:val="6AAD2300"/>
    <w:rsid w:val="6B474EF5"/>
    <w:rsid w:val="6C0A5AC5"/>
    <w:rsid w:val="6C560CAE"/>
    <w:rsid w:val="6C576495"/>
    <w:rsid w:val="6D903FF5"/>
    <w:rsid w:val="6DA955B8"/>
    <w:rsid w:val="6DE346AB"/>
    <w:rsid w:val="6DE5391A"/>
    <w:rsid w:val="6EFD1324"/>
    <w:rsid w:val="6F5A53AC"/>
    <w:rsid w:val="6FAC003D"/>
    <w:rsid w:val="6FE55E12"/>
    <w:rsid w:val="6FFB2E76"/>
    <w:rsid w:val="708F6F7F"/>
    <w:rsid w:val="70D94BD3"/>
    <w:rsid w:val="718E7EE8"/>
    <w:rsid w:val="71C34D91"/>
    <w:rsid w:val="72DB435C"/>
    <w:rsid w:val="72E2613A"/>
    <w:rsid w:val="72F771F4"/>
    <w:rsid w:val="73934AD2"/>
    <w:rsid w:val="750837F0"/>
    <w:rsid w:val="754758CF"/>
    <w:rsid w:val="764F62AB"/>
    <w:rsid w:val="765C45EC"/>
    <w:rsid w:val="768A7619"/>
    <w:rsid w:val="772E1EBA"/>
    <w:rsid w:val="781926BC"/>
    <w:rsid w:val="79275A3D"/>
    <w:rsid w:val="796D60A4"/>
    <w:rsid w:val="79A031D5"/>
    <w:rsid w:val="7A1525F7"/>
    <w:rsid w:val="7B420052"/>
    <w:rsid w:val="7BD06A28"/>
    <w:rsid w:val="7C3A7C0B"/>
    <w:rsid w:val="7C5248E4"/>
    <w:rsid w:val="7C566698"/>
    <w:rsid w:val="7C5866A3"/>
    <w:rsid w:val="7D7406BB"/>
    <w:rsid w:val="7DE94331"/>
    <w:rsid w:val="7EF81E4F"/>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5437</Words>
  <Characters>6372</Characters>
  <Lines>190</Lines>
  <Paragraphs>53</Paragraphs>
  <TotalTime>0</TotalTime>
  <ScaleCrop>false</ScaleCrop>
  <LinksUpToDate>false</LinksUpToDate>
  <CharactersWithSpaces>6574</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2024-07-11T10:00:00Z</dcterms:created>
  <dc:creator>Administrator</dc:creator>
  <cp:lastModifiedBy>周嘉镇收文员</cp:lastModifiedBy>
  <dcterms:modified xsi:type="dcterms:W3CDTF">2025-12-18T15:26:15Z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D487A6FD15414466B523ACACC76CA2E3_13</vt:lpwstr>
  </property>
  <property fmtid="{D5CDD505-2E9C-101B-9397-08002B2CF9AE}" pid="4" name="KSOTemplateDocerSaveRecord">
    <vt:lpwstr>eyJoZGlkIjoiNjM0Zjk5YTc4NjQ1NmYyOGViZjRkNWIzZWJhYTE3YWEiLCJ1c2VySWQiOiIzODk0NTM2OTAifQ==</vt:lpwstr>
  </property>
</Properties>
</file>