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垫江县黄沙镇农业服务中心</w:t>
      </w:r>
    </w:p>
    <w:p>
      <w:pPr>
        <w:pStyle w:val="8"/>
        <w:keepNext w:val="0"/>
        <w:keepLines w:val="0"/>
        <w:pageBreakBefore w:val="0"/>
        <w:widowControl/>
        <w:kinsoku/>
        <w:wordWrap/>
        <w:overflowPunct/>
        <w:topLinePunct w:val="0"/>
        <w:autoSpaceDN/>
        <w:bidi w:val="0"/>
        <w:adjustRightInd/>
        <w:spacing w:before="0" w:beforeAutospacing="0" w:after="0" w:afterAutospacing="0" w:line="594"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一、</w:t>
      </w:r>
      <w:r>
        <w:rPr>
          <w:rStyle w:val="12"/>
          <w:rFonts w:hint="default" w:ascii="Times New Roman" w:hAnsi="Times New Roman" w:eastAsia="黑体" w:cs="Times New Roman"/>
          <w:sz w:val="32"/>
          <w:szCs w:val="32"/>
          <w:shd w:val="clear" w:color="auto" w:fill="FFFFFF"/>
          <w:lang w:eastAsia="zh-CN"/>
        </w:rPr>
        <w:t>单位</w:t>
      </w:r>
      <w:r>
        <w:rPr>
          <w:rStyle w:val="12"/>
          <w:rFonts w:hint="default" w:ascii="Times New Roman" w:hAnsi="Times New Roman" w:eastAsia="黑体" w:cs="Times New Roman"/>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楷体" w:cs="Times New Roman"/>
          <w:sz w:val="32"/>
          <w:szCs w:val="32"/>
          <w:shd w:val="clear" w:color="auto" w:fill="FFFFFF"/>
        </w:rPr>
        <w:t>（一）职能职责</w:t>
      </w:r>
    </w:p>
    <w:p>
      <w:pPr>
        <w:pStyle w:val="8"/>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eastAsia="zh-CN"/>
        </w:rPr>
      </w:pPr>
      <w:r>
        <w:rPr>
          <w:rFonts w:hint="default" w:ascii="Times New Roman" w:hAnsi="Times New Roman" w:eastAsia="方正仿宋_GBK" w:cs="Times New Roman"/>
          <w:color w:val="auto"/>
          <w:sz w:val="32"/>
          <w:szCs w:val="32"/>
          <w:shd w:val="clear" w:color="auto" w:fill="FFFFFF"/>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w:t>
      </w:r>
      <w:r>
        <w:rPr>
          <w:rFonts w:hint="default" w:ascii="Times New Roman" w:hAnsi="Times New Roman" w:eastAsia="方正仿宋_GBK" w:cs="Times New Roman"/>
          <w:color w:val="auto"/>
          <w:sz w:val="32"/>
          <w:szCs w:val="32"/>
          <w:shd w:val="clear" w:color="auto" w:fill="FFFFFF"/>
          <w:lang w:eastAsia="zh-CN"/>
        </w:rPr>
        <w:t>工作。</w:t>
      </w:r>
    </w:p>
    <w:p>
      <w:pPr>
        <w:pStyle w:val="8"/>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3" w:firstLineChars="200"/>
        <w:jc w:val="both"/>
        <w:textAlignment w:val="auto"/>
        <w:rPr>
          <w:rFonts w:hint="default" w:ascii="Times New Roman" w:hAnsi="Times New Roman" w:eastAsia="楷体" w:cs="Times New Roman"/>
          <w:sz w:val="32"/>
          <w:szCs w:val="32"/>
        </w:rPr>
      </w:pPr>
      <w:r>
        <w:rPr>
          <w:rStyle w:val="12"/>
          <w:rFonts w:hint="default" w:ascii="Times New Roman" w:hAnsi="Times New Roman" w:eastAsia="楷体" w:cs="Times New Roman"/>
          <w:sz w:val="32"/>
          <w:szCs w:val="32"/>
          <w:shd w:val="clear" w:color="auto" w:fill="FFFFFF"/>
        </w:rPr>
        <w:t>（二）机构设置</w:t>
      </w:r>
    </w:p>
    <w:p>
      <w:pPr>
        <w:pStyle w:val="8"/>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FF0000"/>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lang w:val="en-US" w:eastAsia="zh-CN"/>
        </w:rPr>
        <w:t xml:space="preserve">  </w:t>
      </w:r>
      <w:r>
        <w:rPr>
          <w:rFonts w:hint="default" w:ascii="Times New Roman" w:hAnsi="Times New Roman" w:eastAsia="方正仿宋_GBK" w:cs="Times New Roman"/>
          <w:color w:val="auto"/>
          <w:sz w:val="32"/>
          <w:szCs w:val="32"/>
          <w:shd w:val="clear" w:color="auto" w:fill="FFFFFF"/>
        </w:rPr>
        <w:t>垫江县黄沙镇农业服务中心，隶属县黄沙镇政府管理的相当于行政股级的公益一类财政全额拨款事业单位，不能设置内设机构。</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黑体" w:cs="Times New Roman"/>
          <w:sz w:val="32"/>
          <w:szCs w:val="32"/>
          <w:shd w:val="clear" w:color="auto" w:fill="FFFFFF"/>
        </w:rPr>
        <w:t>二、</w:t>
      </w:r>
      <w:r>
        <w:rPr>
          <w:rStyle w:val="12"/>
          <w:rFonts w:hint="default" w:ascii="Times New Roman" w:hAnsi="Times New Roman" w:eastAsia="黑体" w:cs="Times New Roman"/>
          <w:sz w:val="32"/>
          <w:szCs w:val="32"/>
          <w:shd w:val="clear" w:color="auto" w:fill="FFFFFF"/>
          <w:lang w:eastAsia="zh-CN"/>
        </w:rPr>
        <w:t>单位</w:t>
      </w:r>
      <w:r>
        <w:rPr>
          <w:rStyle w:val="12"/>
          <w:rFonts w:hint="default" w:ascii="Times New Roman" w:hAnsi="Times New Roman" w:eastAsia="黑体" w:cs="Times New Roman"/>
          <w:sz w:val="32"/>
          <w:szCs w:val="32"/>
          <w:shd w:val="clear" w:color="auto" w:fill="FFFFFF"/>
        </w:rPr>
        <w:t>决算</w:t>
      </w:r>
      <w:r>
        <w:rPr>
          <w:rStyle w:val="12"/>
          <w:rFonts w:hint="default" w:ascii="Times New Roman" w:hAnsi="Times New Roman" w:eastAsia="黑体" w:cs="Times New Roman"/>
          <w:sz w:val="32"/>
          <w:szCs w:val="32"/>
          <w:shd w:val="clear" w:color="auto" w:fill="FFFFFF"/>
          <w:lang w:eastAsia="zh-CN"/>
        </w:rPr>
        <w:t>收支</w:t>
      </w:r>
      <w:r>
        <w:rPr>
          <w:rStyle w:val="12"/>
          <w:rFonts w:hint="default" w:ascii="Times New Roman" w:hAnsi="Times New Roman" w:eastAsia="黑体" w:cs="Times New Roman"/>
          <w:sz w:val="32"/>
          <w:szCs w:val="32"/>
          <w:shd w:val="clear" w:color="auto" w:fill="FFFFFF"/>
        </w:rPr>
        <w:t>情况说明</w:t>
      </w:r>
    </w:p>
    <w:p>
      <w:pPr>
        <w:pStyle w:val="13"/>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（一）收入支出决算总体情况说明。</w:t>
      </w:r>
    </w:p>
    <w:p>
      <w:pPr>
        <w:pStyle w:val="8"/>
        <w:keepNext w:val="0"/>
        <w:keepLines w:val="0"/>
        <w:pageBreakBefore w:val="0"/>
        <w:widowControl/>
        <w:shd w:val="clear" w:color="auto" w:fill="FFFFFF"/>
        <w:kinsoku/>
        <w:wordWrap/>
        <w:overflowPunct/>
        <w:topLinePunct w:val="0"/>
        <w:autoSpaceDN/>
        <w:bidi w:val="0"/>
        <w:adjustRightInd/>
        <w:snapToGrid/>
        <w:spacing w:beforeAutospacing="0" w:afterAutospacing="0" w:line="594" w:lineRule="exact"/>
        <w:ind w:firstLine="643" w:firstLineChars="200"/>
        <w:jc w:val="both"/>
        <w:textAlignment w:val="auto"/>
        <w:rPr>
          <w:rFonts w:hint="default" w:ascii="Times New Roman" w:hAnsi="Times New Roman" w:eastAsia="方正仿宋_GBK" w:cs="Times New Roman"/>
          <w:color w:val="auto"/>
          <w:sz w:val="32"/>
          <w:szCs w:val="32"/>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度收入总计293.51万元，支出总计</w:t>
      </w:r>
      <w:r>
        <w:rPr>
          <w:rFonts w:hint="default" w:ascii="Times New Roman" w:hAnsi="Times New Roman" w:eastAsia="方正仿宋_GBK" w:cs="Times New Roman"/>
          <w:sz w:val="32"/>
          <w:szCs w:val="32"/>
        </w:rPr>
        <w:t>293.51</w:t>
      </w:r>
      <w:r>
        <w:rPr>
          <w:rFonts w:hint="default" w:ascii="Times New Roman" w:hAnsi="Times New Roman" w:eastAsia="方正仿宋_GBK" w:cs="Times New Roman"/>
          <w:sz w:val="32"/>
          <w:szCs w:val="32"/>
          <w:shd w:val="clear" w:color="auto" w:fill="FFFFFF"/>
        </w:rPr>
        <w:t>万元。收、支与2023年度相比，减少35.94万元，下降10.9</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rPr>
        <w:t>是2024年因人员退休未调入新进事业人员导致预算减少。</w:t>
      </w:r>
    </w:p>
    <w:p>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度收入合计293.51万元，与2023年度相比，减少35.94万元，下降10.9</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rPr>
        <w:t>是2024年因人员退休未调入新进事业人员导致预算减少。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293.51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293.51</w:t>
      </w:r>
      <w:r>
        <w:rPr>
          <w:rFonts w:hint="default" w:ascii="Times New Roman" w:hAnsi="Times New Roman" w:eastAsia="方正仿宋_GBK" w:cs="Times New Roman"/>
          <w:sz w:val="32"/>
          <w:szCs w:val="32"/>
          <w:shd w:val="clear" w:color="auto" w:fill="FFFFFF"/>
        </w:rPr>
        <w:t>万元，与2023年度相比，减少35.94万元，下降10.9</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%，主要原因</w:t>
      </w:r>
      <w:r>
        <w:rPr>
          <w:rFonts w:hint="default" w:ascii="Times New Roman" w:hAnsi="Times New Roman" w:eastAsia="方正仿宋_GBK" w:cs="Times New Roman"/>
          <w:color w:val="auto"/>
          <w:sz w:val="32"/>
          <w:szCs w:val="32"/>
          <w:shd w:val="clear" w:color="auto" w:fill="FFFFFF"/>
        </w:rPr>
        <w:t>是2024年因人员退休未调入新进事业人员导致</w:t>
      </w:r>
      <w:r>
        <w:rPr>
          <w:rFonts w:hint="default"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rPr>
        <w:t>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293.51</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本年度未产生结转结余。</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（二）财政拨款收入支出决算总体情况说明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度财政拨款收、支总计293.51万元。与202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年相比，财政拨款收、支总计各减少35.94万元，下降10.9</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本年度</w:t>
      </w:r>
      <w:r>
        <w:rPr>
          <w:rFonts w:hint="default" w:ascii="Times New Roman" w:hAnsi="Times New Roman" w:eastAsia="方正仿宋_GBK" w:cs="Times New Roman"/>
          <w:color w:val="auto"/>
          <w:sz w:val="32"/>
          <w:szCs w:val="32"/>
          <w:shd w:val="clear" w:color="auto" w:fill="FFFFFF"/>
        </w:rPr>
        <w:t>因人员退休未调入新进事业人员导致</w:t>
      </w:r>
      <w:r>
        <w:rPr>
          <w:rFonts w:hint="default" w:ascii="Times New Roman" w:hAnsi="Times New Roman" w:eastAsia="方正仿宋_GBK" w:cs="Times New Roman"/>
          <w:color w:val="auto"/>
          <w:sz w:val="32"/>
          <w:szCs w:val="32"/>
          <w:shd w:val="clear" w:color="auto" w:fill="FFFFFF"/>
          <w:lang w:eastAsia="zh-CN"/>
        </w:rPr>
        <w:t>收支</w:t>
      </w:r>
      <w:r>
        <w:rPr>
          <w:rFonts w:hint="default" w:ascii="Times New Roman" w:hAnsi="Times New Roman" w:eastAsia="方正仿宋_GBK" w:cs="Times New Roman"/>
          <w:color w:val="auto"/>
          <w:sz w:val="32"/>
          <w:szCs w:val="32"/>
          <w:shd w:val="clear" w:color="auto" w:fill="FFFFFF"/>
        </w:rPr>
        <w:t>减少。</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（三）一般公共预算财政拨款收入支出决算情况说明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293.51</w:t>
      </w:r>
      <w:r>
        <w:rPr>
          <w:rFonts w:hint="default" w:ascii="Times New Roman" w:hAnsi="Times New Roman" w:eastAsia="方正仿宋_GBK" w:cs="Times New Roman"/>
          <w:sz w:val="32"/>
          <w:szCs w:val="32"/>
          <w:shd w:val="clear" w:color="auto" w:fill="FFFFFF"/>
        </w:rPr>
        <w:t>万元，与2023年度相比，减少35.94万元，下降10.9</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本年度</w:t>
      </w:r>
      <w:r>
        <w:rPr>
          <w:rFonts w:hint="default" w:ascii="Times New Roman" w:hAnsi="Times New Roman" w:eastAsia="方正仿宋_GBK" w:cs="Times New Roman"/>
          <w:color w:val="auto"/>
          <w:sz w:val="32"/>
          <w:szCs w:val="32"/>
          <w:shd w:val="clear" w:color="auto" w:fill="FFFFFF"/>
        </w:rPr>
        <w:t>因人员退休未调入新进事业人员导致</w:t>
      </w:r>
      <w:r>
        <w:rPr>
          <w:rFonts w:hint="default" w:ascii="Times New Roman" w:hAnsi="Times New Roman" w:eastAsia="方正仿宋_GBK" w:cs="Times New Roman"/>
          <w:color w:val="auto"/>
          <w:sz w:val="32"/>
          <w:szCs w:val="32"/>
          <w:shd w:val="clear" w:color="auto" w:fill="FFFFFF"/>
          <w:lang w:eastAsia="zh-CN"/>
        </w:rPr>
        <w:t>预算</w:t>
      </w:r>
      <w:r>
        <w:rPr>
          <w:rFonts w:hint="default" w:ascii="Times New Roman" w:hAnsi="Times New Roman" w:eastAsia="方正仿宋_GBK" w:cs="Times New Roman"/>
          <w:color w:val="auto"/>
          <w:sz w:val="32"/>
          <w:szCs w:val="32"/>
          <w:shd w:val="clear" w:color="auto" w:fill="FFFFFF"/>
        </w:rPr>
        <w:t>减少。</w:t>
      </w:r>
      <w:r>
        <w:rPr>
          <w:rFonts w:hint="default" w:ascii="Times New Roman" w:hAnsi="Times New Roman" w:eastAsia="方正仿宋_GBK" w:cs="Times New Roman"/>
          <w:sz w:val="32"/>
          <w:szCs w:val="32"/>
          <w:shd w:val="clear" w:color="auto" w:fill="FFFFFF"/>
        </w:rPr>
        <w:t>较年初预算数增加24.23万元，增长9.0</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主要原因是人员调标增加。</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293.51</w:t>
      </w:r>
      <w:r>
        <w:rPr>
          <w:rFonts w:hint="default" w:ascii="Times New Roman" w:hAnsi="Times New Roman" w:eastAsia="方正仿宋_GBK" w:cs="Times New Roman"/>
          <w:sz w:val="32"/>
          <w:szCs w:val="32"/>
          <w:shd w:val="clear" w:color="auto" w:fill="FFFFFF"/>
        </w:rPr>
        <w:t>万元，与2023年度相比，减少35.94万元，下降10.9</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本年度</w:t>
      </w:r>
      <w:r>
        <w:rPr>
          <w:rFonts w:hint="default" w:ascii="Times New Roman" w:hAnsi="Times New Roman" w:eastAsia="方正仿宋_GBK" w:cs="Times New Roman"/>
          <w:color w:val="auto"/>
          <w:sz w:val="32"/>
          <w:szCs w:val="32"/>
          <w:shd w:val="clear" w:color="auto" w:fill="FFFFFF"/>
        </w:rPr>
        <w:t>因人员退休未调入新进事业人员导致</w:t>
      </w:r>
      <w:r>
        <w:rPr>
          <w:rFonts w:hint="default" w:ascii="Times New Roman" w:hAnsi="Times New Roman" w:eastAsia="方正仿宋_GBK" w:cs="Times New Roman"/>
          <w:color w:val="auto"/>
          <w:sz w:val="32"/>
          <w:szCs w:val="32"/>
          <w:shd w:val="clear" w:color="auto" w:fill="FFFFFF"/>
          <w:lang w:eastAsia="zh-CN"/>
        </w:rPr>
        <w:t>支出</w:t>
      </w:r>
      <w:r>
        <w:rPr>
          <w:rFonts w:hint="default" w:ascii="Times New Roman" w:hAnsi="Times New Roman" w:eastAsia="方正仿宋_GBK" w:cs="Times New Roman"/>
          <w:color w:val="auto"/>
          <w:sz w:val="32"/>
          <w:szCs w:val="32"/>
          <w:shd w:val="clear" w:color="auto" w:fill="FFFFFF"/>
        </w:rPr>
        <w:t>减少。</w:t>
      </w:r>
      <w:r>
        <w:rPr>
          <w:rFonts w:hint="default" w:ascii="Times New Roman" w:hAnsi="Times New Roman" w:eastAsia="方正仿宋_GBK" w:cs="Times New Roman"/>
          <w:sz w:val="32"/>
          <w:szCs w:val="32"/>
          <w:shd w:val="clear" w:color="auto" w:fill="FFFFFF"/>
        </w:rPr>
        <w:t>较年初预算数增加24.23万元，增长9.0</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主要原因是人员</w:t>
      </w:r>
      <w:r>
        <w:rPr>
          <w:rFonts w:hint="default" w:ascii="Times New Roman" w:hAnsi="Times New Roman" w:eastAsia="方正仿宋_GBK" w:cs="Times New Roman"/>
          <w:color w:val="auto"/>
          <w:sz w:val="32"/>
          <w:szCs w:val="32"/>
          <w:shd w:val="clear" w:color="auto" w:fill="FFFFFF"/>
          <w:lang w:eastAsia="zh-CN"/>
        </w:rPr>
        <w:t>工资</w:t>
      </w:r>
      <w:r>
        <w:rPr>
          <w:rFonts w:hint="default" w:ascii="Times New Roman" w:hAnsi="Times New Roman" w:eastAsia="方正仿宋_GBK" w:cs="Times New Roman"/>
          <w:color w:val="auto"/>
          <w:sz w:val="32"/>
          <w:szCs w:val="32"/>
          <w:shd w:val="clear" w:color="auto" w:fill="FFFFFF"/>
        </w:rPr>
        <w:t>调标增加。</w:t>
      </w:r>
    </w:p>
    <w:p>
      <w:pPr>
        <w:pStyle w:val="8"/>
        <w:keepNext w:val="0"/>
        <w:keepLines w:val="0"/>
        <w:pageBreakBefore w:val="0"/>
        <w:widowControl/>
        <w:shd w:val="clear" w:color="auto" w:fill="FFFFFF"/>
        <w:kinsoku/>
        <w:wordWrap/>
        <w:overflowPunct/>
        <w:topLinePunct w:val="0"/>
        <w:autoSpaceDN/>
        <w:bidi w:val="0"/>
        <w:spacing w:beforeAutospacing="0" w:afterAutospacing="0" w:line="594"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val="en-US" w:eastAsia="zh-CN"/>
        </w:rPr>
        <w:t>本年度未产生结转结余。</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2"/>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pPr>
        <w:pStyle w:val="8"/>
        <w:keepNext w:val="0"/>
        <w:keepLines w:val="0"/>
        <w:pageBreakBefore w:val="0"/>
        <w:widowControl/>
        <w:numPr>
          <w:ilvl w:val="0"/>
          <w:numId w:val="1"/>
        </w:numP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77.99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26.57</w:t>
      </w:r>
      <w:r>
        <w:rPr>
          <w:rFonts w:hint="default" w:ascii="Times New Roman" w:hAnsi="Times New Roman" w:eastAsia="方正仿宋_GBK" w:cs="Times New Roman"/>
          <w:sz w:val="32"/>
          <w:szCs w:val="32"/>
          <w:shd w:val="clear" w:color="auto" w:fill="FFFFFF"/>
        </w:rPr>
        <w:t>%，较年初预算数增加37.77万元，增长93.9</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主要原因是2024年五险二金基数高,同时补交2022至2023年调高部分。</w:t>
      </w:r>
    </w:p>
    <w:p>
      <w:pPr>
        <w:pStyle w:val="8"/>
        <w:keepNext w:val="0"/>
        <w:keepLines w:val="0"/>
        <w:pageBreakBefore w:val="0"/>
        <w:widowControl/>
        <w:numPr>
          <w:ilvl w:val="0"/>
          <w:numId w:val="1"/>
        </w:numP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14.28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4.87</w:t>
      </w:r>
      <w:r>
        <w:rPr>
          <w:rFonts w:hint="default" w:ascii="Times New Roman" w:hAnsi="Times New Roman" w:eastAsia="方正仿宋_GBK" w:cs="Times New Roman"/>
          <w:sz w:val="32"/>
          <w:szCs w:val="32"/>
          <w:shd w:val="clear" w:color="auto" w:fill="FFFFFF"/>
        </w:rPr>
        <w:t>%，较年初预算数增加3.48万元，增长32.2</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%，主要原</w:t>
      </w:r>
      <w:r>
        <w:rPr>
          <w:rFonts w:hint="default" w:ascii="Times New Roman" w:hAnsi="Times New Roman" w:eastAsia="方正仿宋_GBK" w:cs="Times New Roman"/>
          <w:color w:val="auto"/>
          <w:sz w:val="32"/>
          <w:szCs w:val="32"/>
          <w:shd w:val="clear" w:color="auto" w:fill="FFFFFF"/>
        </w:rPr>
        <w:t>因是</w:t>
      </w:r>
      <w:r>
        <w:rPr>
          <w:rFonts w:hint="default" w:ascii="Times New Roman" w:hAnsi="Times New Roman" w:eastAsia="方正仿宋_GBK" w:cs="Times New Roman"/>
          <w:color w:val="auto"/>
          <w:sz w:val="32"/>
          <w:szCs w:val="32"/>
          <w:shd w:val="clear" w:color="auto" w:fill="FFFFFF"/>
          <w:lang w:eastAsia="zh-CN"/>
        </w:rPr>
        <w:t>基本医疗保险基数调标。</w:t>
      </w:r>
    </w:p>
    <w:p>
      <w:pPr>
        <w:pStyle w:val="8"/>
        <w:keepNext w:val="0"/>
        <w:keepLines w:val="0"/>
        <w:pageBreakBefore w:val="0"/>
        <w:widowControl/>
        <w:numPr>
          <w:ilvl w:val="0"/>
          <w:numId w:val="1"/>
        </w:numP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184.51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62.86</w:t>
      </w:r>
      <w:r>
        <w:rPr>
          <w:rFonts w:hint="default" w:ascii="Times New Roman" w:hAnsi="Times New Roman" w:eastAsia="方正仿宋_GBK" w:cs="Times New Roman"/>
          <w:sz w:val="32"/>
          <w:szCs w:val="32"/>
          <w:shd w:val="clear" w:color="auto" w:fill="FFFFFF"/>
        </w:rPr>
        <w:t>%，较年初预算数减少20.79万元，下降10.1</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本年度农业农村项目减少</w:t>
      </w:r>
      <w:r>
        <w:rPr>
          <w:rFonts w:hint="default" w:ascii="Times New Roman" w:hAnsi="Times New Roman" w:eastAsia="方正仿宋_GBK" w:cs="Times New Roman"/>
          <w:sz w:val="32"/>
          <w:szCs w:val="32"/>
          <w:shd w:val="clear" w:color="auto" w:fill="FFFFFF"/>
        </w:rPr>
        <w:t>。</w:t>
      </w:r>
    </w:p>
    <w:p>
      <w:pPr>
        <w:pStyle w:val="8"/>
        <w:keepNext w:val="0"/>
        <w:keepLines w:val="0"/>
        <w:pageBreakBefore w:val="0"/>
        <w:widowControl/>
        <w:numPr>
          <w:ilvl w:val="0"/>
          <w:numId w:val="1"/>
        </w:numPr>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rPr>
        <w:t>住房保障支出16.73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5.70</w:t>
      </w:r>
      <w:r>
        <w:rPr>
          <w:rFonts w:hint="default" w:ascii="Times New Roman" w:hAnsi="Times New Roman" w:eastAsia="方正仿宋_GBK" w:cs="Times New Roman"/>
          <w:sz w:val="32"/>
          <w:szCs w:val="32"/>
          <w:shd w:val="clear" w:color="auto" w:fill="FFFFFF"/>
        </w:rPr>
        <w:t>%，较年初预算数增加3.77万元，增长29.1</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主要原因是人员调标增加。</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（四）一般公共预算财政拨款基本支出决算情况说明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w:t>
      </w:r>
      <w:r>
        <w:rPr>
          <w:rFonts w:hint="eastAsia" w:ascii="Times New Roman" w:hAnsi="Times New Roman" w:eastAsia="方正仿宋_GBK" w:cs="Times New Roman"/>
          <w:sz w:val="32"/>
          <w:szCs w:val="32"/>
          <w:shd w:val="clear" w:color="auto" w:fill="FFFFFF"/>
          <w:lang w:eastAsia="zh-CN"/>
        </w:rPr>
        <w:t>预算</w:t>
      </w:r>
      <w:r>
        <w:rPr>
          <w:rFonts w:hint="default" w:ascii="Times New Roman" w:hAnsi="Times New Roman" w:eastAsia="方正仿宋_GBK" w:cs="Times New Roman"/>
          <w:sz w:val="32"/>
          <w:szCs w:val="32"/>
          <w:shd w:val="clear" w:color="auto" w:fill="FFFFFF"/>
        </w:rPr>
        <w:t>财政拨款基本支出</w:t>
      </w:r>
      <w:r>
        <w:rPr>
          <w:rFonts w:hint="default" w:ascii="Times New Roman" w:hAnsi="Times New Roman" w:eastAsia="方正仿宋_GBK" w:cs="Times New Roman"/>
          <w:sz w:val="32"/>
          <w:szCs w:val="32"/>
        </w:rPr>
        <w:t>293.51</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282.57</w:t>
      </w:r>
      <w:r>
        <w:rPr>
          <w:rFonts w:hint="default" w:ascii="Times New Roman" w:hAnsi="Times New Roman" w:eastAsia="方正仿宋_GBK" w:cs="Times New Roman"/>
          <w:sz w:val="32"/>
          <w:szCs w:val="32"/>
          <w:shd w:val="clear" w:color="auto" w:fill="FFFFFF"/>
        </w:rPr>
        <w:t>万元，与2023年度相比，减少26.90万元，下降8.7</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主要原因是本年度人员退休</w:t>
      </w:r>
      <w:r>
        <w:rPr>
          <w:rFonts w:hint="default" w:ascii="Times New Roman" w:hAnsi="Times New Roman" w:eastAsia="方正仿宋_GBK" w:cs="Times New Roman"/>
          <w:color w:val="auto"/>
          <w:sz w:val="32"/>
          <w:szCs w:val="32"/>
          <w:shd w:val="clear" w:color="auto" w:fill="FFFFFF"/>
          <w:lang w:eastAsia="zh-CN"/>
        </w:rPr>
        <w:t>增加且</w:t>
      </w:r>
      <w:r>
        <w:rPr>
          <w:rFonts w:hint="default" w:ascii="Times New Roman" w:hAnsi="Times New Roman" w:eastAsia="方正仿宋_GBK" w:cs="Times New Roman"/>
          <w:color w:val="auto"/>
          <w:sz w:val="32"/>
          <w:szCs w:val="32"/>
          <w:shd w:val="clear" w:color="auto" w:fill="FFFFFF"/>
        </w:rPr>
        <w:t>未调入新进事业人员导致支出减少。</w:t>
      </w:r>
      <w:r>
        <w:rPr>
          <w:rFonts w:hint="default" w:ascii="Times New Roman" w:hAnsi="Times New Roman" w:eastAsia="方正仿宋_GBK" w:cs="Times New Roman"/>
          <w:sz w:val="32"/>
          <w:szCs w:val="32"/>
          <w:shd w:val="clear" w:color="auto" w:fill="FFFFFF"/>
        </w:rPr>
        <w:t>人员经费用途主要</w:t>
      </w:r>
      <w:r>
        <w:rPr>
          <w:rFonts w:hint="default" w:ascii="Times New Roman" w:hAnsi="Times New Roman" w:eastAsia="方正仿宋_GBK" w:cs="Times New Roman"/>
          <w:color w:val="auto"/>
          <w:sz w:val="32"/>
          <w:szCs w:val="32"/>
          <w:shd w:val="clear" w:color="auto" w:fill="FFFFFF"/>
        </w:rPr>
        <w:t>包括基本工资、津贴补贴、绩效工资、机关事业单位基本养老保险缴费、职业年金缴费、职工基本医疗保险缴费、其他社会保障缴费、住房公积金、医疗费、其他工资福利支出、生活补助、医疗费补助。公用经费</w:t>
      </w:r>
      <w:r>
        <w:rPr>
          <w:rFonts w:hint="default" w:ascii="Times New Roman" w:hAnsi="Times New Roman" w:eastAsia="方正仿宋_GBK" w:cs="Times New Roman"/>
          <w:color w:val="auto"/>
          <w:sz w:val="32"/>
          <w:szCs w:val="32"/>
        </w:rPr>
        <w:t>10.95</w:t>
      </w:r>
      <w:r>
        <w:rPr>
          <w:rFonts w:hint="default" w:ascii="Times New Roman" w:hAnsi="Times New Roman" w:eastAsia="方正仿宋_GBK" w:cs="Times New Roman"/>
          <w:color w:val="auto"/>
          <w:sz w:val="32"/>
          <w:szCs w:val="32"/>
          <w:shd w:val="clear" w:color="auto" w:fill="FFFFFF"/>
        </w:rPr>
        <w:t>万元，与2023年度相比，减少5.7</w:t>
      </w:r>
      <w:r>
        <w:rPr>
          <w:rFonts w:hint="default" w:ascii="Times New Roman" w:hAnsi="Times New Roman" w:eastAsia="方正仿宋_GBK" w:cs="Times New Roman"/>
          <w:sz w:val="32"/>
          <w:szCs w:val="32"/>
          <w:shd w:val="clear" w:color="auto" w:fill="FFFFFF"/>
        </w:rPr>
        <w:t>3万元，下降34.4</w:t>
      </w:r>
      <w:r>
        <w:rPr>
          <w:rFonts w:hint="default" w:ascii="Times New Roman" w:hAnsi="Times New Roman" w:eastAsia="方正仿宋_GBK" w:cs="Times New Roman"/>
          <w:sz w:val="32"/>
          <w:szCs w:val="32"/>
          <w:shd w:val="clear" w:color="auto" w:fill="FFFFFF"/>
          <w:lang w:val="en-US" w:eastAsia="zh-CN"/>
        </w:rPr>
        <w:t>0</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rPr>
        <w:t>主要原因是本年度人员退休增加且未调入新进事业人员导致支出减少。</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color w:val="auto"/>
          <w:sz w:val="32"/>
          <w:szCs w:val="32"/>
          <w:shd w:val="clear" w:color="auto" w:fill="FFFFFF"/>
        </w:rPr>
        <w:t>办公费、差旅费、委托业务费、工会经费、福利费。</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（五）政府性基金预算收支决算情况说明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本年度无政府性基金预算财政拨款收入。</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color w:val="000000" w:themeColor="text1"/>
          <w:sz w:val="32"/>
          <w:szCs w:val="32"/>
          <w:shd w:val="clear" w:color="auto" w:fill="FFFFFF"/>
        </w:rPr>
        <w:t>本年度无政府性基金预算财政拨款支出。本单位2024年度无政府性基金预算财政拨款收支。</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（六）国有资本经营预算财政拨款支出决算情况说明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万元。本单位2024年度无国有资本经营预算财政拨款支出。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三、</w:t>
      </w:r>
      <w:r>
        <w:rPr>
          <w:rStyle w:val="12"/>
          <w:rFonts w:hint="default" w:ascii="Times New Roman" w:hAnsi="Times New Roman" w:eastAsia="黑体" w:cs="Times New Roman"/>
          <w:sz w:val="32"/>
          <w:szCs w:val="32"/>
          <w:shd w:val="clear" w:color="auto" w:fill="FFFFFF"/>
          <w:lang w:eastAsia="zh-CN"/>
        </w:rPr>
        <w:t>财政拨款</w:t>
      </w:r>
      <w:r>
        <w:rPr>
          <w:rStyle w:val="12"/>
          <w:rFonts w:hint="default" w:ascii="Times New Roman" w:hAnsi="Times New Roman" w:eastAsia="黑体" w:cs="Times New Roman"/>
          <w:sz w:val="32"/>
          <w:szCs w:val="32"/>
          <w:shd w:val="clear" w:color="auto" w:fill="FFFFFF"/>
        </w:rPr>
        <w:t>“三公”经费情况说明</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（一）“三公”经费支出总体情况说明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2024年度“三公”经费支出共计0.00万元，较年初预算数无增减，主要原因是我单位2024年未发生“三公”经费支出。较上年支出数无增减，主要原因是我单位本年及上年均未发生“三公”经费支出。</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（二）“三公”经费分项支出情况</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2024年度本单位因公出国（境）费用0.00万元。费用支出较年初预算数无增减，主要原因是年初预算未安排因公出国（境）费用，也未发生因公出国（境）费用。较上年支出数无增减，主要原因是上年和本年均未发生因公出国（境）费用。</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 xml:space="preserve"> 公务车购置费0.00万元。费用支出较年初预算数无增减，主要原因是年初预算未安排且本年未发生公务车购置费用。较上年支出数无增减，主要原因是上年和本年均未发生公务车购置费用。</w:t>
      </w:r>
    </w:p>
    <w:p>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 xml:space="preserve"> 公务</w:t>
      </w:r>
      <w:r>
        <w:rPr>
          <w:rFonts w:hint="eastAsia" w:ascii="Times New Roman" w:hAnsi="Times New Roman" w:eastAsia="方正仿宋_GBK" w:cs="Times New Roman"/>
          <w:kern w:val="0"/>
          <w:sz w:val="32"/>
          <w:szCs w:val="32"/>
          <w:shd w:val="clear" w:color="auto" w:fill="FFFFFF"/>
          <w:lang w:eastAsia="zh-CN"/>
        </w:rPr>
        <w:t>用</w:t>
      </w:r>
      <w:r>
        <w:rPr>
          <w:rFonts w:hint="default" w:ascii="Times New Roman" w:hAnsi="Times New Roman" w:eastAsia="方正仿宋_GBK" w:cs="Times New Roman"/>
          <w:kern w:val="0"/>
          <w:sz w:val="32"/>
          <w:szCs w:val="32"/>
          <w:shd w:val="clear" w:color="auto" w:fill="FFFFFF"/>
        </w:rPr>
        <w:t>车运行维护费0.00万元。费用支出较年初预算数无增减，主要原因是年初预算未安排且本年未发生公务车运行维护费用。较上年支出数无增减，主要原因是上年和本年均未发生公务车运行维护费用。</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万元。费用支出较年初预算数无增减，</w:t>
      </w:r>
      <w:r>
        <w:rPr>
          <w:rFonts w:hint="default" w:ascii="Times New Roman" w:hAnsi="Times New Roman" w:eastAsia="方正仿宋_GBK" w:cs="Times New Roman"/>
          <w:sz w:val="32"/>
          <w:szCs w:val="32"/>
        </w:rPr>
        <w:t>主要原因是年初预算未安排且本年未发生公务接待费用</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sz w:val="32"/>
          <w:szCs w:val="32"/>
        </w:rPr>
        <w:t>主要原因是上年和本年均未发生公务接待费用。</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（三）“三公”经费实物量情况</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本单位人均接待费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shd w:val="clear" w:color="auto" w:fill="FFFFFF"/>
        </w:rPr>
      </w:pPr>
      <w:r>
        <w:rPr>
          <w:rStyle w:val="12"/>
          <w:rFonts w:hint="default" w:ascii="Times New Roman" w:hAnsi="Times New Roman" w:eastAsia="黑体" w:cs="Times New Roman"/>
          <w:sz w:val="32"/>
          <w:szCs w:val="32"/>
          <w:shd w:val="clear" w:color="auto" w:fill="FFFFFF"/>
        </w:rPr>
        <w:t>四、其他需要说明的事项</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（一）财政拨款会议费和培训费情况说明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本年度会议费支出0.00万元，较上年决算数无增减，主要原因是严格控制会议召开。本年度培训费支出0.00万元，较上年决算数无变化，主要原因是本年度未发生培训费。</w:t>
      </w:r>
    </w:p>
    <w:p>
      <w:pPr>
        <w:pStyle w:val="13"/>
        <w:keepNext w:val="0"/>
        <w:keepLines w:val="0"/>
        <w:pageBreakBefore w:val="0"/>
        <w:widowControl/>
        <w:numPr>
          <w:ilvl w:val="0"/>
          <w:numId w:val="2"/>
        </w:numPr>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机关运行经费情况说明</w:t>
      </w:r>
    </w:p>
    <w:p>
      <w:pPr>
        <w:pStyle w:val="13"/>
        <w:keepNext w:val="0"/>
        <w:keepLines w:val="0"/>
        <w:pageBreakBefore w:val="0"/>
        <w:widowControl/>
        <w:numPr>
          <w:ilvl w:val="0"/>
          <w:numId w:val="0"/>
        </w:numPr>
        <w:kinsoku/>
        <w:wordWrap/>
        <w:overflowPunct/>
        <w:topLinePunct w:val="0"/>
        <w:autoSpaceDE w:val="0"/>
        <w:autoSpaceDN/>
        <w:bidi w:val="0"/>
        <w:spacing w:beforeAutospacing="0" w:afterAutospacing="0" w:line="594" w:lineRule="exact"/>
        <w:ind w:firstLine="640" w:firstLineChars="200"/>
        <w:jc w:val="both"/>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FF0000"/>
          <w:sz w:val="32"/>
          <w:szCs w:val="32"/>
          <w:lang w:val="en-US" w:eastAsia="zh-CN"/>
        </w:rPr>
        <w:t xml:space="preserve">  </w:t>
      </w: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sz w:val="32"/>
          <w:szCs w:val="32"/>
          <w:shd w:val="clear" w:color="auto" w:fill="FFFFFF"/>
        </w:rPr>
        <w:t>2024年度本单位机关运行经费支出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万元，机关运行经费较上年支出数无增减，</w:t>
      </w:r>
      <w:r>
        <w:rPr>
          <w:rFonts w:hint="default" w:ascii="Times New Roman" w:hAnsi="Times New Roman" w:eastAsia="方正仿宋_GBK" w:cs="Times New Roman"/>
          <w:bCs/>
          <w:sz w:val="32"/>
          <w:szCs w:val="32"/>
        </w:rPr>
        <w:t>主要原因是按照部门决算列报口径，我单位不在机关运行经费统计范围之内。</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（三）国有资产占用情况说明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12月31日，本单位共有车辆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3" w:firstLineChars="200"/>
        <w:jc w:val="both"/>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（四）政府采购支出情况说明</w:t>
      </w:r>
    </w:p>
    <w:p>
      <w:pPr>
        <w:pStyle w:val="8"/>
        <w:keepNext w:val="0"/>
        <w:keepLines w:val="0"/>
        <w:pageBreakBefore w:val="0"/>
        <w:widowControl/>
        <w:kinsoku/>
        <w:wordWrap/>
        <w:overflowPunct/>
        <w:topLinePunct w:val="0"/>
        <w:autoSpaceDN/>
        <w:bidi w:val="0"/>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FF0000"/>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rPr>
        <w:t>2024年度本单位政府采购支出总额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0.00万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0%。2024年度我单位未发生政府采购事项，无相关经费支出。</w:t>
      </w:r>
    </w:p>
    <w:p>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643" w:firstLineChars="200"/>
        <w:jc w:val="both"/>
        <w:textAlignment w:val="auto"/>
        <w:rPr>
          <w:rStyle w:val="12"/>
          <w:rFonts w:hint="default" w:ascii="Times New Roman" w:hAnsi="Times New Roman" w:eastAsia="黑体" w:cs="Times New Roman"/>
          <w:sz w:val="32"/>
          <w:szCs w:val="32"/>
          <w:shd w:val="clear" w:color="auto" w:fill="FFFFFF"/>
          <w:lang w:val="en-US" w:eastAsia="zh-CN" w:bidi="ar-SA"/>
        </w:rPr>
      </w:pPr>
      <w:r>
        <w:rPr>
          <w:rStyle w:val="12"/>
          <w:rFonts w:hint="default" w:ascii="Times New Roman" w:hAnsi="Times New Roman" w:eastAsia="黑体" w:cs="Times New Roman"/>
          <w:sz w:val="32"/>
          <w:szCs w:val="32"/>
          <w:shd w:val="clear" w:color="auto" w:fill="FFFFFF"/>
          <w:lang w:val="en-US" w:eastAsia="zh-CN" w:bidi="ar-SA"/>
        </w:rPr>
        <w:t>五、2024年度预算绩效管理情况说明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（一）单位自评情况</w:t>
      </w:r>
    </w:p>
    <w:p>
      <w:pPr>
        <w:pStyle w:val="14"/>
        <w:keepNext w:val="0"/>
        <w:keepLines w:val="0"/>
        <w:pageBreakBefore w:val="0"/>
        <w:widowControl/>
        <w:kinsoku/>
        <w:wordWrap/>
        <w:overflowPunct/>
        <w:topLinePunct w:val="0"/>
        <w:autoSpaceDE w:val="0"/>
        <w:autoSpaceDN/>
        <w:bidi w:val="0"/>
        <w:spacing w:before="0" w:beforeAutospacing="0" w:afterAutospacing="0" w:line="594" w:lineRule="exact"/>
        <w:ind w:firstLine="640" w:firstLineChars="200"/>
        <w:jc w:val="both"/>
        <w:textAlignment w:val="auto"/>
        <w:rPr>
          <w:rFonts w:hint="default" w:ascii="Times New Roman" w:hAnsi="Times New Roman" w:eastAsia="方正仿宋_GBK" w:cs="Times New Roman"/>
          <w:sz w:val="32"/>
          <w:szCs w:val="32"/>
          <w:highlight w:val="yellow"/>
          <w:shd w:val="clear" w:color="auto" w:fill="FFFFFF"/>
          <w:lang w:bidi="ar"/>
        </w:rPr>
      </w:pPr>
      <w:r>
        <w:rPr>
          <w:rFonts w:hint="default" w:ascii="Times New Roman" w:hAnsi="Times New Roman" w:eastAsia="方正仿宋_GBK" w:cs="Times New Roman"/>
          <w:sz w:val="32"/>
          <w:szCs w:val="32"/>
          <w:shd w:val="clear" w:color="auto" w:fill="FFFFFF"/>
          <w:lang w:val="en-US" w:eastAsia="zh-CN" w:bidi="ar"/>
        </w:rPr>
        <w:t xml:space="preserve">    </w:t>
      </w:r>
      <w:r>
        <w:rPr>
          <w:rFonts w:hint="default" w:ascii="Times New Roman" w:hAnsi="Times New Roman" w:eastAsia="方正仿宋_GBK" w:cs="Times New Roman"/>
          <w:sz w:val="32"/>
          <w:szCs w:val="32"/>
          <w:shd w:val="clear" w:color="auto" w:fill="FFFFFF"/>
          <w:lang w:eastAsia="zh-CN" w:bidi="ar"/>
        </w:rPr>
        <w:t>我</w:t>
      </w:r>
      <w:r>
        <w:rPr>
          <w:rFonts w:hint="default" w:ascii="Times New Roman" w:hAnsi="Times New Roman" w:eastAsia="方正仿宋_GBK" w:cs="Times New Roman"/>
          <w:sz w:val="32"/>
          <w:szCs w:val="32"/>
          <w:shd w:val="clear" w:color="auto" w:fill="FFFFFF"/>
          <w:lang w:bidi="ar"/>
        </w:rPr>
        <w:t>单位</w:t>
      </w:r>
      <w:r>
        <w:rPr>
          <w:rFonts w:hint="default" w:ascii="Times New Roman" w:hAnsi="Times New Roman" w:eastAsia="方正仿宋_GBK" w:cs="Times New Roman"/>
          <w:sz w:val="32"/>
          <w:szCs w:val="32"/>
          <w:shd w:val="clear" w:color="auto" w:fill="FFFFFF"/>
          <w:lang w:val="en-US" w:eastAsia="zh-CN" w:bidi="ar"/>
        </w:rPr>
        <w:t>2024年度</w:t>
      </w:r>
      <w:r>
        <w:rPr>
          <w:rFonts w:hint="default" w:ascii="Times New Roman" w:hAnsi="Times New Roman" w:eastAsia="方正仿宋_GBK" w:cs="Times New Roman"/>
          <w:sz w:val="32"/>
          <w:szCs w:val="32"/>
          <w:shd w:val="clear" w:color="auto" w:fill="FFFFFF"/>
          <w:lang w:eastAsia="zh-CN" w:bidi="ar"/>
        </w:rPr>
        <w:t>无财政拨款项目支出。</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楷体" w:cs="Times New Roman"/>
          <w:b/>
          <w:bCs/>
          <w:kern w:val="0"/>
          <w:sz w:val="32"/>
          <w:szCs w:val="32"/>
          <w:shd w:val="clear" w:fill="FFFFFF"/>
        </w:rPr>
      </w:pPr>
      <w:r>
        <w:rPr>
          <w:rFonts w:hint="default" w:ascii="Times New Roman" w:hAnsi="Times New Roman" w:eastAsia="楷体" w:cs="Times New Roman"/>
          <w:b/>
          <w:bCs/>
          <w:kern w:val="0"/>
          <w:sz w:val="32"/>
          <w:szCs w:val="32"/>
          <w:shd w:val="clear" w:fill="FFFFFF"/>
        </w:rPr>
        <w:t>（二）</w:t>
      </w:r>
      <w:r>
        <w:rPr>
          <w:rFonts w:hint="default" w:ascii="Times New Roman" w:hAnsi="Times New Roman" w:eastAsia="楷体" w:cs="Times New Roman"/>
          <w:b/>
          <w:bCs/>
          <w:kern w:val="0"/>
          <w:sz w:val="32"/>
          <w:szCs w:val="32"/>
          <w:shd w:val="clear" w:fill="FFFFFF"/>
          <w:lang w:val="en-US" w:eastAsia="zh-CN"/>
        </w:rPr>
        <w:t>单位</w:t>
      </w:r>
      <w:r>
        <w:rPr>
          <w:rFonts w:hint="default" w:ascii="Times New Roman" w:hAnsi="Times New Roman" w:eastAsia="楷体" w:cs="Times New Roman"/>
          <w:b/>
          <w:bCs/>
          <w:kern w:val="0"/>
          <w:sz w:val="32"/>
          <w:szCs w:val="32"/>
          <w:shd w:val="clear" w:fill="FFFFFF"/>
        </w:rPr>
        <w:t>绩效评价情况</w:t>
      </w:r>
    </w:p>
    <w:p>
      <w:pPr>
        <w:pStyle w:val="18"/>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rPr>
        <w:t>我单位未组织开展绩效评价。</w:t>
      </w:r>
    </w:p>
    <w:p>
      <w:pPr>
        <w:pStyle w:val="18"/>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3" w:firstLineChars="200"/>
        <w:jc w:val="both"/>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楷体" w:cs="Times New Roman"/>
          <w:b/>
          <w:bCs/>
          <w:kern w:val="0"/>
          <w:sz w:val="32"/>
          <w:szCs w:val="32"/>
          <w:shd w:val="clear" w:fill="FFFFFF"/>
          <w:lang w:val="en-US" w:eastAsia="zh-CN" w:bidi="ar"/>
        </w:rPr>
        <w:t>（三）财政绩效评价情况</w:t>
      </w:r>
    </w:p>
    <w:p>
      <w:pPr>
        <w:pStyle w:val="18"/>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仿宋_GBK" w:cs="Times New Roman"/>
          <w:kern w:val="0"/>
          <w:sz w:val="32"/>
          <w:szCs w:val="32"/>
          <w:shd w:val="clear" w:fill="FFFFFF"/>
          <w:lang w:val="en-US" w:eastAsia="zh-CN"/>
        </w:rPr>
        <w:t>县财政局未委托第三方对我单位开展绩效评价。</w:t>
      </w:r>
    </w:p>
    <w:p>
      <w:pPr>
        <w:pStyle w:val="14"/>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5"/>
          <w:rFonts w:hint="default" w:ascii="Times New Roman" w:hAnsi="Times New Roman" w:eastAsia="方正仿宋_GBK" w:cs="Times New Roman"/>
          <w:b/>
          <w:bCs/>
          <w:sz w:val="32"/>
          <w:szCs w:val="32"/>
          <w:shd w:val="clear" w:fill="FFFFFF"/>
        </w:rPr>
        <w:t xml:space="preserve"> </w:t>
      </w:r>
      <w:r>
        <w:rPr>
          <w:rStyle w:val="15"/>
          <w:rFonts w:hint="default" w:ascii="Times New Roman" w:hAnsi="Times New Roman" w:eastAsia="方正仿宋_GBK" w:cs="Times New Roman"/>
          <w:b/>
          <w:bCs/>
          <w:sz w:val="32"/>
          <w:szCs w:val="32"/>
          <w:shd w:val="clear" w:fill="FFFFFF"/>
          <w:lang w:val="en-US" w:eastAsia="zh-CN"/>
        </w:rPr>
        <w:t xml:space="preserve">  </w:t>
      </w:r>
      <w:r>
        <w:rPr>
          <w:rStyle w:val="12"/>
          <w:rFonts w:hint="default" w:ascii="Times New Roman" w:hAnsi="Times New Roman" w:eastAsia="黑体" w:cs="Times New Roman"/>
          <w:sz w:val="32"/>
          <w:szCs w:val="32"/>
          <w:shd w:val="clear" w:color="auto" w:fill="FFFFFF"/>
          <w:lang w:val="en-US" w:eastAsia="zh-CN" w:bidi="ar-SA"/>
        </w:rPr>
        <w:t xml:space="preserve"> 六、专业名词解释</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指本年度从本级财政部门取得的财政拨款，包括一般公共预算财政拨款和政府性基金预算财政拨款。</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（四）其他收入：</w:t>
      </w:r>
      <w:r>
        <w:rPr>
          <w:rFonts w:hint="default" w:ascii="Times New Roman" w:hAnsi="Times New Roman" w:eastAsia="方正仿宋_GBK" w:cs="Times New Roman"/>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w:t>
      </w:r>
      <w:r>
        <w:rPr>
          <w:rFonts w:hint="eastAsia" w:ascii="Times New Roman" w:hAnsi="Times New Roman" w:eastAsia="方正仿宋_GBK" w:cs="Times New Roman"/>
          <w:kern w:val="0"/>
          <w:sz w:val="32"/>
          <w:szCs w:val="32"/>
          <w:shd w:val="clear" w:fill="FFFFFF"/>
          <w:lang w:eastAsia="zh-CN"/>
        </w:rPr>
        <w:t>交纳</w:t>
      </w:r>
      <w:r>
        <w:rPr>
          <w:rFonts w:hint="default" w:ascii="Times New Roman" w:hAnsi="Times New Roman" w:eastAsia="方正仿宋_GBK" w:cs="Times New Roman"/>
          <w:kern w:val="0"/>
          <w:sz w:val="32"/>
          <w:szCs w:val="32"/>
          <w:shd w:val="clear" w:fill="FFFFFF"/>
        </w:rPr>
        <w:t>所得税、提取专用基金、转入非财政拨款结余等当年结余的分配情况。</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（十二）“三公”经费：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w:t>
      </w:r>
      <w:r>
        <w:rPr>
          <w:rFonts w:hint="eastAsia" w:ascii="Times New Roman" w:hAnsi="Times New Roman" w:eastAsia="方正仿宋_GBK" w:cs="Times New Roman"/>
          <w:kern w:val="0"/>
          <w:sz w:val="32"/>
          <w:szCs w:val="32"/>
          <w:shd w:val="clear" w:fill="FFFFFF"/>
          <w:lang w:eastAsia="zh-CN"/>
        </w:rPr>
        <w:t>交纳</w:t>
      </w:r>
      <w:bookmarkStart w:id="0" w:name="_GoBack"/>
      <w:bookmarkEnd w:id="0"/>
      <w:r>
        <w:rPr>
          <w:rFonts w:hint="default" w:ascii="Times New Roman" w:hAnsi="Times New Roman" w:eastAsia="方正仿宋_GBK" w:cs="Times New Roman"/>
          <w:kern w:val="0"/>
          <w:sz w:val="32"/>
          <w:szCs w:val="32"/>
          <w:shd w:val="clear" w:fill="FFFFFF"/>
        </w:rPr>
        <w:t>的各项社会保险费等。</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楷体" w:cs="Times New Roman"/>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4"/>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3" w:firstLineChars="200"/>
        <w:jc w:val="both"/>
        <w:textAlignment w:val="auto"/>
        <w:rPr>
          <w:rFonts w:hint="default" w:ascii="Times New Roman" w:hAnsi="Times New Roman" w:eastAsia="方正仿宋_GBK" w:cs="Times New Roman"/>
          <w:kern w:val="0"/>
          <w:sz w:val="32"/>
          <w:szCs w:val="32"/>
        </w:rPr>
      </w:pPr>
      <w:r>
        <w:rPr>
          <w:rStyle w:val="12"/>
          <w:rFonts w:hint="default" w:ascii="Times New Roman" w:hAnsi="Times New Roman" w:eastAsia="黑体" w:cs="Times New Roman"/>
          <w:sz w:val="32"/>
          <w:szCs w:val="32"/>
          <w:shd w:val="clear" w:color="auto" w:fill="FFFFFF"/>
          <w:lang w:val="en-US" w:eastAsia="zh-CN" w:bidi="ar-SA"/>
        </w:rPr>
        <w:t>七、决算公开联系方式及信息反馈渠道</w:t>
      </w:r>
    </w:p>
    <w:p>
      <w:pPr>
        <w:pStyle w:val="13"/>
        <w:keepNext w:val="0"/>
        <w:keepLines w:val="0"/>
        <w:pageBreakBefore w:val="0"/>
        <w:widowControl/>
        <w:kinsoku/>
        <w:wordWrap/>
        <w:overflowPunct/>
        <w:topLinePunct w:val="0"/>
        <w:autoSpaceDE w:val="0"/>
        <w:autoSpaceDN/>
        <w:bidi w:val="0"/>
        <w:spacing w:beforeAutospacing="0" w:afterAutospacing="0" w:line="594"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kern w:val="0"/>
          <w:sz w:val="32"/>
          <w:szCs w:val="32"/>
          <w:shd w:val="clear" w:fill="FFFFFF"/>
        </w:rPr>
        <w:t>本单位决算公开信息反馈和联系方式：</w:t>
      </w:r>
      <w:r>
        <w:rPr>
          <w:rFonts w:hint="default" w:ascii="Times New Roman" w:hAnsi="Times New Roman" w:eastAsia="方正仿宋_GBK" w:cs="Times New Roman"/>
          <w:sz w:val="32"/>
          <w:szCs w:val="32"/>
          <w:shd w:val="clear" w:color="auto" w:fill="FFFFFF"/>
          <w:lang w:eastAsia="zh-CN"/>
        </w:rPr>
        <w:t>李老师</w:t>
      </w:r>
      <w:r>
        <w:rPr>
          <w:rFonts w:hint="default" w:ascii="Times New Roman" w:hAnsi="Times New Roman" w:eastAsia="方正仿宋_GBK" w:cs="Times New Roman"/>
          <w:sz w:val="32"/>
          <w:szCs w:val="32"/>
          <w:shd w:val="clear" w:color="auto" w:fill="FFFFFF"/>
          <w:lang w:val="en-US" w:eastAsia="zh-CN"/>
        </w:rPr>
        <w:t xml:space="preserve"> 02374568702</w:t>
      </w:r>
    </w:p>
    <w:p>
      <w:pPr>
        <w:pStyle w:val="13"/>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 xml:space="preserve">   </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right="0" w:rightChars="0"/>
        <w:jc w:val="left"/>
        <w:rPr>
          <w:rStyle w:val="12"/>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9"/>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Times New Roman" w:hAnsi="Times New Roman" w:cs="Times New Roman"/>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公开01表</w:t>
            </w:r>
          </w:p>
        </w:tc>
      </w:tr>
      <w:tr>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垫江县黄沙镇农业服务中心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77.99</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14.28</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184.51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16.73</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ascii="Times New Roman" w:hAnsi="Times New Roman" w:cs="Times New Roman"/>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293.51</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293.51</w:t>
            </w:r>
            <w:r>
              <w:rPr>
                <w:rFonts w:hint="default" w:ascii="Times New Roman" w:hAnsi="Times New Roman" w:cs="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293.51</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p>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9"/>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垫江县黄沙镇农业服务中心</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公开02表</w:t>
            </w:r>
          </w:p>
        </w:tc>
      </w:tr>
      <w:tr>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293.51</w:t>
            </w:r>
            <w:r>
              <w:rPr>
                <w:rFonts w:hint="default" w:ascii="Times New Roman" w:hAnsi="Times New Roman" w:cs="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293.51</w:t>
            </w:r>
            <w:r>
              <w:rPr>
                <w:rFonts w:hint="default" w:ascii="Times New Roman" w:hAnsi="Times New Roman" w:cs="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77.99</w:t>
            </w:r>
            <w:r>
              <w:rPr>
                <w:rFonts w:hint="default" w:ascii="Times New Roman" w:hAnsi="Times New Roman" w:cs="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77.99</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67.04</w:t>
            </w:r>
            <w:r>
              <w:rPr>
                <w:rFonts w:hint="default" w:ascii="Times New Roman" w:hAnsi="Times New Roman" w:cs="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67.04</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31.86</w:t>
            </w:r>
            <w:r>
              <w:rPr>
                <w:rFonts w:hint="default" w:ascii="Times New Roman" w:hAnsi="Times New Roman" w:cs="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31.86</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16.03</w:t>
            </w:r>
            <w:r>
              <w:rPr>
                <w:rFonts w:hint="default" w:ascii="Times New Roman" w:hAnsi="Times New Roman" w:cs="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16.03</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w:t>
            </w:r>
            <w:r>
              <w:rPr>
                <w:rFonts w:hint="default" w:ascii="Times New Roman" w:hAnsi="Times New Roman" w:cs="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10.96</w:t>
            </w:r>
            <w:r>
              <w:rPr>
                <w:rFonts w:hint="default" w:ascii="Times New Roman" w:hAnsi="Times New Roman" w:cs="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10.96</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9.48</w:t>
            </w:r>
            <w:r>
              <w:rPr>
                <w:rFonts w:hint="default" w:ascii="Times New Roman" w:hAnsi="Times New Roman" w:cs="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9.48</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184.51</w:t>
            </w:r>
            <w:r>
              <w:rPr>
                <w:rFonts w:hint="default" w:ascii="Times New Roman" w:hAnsi="Times New Roman" w:cs="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184.51</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16.73</w:t>
            </w:r>
            <w:r>
              <w:rPr>
                <w:rFonts w:hint="default" w:ascii="Times New Roman" w:hAnsi="Times New Roman" w:cs="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16.73</w:t>
            </w:r>
            <w:r>
              <w:rPr>
                <w:rFonts w:hint="default" w:ascii="Times New Roman" w:hAnsi="Times New Roman" w:cs="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9"/>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垫江县黄沙镇农业服务中心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公开03表</w:t>
            </w:r>
          </w:p>
        </w:tc>
      </w:tr>
      <w:tr>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293.51</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293.51</w:t>
            </w:r>
            <w:r>
              <w:rPr>
                <w:rFonts w:hint="default" w:ascii="Times New Roman" w:hAnsi="Times New Roman" w:cs="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77.99</w:t>
            </w:r>
            <w:r>
              <w:rPr>
                <w:rFonts w:hint="default" w:ascii="Times New Roman" w:hAnsi="Times New Roman" w:cs="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77.99</w:t>
            </w:r>
            <w:r>
              <w:rPr>
                <w:rFonts w:hint="default" w:ascii="Times New Roman" w:hAnsi="Times New Roman" w:cs="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67.04</w:t>
            </w:r>
            <w:r>
              <w:rPr>
                <w:rFonts w:hint="default" w:ascii="Times New Roman" w:hAnsi="Times New Roman" w:cs="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67.04</w:t>
            </w:r>
            <w:r>
              <w:rPr>
                <w:rFonts w:hint="default" w:ascii="Times New Roman" w:hAnsi="Times New Roman" w:cs="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31.86</w:t>
            </w:r>
            <w:r>
              <w:rPr>
                <w:rFonts w:hint="default" w:ascii="Times New Roman" w:hAnsi="Times New Roman" w:cs="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31.86</w:t>
            </w:r>
            <w:r>
              <w:rPr>
                <w:rFonts w:hint="default" w:ascii="Times New Roman" w:hAnsi="Times New Roman" w:cs="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16.03</w:t>
            </w:r>
            <w:r>
              <w:rPr>
                <w:rFonts w:hint="default" w:ascii="Times New Roman" w:hAnsi="Times New Roman" w:cs="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16.03</w:t>
            </w:r>
            <w:r>
              <w:rPr>
                <w:rFonts w:hint="default" w:ascii="Times New Roman" w:hAnsi="Times New Roman" w:cs="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w:t>
            </w:r>
            <w:r>
              <w:rPr>
                <w:rFonts w:hint="default" w:ascii="Times New Roman" w:hAnsi="Times New Roman" w:cs="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10.96</w:t>
            </w:r>
            <w:r>
              <w:rPr>
                <w:rFonts w:hint="default" w:ascii="Times New Roman" w:hAnsi="Times New Roman" w:cs="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10.96</w:t>
            </w:r>
            <w:r>
              <w:rPr>
                <w:rFonts w:hint="default" w:ascii="Times New Roman" w:hAnsi="Times New Roman" w:cs="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10.96</w:t>
            </w:r>
            <w:r>
              <w:rPr>
                <w:rFonts w:hint="default" w:ascii="Times New Roman" w:hAnsi="Times New Roman" w:cs="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9.48</w:t>
            </w:r>
            <w:r>
              <w:rPr>
                <w:rFonts w:hint="default" w:ascii="Times New Roman" w:hAnsi="Times New Roman" w:cs="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9.48</w:t>
            </w:r>
            <w:r>
              <w:rPr>
                <w:rFonts w:hint="default" w:ascii="Times New Roman" w:hAnsi="Times New Roman" w:cs="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184.51</w:t>
            </w:r>
            <w:r>
              <w:rPr>
                <w:rFonts w:hint="default" w:ascii="Times New Roman" w:hAnsi="Times New Roman" w:cs="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184.51</w:t>
            </w:r>
            <w:r>
              <w:rPr>
                <w:rFonts w:hint="default" w:ascii="Times New Roman" w:hAnsi="Times New Roman" w:cs="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16.73</w:t>
            </w:r>
            <w:r>
              <w:rPr>
                <w:rFonts w:hint="default" w:ascii="Times New Roman" w:hAnsi="Times New Roman" w:cs="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16.73</w:t>
            </w:r>
            <w:r>
              <w:rPr>
                <w:rFonts w:hint="default" w:ascii="Times New Roman" w:hAnsi="Times New Roman" w:cs="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p>
      <w:pPr>
        <w:rPr>
          <w:rFonts w:hint="default" w:ascii="Times New Roman" w:hAnsi="Times New Roman" w:cs="Times New Roman"/>
          <w:sz w:val="21"/>
          <w:szCs w:val="21"/>
        </w:rPr>
      </w:pPr>
    </w:p>
    <w:tbl>
      <w:tblPr>
        <w:tblStyle w:val="9"/>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垫江县黄沙镇农业服务中心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公开04表</w:t>
            </w:r>
          </w:p>
        </w:tc>
      </w:tr>
      <w:tr>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293.51</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77.99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77.99</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14.28</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184.51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184.51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16.73</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293.51</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293.51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293.51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ascii="Times New Roman" w:hAnsi="Times New Roman" w:cs="Times New Roman"/>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293.51</w:t>
            </w:r>
            <w:r>
              <w:rPr>
                <w:rFonts w:hint="default" w:ascii="Times New Roman" w:hAnsi="Times New Roman" w:cs="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293.51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293.51</w:t>
            </w:r>
            <w:r>
              <w:rPr>
                <w:rFonts w:hint="default" w:ascii="Times New Roman" w:hAnsi="Times New Roman" w:cs="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垫江县黄沙镇农业服务中心</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公开05表</w:t>
            </w:r>
          </w:p>
        </w:tc>
      </w:tr>
      <w:tr>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293.51</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293.51</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77.99</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77.99</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67.04</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67.04</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31.86</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31.86</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16.03</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16.03</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19.14</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10.96</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10.96</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死亡抚恤</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10.96</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10.96</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14.28</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9.48</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9.48</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184.51</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184.51</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184.51</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16.73</w:t>
            </w:r>
            <w:r>
              <w:rPr>
                <w:rFonts w:hint="default" w:ascii="Times New Roman" w:hAnsi="Times New Roman" w:cs="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16.73</w:t>
            </w:r>
            <w:r>
              <w:rPr>
                <w:rFonts w:hint="default" w:ascii="Times New Roman" w:hAnsi="Times New Roman" w:cs="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16.73</w:t>
            </w:r>
            <w:r>
              <w:rPr>
                <w:rFonts w:hint="default" w:ascii="Times New Roman" w:hAnsi="Times New Roman" w:cs="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垫江县黄沙镇农业服务中心</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公开06表</w:t>
            </w:r>
          </w:p>
        </w:tc>
      </w:tr>
      <w:tr>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247.50</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10.95</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49.33</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9.10</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105.30</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31.86</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16.03</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9.48</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0.28</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16.73</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7.11</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2.27</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35.06</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29.22</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4.00</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1.30</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1.84</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w:t>
            </w: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282.57</w:t>
            </w:r>
            <w:r>
              <w:rPr>
                <w:rFonts w:hint="default" w:ascii="Times New Roman" w:hAnsi="Times New Roman" w:cs="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10.95</w:t>
            </w:r>
            <w:r>
              <w:rPr>
                <w:rFonts w:hint="default" w:ascii="Times New Roman" w:hAnsi="Times New Roman" w:cs="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垫江县黄沙镇农业服务中心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公开07表</w:t>
            </w:r>
          </w:p>
        </w:tc>
      </w:tr>
      <w:tr>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ascii="Times New Roman" w:hAnsi="Times New Roman" w:cs="Times New Roman"/>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垫江县黄沙镇农业服务中心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公开08表</w:t>
            </w:r>
          </w:p>
        </w:tc>
      </w:tr>
      <w:tr>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ascii="Times New Roman" w:hAnsi="Times New Roman" w:cs="Times New Roman"/>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b/>
                <w:color w:val="000000"/>
                <w:sz w:val="20"/>
                <w:szCs w:val="20"/>
              </w:rPr>
            </w:pPr>
          </w:p>
        </w:tc>
      </w:tr>
      <w:tr>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ascii="Times New Roman" w:hAnsi="Times New Roman" w:cs="Times New Roman"/>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cs="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9"/>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ascii="Times New Roman" w:hAnsi="Times New Roman" w:cs="Times New Roman"/>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公开09表</w:t>
            </w:r>
          </w:p>
        </w:tc>
      </w:tr>
      <w:tr>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垫江县黄沙镇农业服务中心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ascii="Times New Roman" w:hAnsi="Times New Roman" w:cs="Times New Roman"/>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ascii="Times New Roman" w:hAnsi="Times New Roman" w:cs="Times New Roman"/>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7.10</w:t>
            </w:r>
            <w:r>
              <w:rPr>
                <w:rFonts w:hint="default" w:ascii="Times New Roman" w:hAnsi="Times New Roman" w:cs="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pPr>
        <w:rPr>
          <w:rFonts w:hint="default" w:ascii="Times New Roman" w:hAnsi="Times New Roman" w:cs="Times New Roman"/>
          <w:sz w:val="18"/>
          <w:szCs w:val="18"/>
        </w:rPr>
      </w:pPr>
      <w:r>
        <w:rPr>
          <w:rFonts w:hint="default" w:ascii="Times New Roman" w:hAnsi="Times New Roman" w:cs="Times New Roman"/>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w:pict>
        <v:shape id="文本框 2" o:spid="_x0000_s1033"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5"/>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A2A3A3"/>
    <w:multiLevelType w:val="singleLevel"/>
    <w:tmpl w:val="68A2A3A3"/>
    <w:lvl w:ilvl="0" w:tentative="0">
      <w:start w:val="1"/>
      <w:numFmt w:val="decimal"/>
      <w:suff w:val="nothing"/>
      <w:lvlText w:val="（%1）"/>
      <w:lvlJc w:val="left"/>
    </w:lvl>
  </w:abstractNum>
  <w:abstractNum w:abstractNumId="1">
    <w:nsid w:val="68A2A7D3"/>
    <w:multiLevelType w:val="singleLevel"/>
    <w:tmpl w:val="68A2A7D3"/>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k0OTNkODc1MDQyNTU4ZWNjYmU3NWExNmUxZWU2NTY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0C4EE3"/>
    <w:rsid w:val="075678DB"/>
    <w:rsid w:val="077B465F"/>
    <w:rsid w:val="079D7CC7"/>
    <w:rsid w:val="08051BCA"/>
    <w:rsid w:val="086C12F4"/>
    <w:rsid w:val="08705944"/>
    <w:rsid w:val="08BA052C"/>
    <w:rsid w:val="08DB07BA"/>
    <w:rsid w:val="0969353F"/>
    <w:rsid w:val="098305D0"/>
    <w:rsid w:val="09B1218B"/>
    <w:rsid w:val="0A3317EA"/>
    <w:rsid w:val="0A5C4B69"/>
    <w:rsid w:val="0A68784E"/>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377C4C"/>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7B5FE7"/>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3E001A"/>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547B41"/>
    <w:rsid w:val="387C538B"/>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504B6EAA"/>
    <w:rsid w:val="50F06B6E"/>
    <w:rsid w:val="51D21804"/>
    <w:rsid w:val="52234D33"/>
    <w:rsid w:val="522F6E0C"/>
    <w:rsid w:val="52332D5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widowControl/>
      <w:jc w:val="left"/>
    </w:pPr>
    <w:rPr>
      <w:rFonts w:eastAsia="仿宋_GB2312"/>
      <w:kern w:val="0"/>
      <w:sz w:val="32"/>
      <w:szCs w:val="20"/>
    </w:rPr>
  </w:style>
  <w:style w:type="paragraph" w:customStyle="1" w:styleId="3">
    <w:name w:val="默认"/>
    <w:qFormat/>
    <w:uiPriority w:val="99"/>
    <w:rPr>
      <w:rFonts w:ascii="Helvetica" w:hAnsi="Helvetica" w:eastAsia="宋体" w:cs="Helvetica"/>
      <w:color w:val="000000"/>
      <w:sz w:val="22"/>
      <w:szCs w:val="22"/>
      <w:lang w:val="en-US" w:eastAsia="zh-CN" w:bidi="ar-SA"/>
    </w:r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autoRedefine/>
    <w:qFormat/>
    <w:uiPriority w:val="0"/>
    <w:rPr>
      <w:b/>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basedOn w:val="11"/>
    <w:autoRedefine/>
    <w:qFormat/>
    <w:uiPriority w:val="0"/>
    <w:rPr>
      <w:rFonts w:hint="default" w:ascii="Wingdings" w:hAnsi="Wingdings" w:cs="Wingdings"/>
      <w:b/>
      <w:bCs/>
    </w:rPr>
  </w:style>
  <w:style w:type="paragraph" w:customStyle="1" w:styleId="16">
    <w:name w:val="列出段落2"/>
    <w:autoRedefine/>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11"/>
    <w:link w:val="4"/>
    <w:autoRedefine/>
    <w:qFormat/>
    <w:uiPriority w:val="0"/>
    <w:rPr>
      <w:rFonts w:ascii="宋体" w:hAnsi="宋体"/>
      <w:sz w:val="18"/>
      <w:szCs w:val="18"/>
    </w:rPr>
  </w:style>
  <w:style w:type="paragraph" w:customStyle="1" w:styleId="18">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textRotate="1"/>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8346</Words>
  <Characters>10667</Characters>
  <Lines>186</Lines>
  <Paragraphs>52</Paragraphs>
  <TotalTime>5</TotalTime>
  <ScaleCrop>false</ScaleCrop>
  <LinksUpToDate>false</LinksUpToDate>
  <CharactersWithSpaces>11737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L</cp:lastModifiedBy>
  <dcterms:modified xsi:type="dcterms:W3CDTF">2025-09-18T07:34:49Z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BB46EABDBB2749749395447164B066B3_12</vt:lpwstr>
  </property>
  <property fmtid="{D5CDD505-2E9C-101B-9397-08002B2CF9AE}" pid="4" name="KSOTemplateDocerSaveRecord">
    <vt:lpwstr>eyJoZGlkIjoiNjM0Zjk5YTc4NjQ1NmYyOGViZjRkNWIzZWJhYTE3YWEiLCJ1c2VySWQiOiIzODk0NTM2OTAifQ==</vt:lpwstr>
  </property>
</Properties>
</file>