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垫江县黄沙镇退役军人服务站</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一、</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基本情况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楷体" w:cs="Times New Roman"/>
          <w:sz w:val="32"/>
          <w:szCs w:val="32"/>
          <w:highlight w:val="none"/>
          <w:shd w:val="clear" w:color="auto" w:fill="FFFFFF"/>
        </w:rPr>
        <w:t>（一）职能职责</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color w:val="auto"/>
          <w:sz w:val="32"/>
          <w:szCs w:val="32"/>
          <w:highlight w:val="none"/>
        </w:rPr>
      </w:pPr>
      <w:r>
        <w:rPr>
          <w:rStyle w:val="12"/>
          <w:rFonts w:hint="default" w:ascii="Times New Roman" w:hAnsi="Times New Roman" w:eastAsia="楷体" w:cs="Times New Roman"/>
          <w:color w:val="auto"/>
          <w:sz w:val="32"/>
          <w:szCs w:val="32"/>
          <w:highlight w:val="none"/>
          <w:shd w:val="clear" w:color="auto" w:fill="FFFFFF"/>
        </w:rPr>
        <w:t>（二）机构设置</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xml:space="preserve">   垫江县黄沙镇退役军人服务站，隶属县黄沙镇政府管理的相当于行政股级的公益一类财政全额拨款事业单位，不设置内设机构。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二、</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决算</w:t>
      </w:r>
      <w:r>
        <w:rPr>
          <w:rStyle w:val="12"/>
          <w:rFonts w:hint="default" w:ascii="Times New Roman" w:hAnsi="Times New Roman" w:eastAsia="黑体" w:cs="Times New Roman"/>
          <w:sz w:val="32"/>
          <w:szCs w:val="32"/>
          <w:highlight w:val="none"/>
          <w:shd w:val="clear" w:color="auto" w:fill="FFFFFF"/>
          <w:lang w:eastAsia="zh-CN"/>
        </w:rPr>
        <w:t>收支</w:t>
      </w:r>
      <w:r>
        <w:rPr>
          <w:rStyle w:val="12"/>
          <w:rFonts w:hint="default" w:ascii="Times New Roman" w:hAnsi="Times New Roman" w:eastAsia="黑体" w:cs="Times New Roman"/>
          <w:sz w:val="32"/>
          <w:szCs w:val="32"/>
          <w:highlight w:val="none"/>
          <w:shd w:val="clear" w:color="auto" w:fill="FFFFFF"/>
        </w:rPr>
        <w:t>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度收入总计75.23万元，支出总计</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万元。收、支与2023年度相比，增加2.80万元，增长3</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w:t>
      </w:r>
      <w:r>
        <w:rPr>
          <w:rFonts w:hint="default" w:ascii="Times New Roman" w:hAnsi="Times New Roman" w:eastAsia="方正仿宋_GBK" w:cs="Times New Roman"/>
          <w:color w:val="auto"/>
          <w:sz w:val="32"/>
          <w:szCs w:val="32"/>
          <w:highlight w:val="none"/>
          <w:shd w:val="clear" w:color="auto" w:fill="FFFFFF"/>
          <w:lang w:eastAsia="zh-CN"/>
        </w:rPr>
        <w:t>员</w:t>
      </w:r>
      <w:r>
        <w:rPr>
          <w:rFonts w:hint="default" w:ascii="Times New Roman" w:hAnsi="Times New Roman" w:eastAsia="方正仿宋_GBK" w:cs="Times New Roman"/>
          <w:sz w:val="32"/>
          <w:szCs w:val="32"/>
          <w:highlight w:val="none"/>
          <w:shd w:val="clear" w:color="auto" w:fill="FFFFFF"/>
          <w:lang w:eastAsia="zh-CN"/>
        </w:rPr>
        <w:t>工资调标</w:t>
      </w:r>
      <w:r>
        <w:rPr>
          <w:rFonts w:hint="default" w:ascii="Times New Roman" w:hAnsi="Times New Roman" w:eastAsia="方正仿宋_GBK" w:cs="Times New Roman"/>
          <w:color w:val="auto"/>
          <w:sz w:val="32"/>
          <w:szCs w:val="32"/>
          <w:highlight w:val="none"/>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度收入合计75.23万元，与2023年度相比，增加2.80万元，增长3</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w:t>
      </w:r>
      <w:r>
        <w:rPr>
          <w:rFonts w:hint="default" w:ascii="Times New Roman" w:hAnsi="Times New Roman" w:eastAsia="方正仿宋_GBK" w:cs="Times New Roman"/>
          <w:color w:val="auto"/>
          <w:sz w:val="32"/>
          <w:szCs w:val="32"/>
          <w:highlight w:val="none"/>
          <w:shd w:val="clear" w:color="auto" w:fill="FFFFFF"/>
          <w:lang w:eastAsia="zh-CN"/>
        </w:rPr>
        <w:t>员</w:t>
      </w:r>
      <w:r>
        <w:rPr>
          <w:rFonts w:hint="default" w:ascii="Times New Roman" w:hAnsi="Times New Roman" w:eastAsia="方正仿宋_GBK" w:cs="Times New Roman"/>
          <w:sz w:val="32"/>
          <w:szCs w:val="32"/>
          <w:highlight w:val="none"/>
          <w:shd w:val="clear" w:color="auto" w:fill="FFFFFF"/>
          <w:lang w:eastAsia="zh-CN"/>
        </w:rPr>
        <w:t>工资调标</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万元，与2023年度相比，增加2.80万元，增长3</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w:t>
      </w:r>
      <w:r>
        <w:rPr>
          <w:rFonts w:hint="default" w:ascii="Times New Roman" w:hAnsi="Times New Roman" w:eastAsia="方正仿宋_GBK" w:cs="Times New Roman"/>
          <w:color w:val="auto"/>
          <w:sz w:val="32"/>
          <w:szCs w:val="32"/>
          <w:highlight w:val="none"/>
          <w:shd w:val="clear" w:color="auto" w:fill="FFFFFF"/>
          <w:lang w:eastAsia="zh-CN"/>
        </w:rPr>
        <w:t>员</w:t>
      </w:r>
      <w:r>
        <w:rPr>
          <w:rFonts w:hint="default" w:ascii="Times New Roman" w:hAnsi="Times New Roman" w:eastAsia="方正仿宋_GBK" w:cs="Times New Roman"/>
          <w:sz w:val="32"/>
          <w:szCs w:val="32"/>
          <w:highlight w:val="none"/>
          <w:shd w:val="clear" w:color="auto" w:fill="FFFFFF"/>
          <w:lang w:eastAsia="zh-CN"/>
        </w:rPr>
        <w:t>工资调标</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万元，与2023年度相比，无增减，主要原因是本年度未产生结转结余。</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度财政拨款收、支总计75.23万元。与202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年相比，财政拨款收、支总计各增加2.80万元，增长3</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人员工资调标。</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万元，与2023年度相比，增加2.80万元，增长3</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人员工资调标。</w:t>
      </w:r>
      <w:r>
        <w:rPr>
          <w:rFonts w:hint="default" w:ascii="Times New Roman" w:hAnsi="Times New Roman" w:eastAsia="方正仿宋_GBK" w:cs="Times New Roman"/>
          <w:sz w:val="32"/>
          <w:szCs w:val="32"/>
          <w:highlight w:val="none"/>
          <w:shd w:val="clear" w:color="auto" w:fill="FFFFFF"/>
        </w:rPr>
        <w:t>较年初预算数增加10.23万元，增长15</w:t>
      </w:r>
      <w:r>
        <w:rPr>
          <w:rFonts w:hint="default" w:ascii="Times New Roman" w:hAnsi="Times New Roman" w:eastAsia="方正仿宋_GBK" w:cs="Times New Roman"/>
          <w:sz w:val="32"/>
          <w:szCs w:val="32"/>
          <w:highlight w:val="none"/>
          <w:shd w:val="clear" w:color="auto" w:fill="FFFFFF"/>
          <w:lang w:eastAsia="zh-CN"/>
        </w:rPr>
        <w:t>.70%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人员工资调标。</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keepNext w:val="0"/>
        <w:keepLines w:val="0"/>
        <w:pageBreakBefore w:val="0"/>
        <w:widowControl/>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万元，与2023年度相比，增加2.80万元，增长3</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人员工资调标。</w:t>
      </w:r>
      <w:r>
        <w:rPr>
          <w:rFonts w:hint="default" w:ascii="Times New Roman" w:hAnsi="Times New Roman" w:eastAsia="方正仿宋_GBK" w:cs="Times New Roman"/>
          <w:sz w:val="32"/>
          <w:szCs w:val="32"/>
          <w:highlight w:val="none"/>
          <w:shd w:val="clear" w:color="auto" w:fill="FFFFFF"/>
        </w:rPr>
        <w:t>较年初预算数增加10.23万元，增长15</w:t>
      </w:r>
      <w:r>
        <w:rPr>
          <w:rFonts w:hint="default" w:ascii="Times New Roman" w:hAnsi="Times New Roman" w:eastAsia="方正仿宋_GBK" w:cs="Times New Roman"/>
          <w:sz w:val="32"/>
          <w:szCs w:val="32"/>
          <w:highlight w:val="none"/>
          <w:shd w:val="clear" w:color="auto" w:fill="FFFFFF"/>
          <w:lang w:eastAsia="zh-CN"/>
        </w:rPr>
        <w:t>.70%</w:t>
      </w:r>
      <w:r>
        <w:rPr>
          <w:rFonts w:hint="default" w:ascii="Times New Roman" w:hAnsi="Times New Roman" w:eastAsia="方正仿宋_GBK" w:cs="Times New Roman"/>
          <w:sz w:val="32"/>
          <w:szCs w:val="32"/>
          <w:highlight w:val="none"/>
          <w:shd w:val="clear" w:color="auto" w:fill="FFFFFF"/>
        </w:rPr>
        <w:t>。主要原因是2024年五险二金基数调标,同时补交2022</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2023年调高部分。</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万元，与2023年度相比，无增减，主要原因是本年度未产生结转结余。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 xml:space="preserve"> 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66.07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87.83</w:t>
      </w:r>
      <w:r>
        <w:rPr>
          <w:rFonts w:hint="default" w:ascii="Times New Roman" w:hAnsi="Times New Roman" w:eastAsia="方正仿宋_GBK" w:cs="Times New Roman"/>
          <w:sz w:val="32"/>
          <w:szCs w:val="32"/>
          <w:highlight w:val="none"/>
          <w:shd w:val="clear" w:color="auto" w:fill="FFFFFF"/>
        </w:rPr>
        <w:t>%，较年初预算数增加6.92万元，增长11</w:t>
      </w:r>
      <w:r>
        <w:rPr>
          <w:rFonts w:hint="default" w:ascii="Times New Roman" w:hAnsi="Times New Roman" w:eastAsia="方正仿宋_GBK" w:cs="Times New Roman"/>
          <w:sz w:val="32"/>
          <w:szCs w:val="32"/>
          <w:highlight w:val="none"/>
          <w:shd w:val="clear" w:color="auto" w:fill="FFFFFF"/>
          <w:lang w:eastAsia="zh-CN"/>
        </w:rPr>
        <w:t>.70%</w:t>
      </w:r>
      <w:r>
        <w:rPr>
          <w:rFonts w:hint="default" w:ascii="Times New Roman" w:hAnsi="Times New Roman" w:eastAsia="方正仿宋_GBK" w:cs="Times New Roman"/>
          <w:sz w:val="32"/>
          <w:szCs w:val="32"/>
          <w:highlight w:val="none"/>
          <w:shd w:val="clear" w:color="auto" w:fill="FFFFFF"/>
        </w:rPr>
        <w:t>，主要原因是2024年度事业人员养老与职业年金调标补缴</w:t>
      </w:r>
      <w:r>
        <w:rPr>
          <w:rFonts w:hint="default" w:ascii="Times New Roman" w:hAnsi="Times New Roman" w:eastAsia="方正仿宋_GBK" w:cs="Times New Roman"/>
          <w:sz w:val="32"/>
          <w:szCs w:val="32"/>
          <w:highlight w:val="none"/>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4.15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5.52</w:t>
      </w:r>
      <w:r>
        <w:rPr>
          <w:rFonts w:hint="default" w:ascii="Times New Roman" w:hAnsi="Times New Roman" w:eastAsia="方正仿宋_GBK" w:cs="Times New Roman"/>
          <w:sz w:val="32"/>
          <w:szCs w:val="32"/>
          <w:highlight w:val="none"/>
          <w:shd w:val="clear" w:color="auto" w:fill="FFFFFF"/>
        </w:rPr>
        <w:t>%，较年初预算数增加1.49万元，增长56.0%，主要原因是2024年五险二金基数调标,同时补交2022</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2023年调高部分。</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住房保障支出5.01</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6.66</w:t>
      </w:r>
      <w:r>
        <w:rPr>
          <w:rFonts w:hint="default" w:ascii="Times New Roman" w:hAnsi="Times New Roman" w:eastAsia="方正仿宋_GBK" w:cs="Times New Roman"/>
          <w:sz w:val="32"/>
          <w:szCs w:val="32"/>
          <w:highlight w:val="none"/>
          <w:shd w:val="clear" w:color="auto" w:fill="FFFFFF"/>
        </w:rPr>
        <w:t>%，较年初预算数增加1.82万元，增长57</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，主要原因是2024年五险二金基数调标,同时补交2022</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2023年调高部分。</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w:t>
      </w:r>
      <w:r>
        <w:rPr>
          <w:rFonts w:hint="eastAsia" w:ascii="Times New Roman" w:hAnsi="Times New Roman" w:eastAsia="方正仿宋_GBK" w:cs="Times New Roman"/>
          <w:sz w:val="32"/>
          <w:szCs w:val="32"/>
          <w:highlight w:val="none"/>
          <w:shd w:val="clear" w:color="auto" w:fill="FFFFFF"/>
          <w:lang w:eastAsia="zh-CN"/>
        </w:rPr>
        <w:t>预算</w:t>
      </w:r>
      <w:r>
        <w:rPr>
          <w:rFonts w:hint="default" w:ascii="Times New Roman" w:hAnsi="Times New Roman" w:eastAsia="方正仿宋_GBK" w:cs="Times New Roman"/>
          <w:sz w:val="32"/>
          <w:szCs w:val="32"/>
          <w:highlight w:val="none"/>
          <w:shd w:val="clear" w:color="auto" w:fill="FFFFFF"/>
        </w:rPr>
        <w:t>财政拨款基本支出</w:t>
      </w:r>
      <w:r>
        <w:rPr>
          <w:rFonts w:hint="default" w:ascii="Times New Roman" w:hAnsi="Times New Roman" w:eastAsia="方正仿宋_GBK" w:cs="Times New Roman"/>
          <w:sz w:val="32"/>
          <w:szCs w:val="32"/>
          <w:highlight w:val="none"/>
        </w:rPr>
        <w:t>75.23</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71.96</w:t>
      </w:r>
      <w:r>
        <w:rPr>
          <w:rFonts w:hint="default" w:ascii="Times New Roman" w:hAnsi="Times New Roman" w:eastAsia="方正仿宋_GBK" w:cs="Times New Roman"/>
          <w:sz w:val="32"/>
          <w:szCs w:val="32"/>
          <w:highlight w:val="none"/>
          <w:shd w:val="clear" w:color="auto" w:fill="FFFFFF"/>
        </w:rPr>
        <w:t>万元，与2023年度相比，增加4.13万元，增长6</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人员工资调标。</w:t>
      </w:r>
      <w:r>
        <w:rPr>
          <w:rFonts w:hint="default" w:ascii="Times New Roman" w:hAnsi="Times New Roman" w:eastAsia="方正仿宋_GBK" w:cs="Times New Roman"/>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rPr>
        <w:t>基本工资、津贴补贴、绩效工资、机关事业单位基本养老保险缴费、职业年金缴费、职工基本医疗补助缴费、其他社会保障缴费、住房公积金、医疗费、其他工资福利支出</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3.27</w:t>
      </w:r>
      <w:r>
        <w:rPr>
          <w:rFonts w:hint="default" w:ascii="Times New Roman" w:hAnsi="Times New Roman" w:eastAsia="方正仿宋_GBK" w:cs="Times New Roman"/>
          <w:sz w:val="32"/>
          <w:szCs w:val="32"/>
          <w:highlight w:val="none"/>
          <w:shd w:val="clear" w:color="auto" w:fill="FFFFFF"/>
        </w:rPr>
        <w:t>万元，与2023年度相比，减少1.34万元，下降29</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w:t>
      </w:r>
      <w:bookmarkStart w:id="0" w:name="OLE_LINK2"/>
      <w:r>
        <w:rPr>
          <w:rFonts w:hint="default" w:ascii="Times New Roman" w:hAnsi="Times New Roman" w:eastAsia="方正仿宋_GBK" w:cs="Times New Roman"/>
          <w:color w:val="auto"/>
          <w:sz w:val="32"/>
          <w:szCs w:val="32"/>
          <w:highlight w:val="none"/>
          <w:shd w:val="clear" w:color="auto" w:fill="FFFFFF"/>
          <w:lang w:eastAsia="zh-CN"/>
        </w:rPr>
        <w:t>本年度取消县内出差差旅费导致公用经费减少。</w:t>
      </w:r>
      <w:bookmarkEnd w:id="0"/>
      <w:r>
        <w:rPr>
          <w:rFonts w:hint="default" w:ascii="Times New Roman" w:hAnsi="Times New Roman" w:eastAsia="方正仿宋_GBK" w:cs="Times New Roman"/>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rPr>
        <w:t>办公费、差旅费、委托业务费、工会经费。</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2024年度政府性基金预算财政拨款年初结转结余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本年度无政府性基金预算财政拨款收入。</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本年度无政府性基金预算财政拨款支出。本单位2024年度无政府性基金预算财政拨款收支。</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三、</w:t>
      </w:r>
      <w:r>
        <w:rPr>
          <w:rStyle w:val="12"/>
          <w:rFonts w:hint="default" w:ascii="Times New Roman" w:hAnsi="Times New Roman" w:eastAsia="黑体" w:cs="Times New Roman"/>
          <w:sz w:val="32"/>
          <w:szCs w:val="32"/>
          <w:highlight w:val="none"/>
          <w:shd w:val="clear" w:color="auto" w:fill="FFFFFF"/>
          <w:lang w:eastAsia="zh-CN"/>
        </w:rPr>
        <w:t>财政拨款</w:t>
      </w:r>
      <w:r>
        <w:rPr>
          <w:rStyle w:val="12"/>
          <w:rFonts w:hint="default" w:ascii="Times New Roman" w:hAnsi="Times New Roman" w:eastAsia="黑体" w:cs="Times New Roman"/>
          <w:sz w:val="32"/>
          <w:szCs w:val="32"/>
          <w:highlight w:val="none"/>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sz w:val="32"/>
          <w:szCs w:val="32"/>
          <w:highlight w:val="none"/>
          <w:shd w:val="clear" w:color="auto" w:fill="FFFFFF"/>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年度本</w:t>
      </w:r>
      <w:r>
        <w:rPr>
          <w:rFonts w:hint="default" w:ascii="Times New Roman" w:hAnsi="Times New Roman" w:eastAsia="方正仿宋_GBK" w:cs="Times New Roman"/>
          <w:sz w:val="32"/>
          <w:szCs w:val="32"/>
          <w:highlight w:val="none"/>
          <w:shd w:val="clear" w:color="auto" w:fill="FFFFFF"/>
          <w:lang w:eastAsia="zh-CN"/>
        </w:rPr>
        <w:t>单位</w:t>
      </w:r>
      <w:r>
        <w:rPr>
          <w:rFonts w:hint="default" w:ascii="Times New Roman" w:hAnsi="Times New Roman" w:eastAsia="方正仿宋_GBK" w:cs="Times New Roman"/>
          <w:sz w:val="32"/>
          <w:szCs w:val="32"/>
          <w:highlight w:val="none"/>
          <w:shd w:val="clear" w:color="auto" w:fill="FFFFFF"/>
        </w:rPr>
        <w:t>因公出国（境）费用</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万元，主要是</w:t>
      </w:r>
      <w:r>
        <w:rPr>
          <w:rFonts w:hint="default" w:ascii="Times New Roman" w:hAnsi="Times New Roman" w:eastAsia="方正仿宋_GBK" w:cs="Times New Roman"/>
          <w:sz w:val="32"/>
          <w:szCs w:val="32"/>
          <w:highlight w:val="none"/>
          <w:shd w:val="clear" w:color="auto" w:fill="FFFFFF"/>
          <w:lang w:eastAsia="zh-CN"/>
        </w:rPr>
        <w:t>未安排出国境事项。</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未安排出国境事项、无相关经费支出。</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未安排出国境事项、无相关经费支出。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公务车购置费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w:t>
      </w:r>
      <w:r>
        <w:rPr>
          <w:rFonts w:hint="default" w:ascii="Times New Roman" w:hAnsi="Times New Roman" w:eastAsia="方正仿宋_GBK" w:cs="Times New Roman"/>
          <w:sz w:val="32"/>
          <w:szCs w:val="32"/>
          <w:highlight w:val="none"/>
          <w:shd w:val="clear" w:color="auto" w:fill="FFFFFF"/>
          <w:lang w:eastAsia="zh-CN"/>
        </w:rPr>
        <w:t>是本单位无公务车购置事项</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无公务车购置事项，无相关经费支出</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无公务车购置事项，无相关经费支出</w:t>
      </w:r>
      <w:r>
        <w:rPr>
          <w:rFonts w:hint="default" w:ascii="Times New Roman" w:hAnsi="Times New Roman" w:eastAsia="方正仿宋_GBK" w:cs="Times New Roman"/>
          <w:sz w:val="32"/>
          <w:szCs w:val="32"/>
          <w:highlight w:val="none"/>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 </w:t>
      </w:r>
      <w:r>
        <w:rPr>
          <w:rFonts w:hint="eastAsia" w:ascii="Times New Roman" w:hAnsi="Times New Roman" w:eastAsia="方正仿宋_GBK" w:cs="Times New Roman"/>
          <w:sz w:val="32"/>
          <w:szCs w:val="32"/>
          <w:highlight w:val="none"/>
          <w:shd w:val="clear" w:color="auto" w:fill="FFFFFF"/>
          <w:lang w:eastAsia="zh-CN"/>
        </w:rPr>
        <w:t>公务用车</w:t>
      </w:r>
      <w:r>
        <w:rPr>
          <w:rFonts w:hint="default" w:ascii="Times New Roman" w:hAnsi="Times New Roman" w:eastAsia="方正仿宋_GBK" w:cs="Times New Roman"/>
          <w:sz w:val="32"/>
          <w:szCs w:val="32"/>
          <w:highlight w:val="none"/>
          <w:shd w:val="clear" w:color="auto" w:fill="FFFFFF"/>
        </w:rPr>
        <w:t>运行维护费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w:t>
      </w:r>
      <w:r>
        <w:rPr>
          <w:rFonts w:hint="default" w:ascii="Times New Roman" w:hAnsi="Times New Roman" w:eastAsia="方正仿宋_GBK" w:cs="Times New Roman"/>
          <w:sz w:val="32"/>
          <w:szCs w:val="32"/>
          <w:highlight w:val="none"/>
          <w:shd w:val="clear" w:color="auto" w:fill="FFFFFF"/>
          <w:lang w:eastAsia="zh-CN"/>
        </w:rPr>
        <w:t>无公务车，未发生相关经费支出。</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无公务车，未发生相关经费支出。</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无公务车，未发生相关经费支出。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w:t>
      </w:r>
      <w:r>
        <w:rPr>
          <w:rFonts w:hint="default" w:ascii="Times New Roman" w:hAnsi="Times New Roman" w:eastAsia="方正仿宋_GBK" w:cs="Times New Roman"/>
          <w:sz w:val="32"/>
          <w:szCs w:val="32"/>
          <w:highlight w:val="none"/>
        </w:rPr>
        <w:t>主要原因是年初预算未安排且本年未发生公务接待费用</w:t>
      </w:r>
      <w:r>
        <w:rPr>
          <w:rFonts w:hint="default" w:ascii="Times New Roman" w:hAnsi="Times New Roman" w:eastAsia="方正仿宋_GBK" w:cs="Times New Roman"/>
          <w:sz w:val="32"/>
          <w:szCs w:val="32"/>
          <w:highlight w:val="none"/>
          <w:shd w:val="clear" w:color="auto" w:fill="FFFFFF"/>
        </w:rPr>
        <w:t>。较</w:t>
      </w:r>
      <w:bookmarkStart w:id="1" w:name="_GoBack"/>
      <w:bookmarkEnd w:id="1"/>
      <w:r>
        <w:rPr>
          <w:rFonts w:hint="default" w:ascii="Times New Roman" w:hAnsi="Times New Roman" w:eastAsia="方正仿宋_GBK" w:cs="Times New Roman"/>
          <w:sz w:val="32"/>
          <w:szCs w:val="32"/>
          <w:highlight w:val="none"/>
          <w:shd w:val="clear" w:color="auto" w:fill="FFFFFF"/>
        </w:rPr>
        <w:t>上年支出数无增减，</w:t>
      </w:r>
      <w:r>
        <w:rPr>
          <w:rFonts w:hint="default" w:ascii="Times New Roman" w:hAnsi="Times New Roman" w:eastAsia="方正仿宋_GBK" w:cs="Times New Roman"/>
          <w:sz w:val="32"/>
          <w:szCs w:val="32"/>
          <w:highlight w:val="none"/>
        </w:rPr>
        <w:t>主要原因是上年和本年均未发生公务接待费用。</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四、其他需要说明的事项</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（一）财政拨款会议费和培训费情况说明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w:t>
      </w:r>
      <w:r>
        <w:rPr>
          <w:rFonts w:hint="default" w:ascii="Times New Roman" w:hAnsi="Times New Roman" w:eastAsia="方正仿宋_GBK" w:cs="Times New Roman"/>
          <w:sz w:val="32"/>
          <w:szCs w:val="32"/>
          <w:highlight w:val="none"/>
        </w:rPr>
        <w:t>主要原因是上年和本年均未发生会议费支出</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万元，与2023年度相比，无变化，</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val="en-US" w:eastAsia="zh-CN"/>
        </w:rPr>
        <w:t>本年度无培训费支出</w:t>
      </w:r>
      <w:r>
        <w:rPr>
          <w:rFonts w:hint="default" w:ascii="Times New Roman" w:hAnsi="Times New Roman" w:eastAsia="方正仿宋_GBK" w:cs="Times New Roman"/>
          <w:sz w:val="32"/>
          <w:szCs w:val="32"/>
          <w:highlight w:val="none"/>
        </w:rPr>
        <w:t>。</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000000" w:themeColor="text1"/>
          <w:sz w:val="32"/>
          <w:szCs w:val="32"/>
          <w:highlight w:val="none"/>
          <w:shd w:val="clear" w:color="auto" w:fill="FFFFFF"/>
          <w:lang w:val="en-US" w:eastAsia="zh-CN"/>
        </w:rPr>
        <w:t xml:space="preserve">    </w:t>
      </w:r>
      <w:r>
        <w:rPr>
          <w:rFonts w:hint="default" w:ascii="Times New Roman" w:hAnsi="Times New Roman" w:eastAsia="方正仿宋_GBK" w:cs="Times New Roman"/>
          <w:sz w:val="32"/>
          <w:szCs w:val="32"/>
          <w:highlight w:val="none"/>
          <w:shd w:val="clear" w:color="auto" w:fill="FFFFFF"/>
        </w:rPr>
        <w:t>2024年度本单位机关运行经费支出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万元，机关运行经费较上年支出数无增减，</w:t>
      </w:r>
      <w:r>
        <w:rPr>
          <w:rFonts w:hint="default" w:ascii="Times New Roman" w:hAnsi="Times New Roman" w:eastAsia="方正仿宋_GBK" w:cs="Times New Roman"/>
          <w:bCs/>
          <w:sz w:val="32"/>
          <w:szCs w:val="32"/>
          <w:highlight w:val="none"/>
        </w:rPr>
        <w:t>主要原因是按照部门决算列报口径，我单位不在机关运行经费统计范围之内。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FF0000"/>
          <w:sz w:val="32"/>
          <w:szCs w:val="32"/>
          <w:highlight w:val="none"/>
          <w:shd w:val="clear" w:color="auto" w:fill="FFFFFF"/>
          <w:lang w:val="en-US" w:eastAsia="zh-CN"/>
        </w:rPr>
        <w:t xml:space="preserve">    </w:t>
      </w:r>
      <w:r>
        <w:rPr>
          <w:rFonts w:hint="default" w:ascii="Times New Roman" w:hAnsi="Times New Roman" w:eastAsia="方正仿宋_GBK" w:cs="Times New Roman"/>
          <w:sz w:val="32"/>
          <w:szCs w:val="32"/>
          <w:highlight w:val="none"/>
          <w:shd w:val="clear" w:color="auto" w:fill="FFFFFF"/>
        </w:rPr>
        <w:t>2024年度本单位政府采购支出总额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0.00万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0%。2024年度我单位未发生政府采购事项，无相关经费支出。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lang w:val="en-US" w:eastAsia="zh-CN" w:bidi="ar-SA"/>
        </w:rPr>
      </w:pPr>
      <w:r>
        <w:rPr>
          <w:rStyle w:val="12"/>
          <w:rFonts w:hint="default" w:ascii="Times New Roman" w:hAnsi="Times New Roman" w:eastAsia="黑体" w:cs="Times New Roman"/>
          <w:sz w:val="32"/>
          <w:szCs w:val="32"/>
          <w:highlight w:val="none"/>
          <w:shd w:val="clear" w:color="auto" w:fill="FFFFFF"/>
          <w:lang w:val="en-US" w:eastAsia="zh-CN" w:bidi="ar-SA"/>
        </w:rPr>
        <w:t>五、2024年度预算绩效管理情况说明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（一）单位自评情况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shd w:val="clear" w:color="auto" w:fill="FFFFFF"/>
          <w:lang w:val="en-US" w:eastAsia="zh-CN" w:bidi="ar"/>
        </w:rPr>
        <w:t xml:space="preserve">  </w:t>
      </w:r>
      <w:r>
        <w:rPr>
          <w:rFonts w:hint="default" w:ascii="Times New Roman" w:hAnsi="Times New Roman" w:eastAsia="方正仿宋_GBK" w:cs="Times New Roman"/>
          <w:sz w:val="32"/>
          <w:szCs w:val="32"/>
          <w:highlight w:val="none"/>
          <w:shd w:val="clear" w:color="auto" w:fill="FFFFFF"/>
          <w:lang w:eastAsia="zh-CN" w:bidi="ar"/>
        </w:rPr>
        <w:t>我</w:t>
      </w:r>
      <w:r>
        <w:rPr>
          <w:rFonts w:hint="default" w:ascii="Times New Roman" w:hAnsi="Times New Roman" w:eastAsia="方正仿宋_GBK" w:cs="Times New Roman"/>
          <w:sz w:val="32"/>
          <w:szCs w:val="32"/>
          <w:highlight w:val="none"/>
          <w:shd w:val="clear" w:color="auto" w:fill="FFFFFF"/>
          <w:lang w:bidi="ar"/>
        </w:rPr>
        <w:t>单位</w:t>
      </w:r>
      <w:r>
        <w:rPr>
          <w:rFonts w:hint="default" w:ascii="Times New Roman" w:hAnsi="Times New Roman" w:eastAsia="方正仿宋_GBK" w:cs="Times New Roman"/>
          <w:sz w:val="32"/>
          <w:szCs w:val="32"/>
          <w:highlight w:val="none"/>
          <w:shd w:val="clear" w:color="auto" w:fill="FFFFFF"/>
          <w:lang w:val="en-US" w:eastAsia="zh-CN" w:bidi="ar"/>
        </w:rPr>
        <w:t>2024年度</w:t>
      </w:r>
      <w:r>
        <w:rPr>
          <w:rFonts w:hint="default" w:ascii="Times New Roman" w:hAnsi="Times New Roman" w:eastAsia="方正仿宋_GBK" w:cs="Times New Roman"/>
          <w:sz w:val="32"/>
          <w:szCs w:val="32"/>
          <w:highlight w:val="none"/>
          <w:shd w:val="clear" w:color="auto" w:fill="FFFFFF"/>
          <w:lang w:eastAsia="zh-CN" w:bidi="ar"/>
        </w:rPr>
        <w:t>无财政拨款项目支出。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（二）</w:t>
      </w:r>
      <w:r>
        <w:rPr>
          <w:rFonts w:hint="default" w:ascii="Times New Roman" w:hAnsi="Times New Roman" w:eastAsia="楷体" w:cs="Times New Roman"/>
          <w:b/>
          <w:bCs/>
          <w:kern w:val="0"/>
          <w:sz w:val="32"/>
          <w:szCs w:val="32"/>
          <w:highlight w:val="none"/>
          <w:shd w:val="clear" w:fill="FFFFFF"/>
          <w:lang w:val="en-US" w:eastAsia="zh-CN"/>
        </w:rPr>
        <w:t>单位</w:t>
      </w:r>
      <w:r>
        <w:rPr>
          <w:rFonts w:hint="default" w:ascii="Times New Roman" w:hAnsi="Times New Roman" w:eastAsia="楷体" w:cs="Times New Roman"/>
          <w:b/>
          <w:bCs/>
          <w:kern w:val="0"/>
          <w:sz w:val="32"/>
          <w:szCs w:val="32"/>
          <w:highlight w:val="none"/>
          <w:shd w:val="clear" w:fill="FFFFFF"/>
        </w:rPr>
        <w:t>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highlight w:val="none"/>
          <w:shd w:val="clear" w:color="auto" w:fill="FFFFFF"/>
          <w:lang w:eastAsia="zh-CN"/>
        </w:rPr>
      </w:pPr>
      <w:r>
        <w:rPr>
          <w:rFonts w:hint="default" w:ascii="Times New Roman" w:hAnsi="Times New Roman" w:eastAsia="方正仿宋_GBK" w:cs="Times New Roman"/>
          <w:kern w:val="0"/>
          <w:sz w:val="32"/>
          <w:szCs w:val="32"/>
          <w:highlight w:val="none"/>
          <w:shd w:val="clear" w:color="auto" w:fill="FFFFFF"/>
        </w:rPr>
        <w:t>我单位</w:t>
      </w:r>
      <w:r>
        <w:rPr>
          <w:rFonts w:hint="default" w:ascii="Times New Roman" w:hAnsi="Times New Roman" w:eastAsia="方正仿宋_GBK" w:cs="Times New Roman"/>
          <w:kern w:val="0"/>
          <w:sz w:val="32"/>
          <w:szCs w:val="32"/>
          <w:highlight w:val="none"/>
          <w:shd w:val="clear" w:color="auto" w:fill="FFFFFF"/>
          <w:lang w:eastAsia="zh-CN"/>
        </w:rPr>
        <w:t>未组织开展绩效评价。</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方正仿宋_GBK" w:cs="Times New Roman"/>
          <w:b w:val="0"/>
          <w:bCs w:val="0"/>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sz w:val="32"/>
          <w:szCs w:val="32"/>
          <w:highlight w:val="none"/>
          <w:shd w:val="clear" w:color="auto" w:fill="FFFFFF"/>
          <w:lang w:eastAsia="zh-CN" w:bidi="ar"/>
        </w:rPr>
        <w:t>县</w:t>
      </w:r>
      <w:r>
        <w:rPr>
          <w:rFonts w:hint="default" w:ascii="Times New Roman" w:hAnsi="Times New Roman" w:eastAsia="方正仿宋_GBK" w:cs="Times New Roman"/>
          <w:sz w:val="32"/>
          <w:szCs w:val="32"/>
          <w:highlight w:val="none"/>
          <w:shd w:val="clear" w:color="auto" w:fill="FFFFFF"/>
          <w:lang w:bidi="ar"/>
        </w:rPr>
        <w:t>财政局</w:t>
      </w:r>
      <w:r>
        <w:rPr>
          <w:rFonts w:hint="default" w:ascii="Times New Roman" w:hAnsi="Times New Roman" w:eastAsia="方正仿宋_GBK" w:cs="Times New Roman"/>
          <w:sz w:val="32"/>
          <w:szCs w:val="32"/>
          <w:highlight w:val="none"/>
          <w:shd w:val="clear" w:color="auto" w:fill="FFFFFF"/>
          <w:lang w:eastAsia="zh-CN" w:bidi="ar"/>
        </w:rPr>
        <w:t>未</w:t>
      </w:r>
      <w:r>
        <w:rPr>
          <w:rFonts w:hint="default" w:ascii="Times New Roman" w:hAnsi="Times New Roman" w:eastAsia="方正仿宋_GBK" w:cs="Times New Roman"/>
          <w:sz w:val="32"/>
          <w:szCs w:val="32"/>
          <w:highlight w:val="none"/>
          <w:shd w:val="clear" w:color="auto" w:fill="FFFFFF"/>
          <w:lang w:bidi="ar"/>
        </w:rPr>
        <w:t>委托第三方对</w:t>
      </w:r>
      <w:r>
        <w:rPr>
          <w:rFonts w:hint="default" w:ascii="Times New Roman" w:hAnsi="Times New Roman" w:eastAsia="方正仿宋_GBK" w:cs="Times New Roman"/>
          <w:color w:val="auto"/>
          <w:sz w:val="32"/>
          <w:szCs w:val="32"/>
          <w:highlight w:val="none"/>
          <w:shd w:val="clear" w:color="auto" w:fill="FFFFFF"/>
          <w:lang w:bidi="ar"/>
        </w:rPr>
        <w:t>我单位</w:t>
      </w:r>
      <w:r>
        <w:rPr>
          <w:rFonts w:hint="default" w:ascii="Times New Roman" w:hAnsi="Times New Roman" w:eastAsia="方正仿宋_GBK" w:cs="Times New Roman"/>
          <w:sz w:val="32"/>
          <w:szCs w:val="32"/>
          <w:highlight w:val="none"/>
          <w:shd w:val="clear" w:color="auto" w:fill="FFFFFF"/>
          <w:lang w:bidi="ar"/>
        </w:rPr>
        <w:t>开展绩效评价</w:t>
      </w:r>
      <w:r>
        <w:rPr>
          <w:rFonts w:hint="default" w:ascii="Times New Roman" w:hAnsi="Times New Roman" w:eastAsia="方正仿宋_GBK" w:cs="Times New Roman"/>
          <w:sz w:val="32"/>
          <w:szCs w:val="32"/>
          <w:highlight w:val="none"/>
          <w:shd w:val="clear" w:color="auto" w:fill="FFFFFF"/>
          <w:lang w:eastAsia="zh-CN" w:bidi="ar"/>
        </w:rPr>
        <w:t>。</w:t>
      </w:r>
    </w:p>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5"/>
          <w:rFonts w:hint="default" w:ascii="Times New Roman" w:hAnsi="Times New Roman" w:eastAsia="方正仿宋_GBK" w:cs="Times New Roman"/>
          <w:b/>
          <w:bCs/>
          <w:sz w:val="32"/>
          <w:szCs w:val="32"/>
          <w:highlight w:val="none"/>
          <w:shd w:val="clear" w:fill="FFFFFF"/>
        </w:rPr>
        <w:t xml:space="preserve"> </w:t>
      </w:r>
      <w:r>
        <w:rPr>
          <w:rStyle w:val="15"/>
          <w:rFonts w:hint="default" w:ascii="Times New Roman" w:hAnsi="Times New Roman" w:eastAsia="方正仿宋_GBK" w:cs="Times New Roman"/>
          <w:b/>
          <w:bCs/>
          <w:sz w:val="32"/>
          <w:szCs w:val="32"/>
          <w:highlight w:val="none"/>
          <w:shd w:val="clear" w:fill="FFFFFF"/>
          <w:lang w:val="en-US" w:eastAsia="zh-CN"/>
        </w:rPr>
        <w:t xml:space="preserve">  </w:t>
      </w:r>
      <w:r>
        <w:rPr>
          <w:rStyle w:val="12"/>
          <w:rFonts w:hint="default" w:ascii="Times New Roman" w:hAnsi="Times New Roman" w:eastAsia="黑体" w:cs="Times New Roman"/>
          <w:sz w:val="32"/>
          <w:szCs w:val="32"/>
          <w:highlight w:val="none"/>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eastAsia" w:ascii="Times New Roman" w:hAnsi="Times New Roman" w:eastAsia="方正仿宋_GBK" w:cs="Times New Roman"/>
          <w:kern w:val="0"/>
          <w:sz w:val="32"/>
          <w:szCs w:val="32"/>
          <w:highlight w:val="none"/>
          <w:shd w:val="clear" w:fill="FFFFFF"/>
          <w:lang w:eastAsia="zh-CN"/>
        </w:rPr>
        <w:t>交纳</w:t>
      </w:r>
      <w:r>
        <w:rPr>
          <w:rFonts w:hint="default" w:ascii="Times New Roman" w:hAnsi="Times New Roman" w:eastAsia="方正仿宋_GBK" w:cs="Times New Roman"/>
          <w:kern w:val="0"/>
          <w:sz w:val="32"/>
          <w:szCs w:val="32"/>
          <w:highlight w:val="none"/>
          <w:shd w:val="clear" w:fill="FFFFFF"/>
        </w:rPr>
        <w:t>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highlight w:val="none"/>
          <w:shd w:val="clear" w:fill="FFFFFF"/>
          <w:lang w:eastAsia="zh-CN"/>
        </w:rPr>
        <w:t>交纳</w:t>
      </w:r>
      <w:r>
        <w:rPr>
          <w:rFonts w:hint="default" w:ascii="Times New Roman" w:hAnsi="Times New Roman" w:eastAsia="方正仿宋_GBK" w:cs="Times New Roman"/>
          <w:kern w:val="0"/>
          <w:sz w:val="32"/>
          <w:szCs w:val="32"/>
          <w:highlight w:val="none"/>
          <w:shd w:val="clear" w:fill="FFFFFF"/>
        </w:rPr>
        <w:t>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黑体" w:cs="Times New Roman"/>
          <w:sz w:val="32"/>
          <w:szCs w:val="32"/>
          <w:highlight w:val="none"/>
          <w:shd w:val="clear" w:color="auto" w:fill="FFFFFF"/>
          <w:lang w:val="en-US" w:eastAsia="zh-CN" w:bidi="ar-SA"/>
        </w:rPr>
        <w:t>七、决算公开联系方式及信息反馈渠道</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shd w:val="clear" w:fill="FFFFFF"/>
        </w:rPr>
        <w:t>本单位决算公开信息反馈和联系方式：</w:t>
      </w:r>
      <w:r>
        <w:rPr>
          <w:rFonts w:hint="default" w:ascii="Times New Roman" w:hAnsi="Times New Roman" w:eastAsia="方正仿宋_GBK" w:cs="Times New Roman"/>
          <w:sz w:val="32"/>
          <w:szCs w:val="32"/>
          <w:highlight w:val="none"/>
          <w:shd w:val="clear" w:color="auto" w:fill="FFFFFF"/>
          <w:lang w:eastAsia="zh-CN"/>
        </w:rPr>
        <w:t>李老师</w:t>
      </w:r>
      <w:r>
        <w:rPr>
          <w:rFonts w:hint="default" w:ascii="Times New Roman" w:hAnsi="Times New Roman" w:eastAsia="方正仿宋_GBK" w:cs="Times New Roman"/>
          <w:sz w:val="32"/>
          <w:szCs w:val="32"/>
          <w:highlight w:val="none"/>
          <w:shd w:val="clear" w:color="auto" w:fill="FFFFFF"/>
          <w:lang w:val="en-US" w:eastAsia="zh-CN"/>
        </w:rPr>
        <w:t xml:space="preserve"> 023-74568702</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highlight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hint="default" w:ascii="Times New Roman" w:hAnsi="Times New Roman" w:eastAsia="方正仿宋_GBK" w:cs="Times New Roman"/>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highlight w:val="none"/>
              </w:rPr>
            </w:pPr>
            <w:r>
              <w:rPr>
                <w:rFonts w:hint="default" w:ascii="Times New Roman" w:hAnsi="Times New Roman" w:cs="Times New Roman"/>
                <w:sz w:val="20"/>
                <w:szCs w:val="20"/>
                <w:highlight w:val="none"/>
              </w:rPr>
              <w:t>单位：</w:t>
            </w:r>
            <w:r>
              <w:rPr>
                <w:rFonts w:hint="default" w:ascii="Times New Roman" w:hAnsi="Times New Roman" w:cs="Times New Roman"/>
                <w:sz w:val="20"/>
                <w:highlight w:val="none"/>
                <w:u w:color="auto"/>
              </w:rPr>
              <w:t>垫江县黄沙镇退役军人服务站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75.23</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66.07</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4.15</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75.23</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75.23</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75.23</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75.23</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1"/>
          <w:szCs w:val="21"/>
          <w:highlight w:val="none"/>
        </w:rPr>
      </w:pPr>
    </w:p>
    <w:p>
      <w:pPr>
        <w:spacing w:line="2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备注：1.本表反映单位本年度的总收支和年末结转结余情况。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sz w:val="20"/>
                <w:highlight w:val="none"/>
                <w:u w:color="auto"/>
              </w:rPr>
              <w:t>垫江县黄沙镇退役军人服务站</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75.23</w:t>
            </w:r>
            <w:r>
              <w:rPr>
                <w:rFonts w:hint="default" w:ascii="Times New Roman" w:hAnsi="Times New Roman" w:cs="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75.23</w:t>
            </w:r>
            <w:r>
              <w:rPr>
                <w:rFonts w:hint="default" w:ascii="Times New Roman" w:hAnsi="Times New Roman" w:cs="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66.07</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66.07</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13.11</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13.11</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8.73</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8.73</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4.38</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4.38</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52.96</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52.96</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2082850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52.96</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52.96</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ind w:left="600" w:hanging="600" w:hangingChars="300"/>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备注：1.本表反映单位本年度取得的各项收入情况。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 xml:space="preserve">垫江县黄沙镇退役军人服务站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75.23</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75.23</w:t>
            </w:r>
            <w:r>
              <w:rPr>
                <w:rFonts w:hint="default" w:ascii="Times New Roman" w:hAnsi="Times New Roman" w:cs="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66.07</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66.07</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13.11</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13.11</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8.73</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8.73</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4.38</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4.38</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52.96</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52.96</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2082850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52.96</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52.96</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备注：1.本表反映单位本年度各项支出情况。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pPr>
        <w:rPr>
          <w:rFonts w:hint="default" w:ascii="Times New Roman" w:hAnsi="Times New Roman" w:cs="Times New Roman"/>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垫江县黄沙镇退役军人服务站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66.07</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66.07</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4.15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4.15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75.23</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bl>
    <w:p>
      <w:pPr>
        <w:spacing w:line="2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r>
        <w:rPr>
          <w:rFonts w:hint="default" w:ascii="Times New Roman" w:hAnsi="Times New Roman" w:cs="Times New Roman"/>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75.23</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75.23</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66.07</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66.07</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13.11</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13.11</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8.73</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8.73</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4.38</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4.38</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52.96</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52.96</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52.96</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52.96</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4.15</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2.75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2.75</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1.40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1.40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5.01</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5.01</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备注：1.本表反映单位本年度一般公共预算财政拨款支出情况。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ind w:firstLine="630" w:firstLine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垫江县黄沙镇退役军人服务站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71.96</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3.27</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14.43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2.08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31.58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8.73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4.38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2.75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0.08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2.32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0.59</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0.32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0.41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71.96</w:t>
            </w:r>
            <w:r>
              <w:rPr>
                <w:rFonts w:hint="default" w:ascii="Times New Roman" w:hAnsi="Times New Roman" w:cs="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3.27</w:t>
            </w:r>
            <w:r>
              <w:rPr>
                <w:rFonts w:hint="default" w:ascii="Times New Roman" w:hAnsi="Times New Roman" w:cs="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备注：1.本表反映单位本年度一般公共预算财政拨款基本支出明细情况。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r>
        <w:rPr>
          <w:rFonts w:hint="default" w:ascii="Times New Roman" w:hAnsi="Times New Roman" w:cs="Times New Roman"/>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 xml:space="preserve">0.00 </w:t>
            </w:r>
          </w:p>
        </w:tc>
      </w:tr>
    </w:tbl>
    <w:p>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备注：本表反映单位本年度国有资本经营预算财政拨款支出情况。本单位无国有资本经营收支，故本表无数据。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highlight w:val="none"/>
              </w:rPr>
            </w:pPr>
            <w:r>
              <w:rPr>
                <w:rFonts w:hint="default" w:ascii="Times New Roman" w:hAnsi="Times New Roman" w:cs="Times New Roman"/>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highlight w:val="none"/>
              </w:rPr>
            </w:pPr>
            <w:r>
              <w:rPr>
                <w:rFonts w:hint="default" w:ascii="Times New Roman" w:hAnsi="Times New Roman" w:cs="Times New Roman"/>
                <w:color w:val="000000"/>
                <w:kern w:val="2"/>
                <w:sz w:val="20"/>
                <w:szCs w:val="20"/>
                <w:highlight w:val="none"/>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r>
              <w:rPr>
                <w:rFonts w:hint="default" w:ascii="Times New Roman" w:hAnsi="Times New Roman" w:cs="Times New Roman"/>
                <w:kern w:val="2"/>
                <w:sz w:val="20"/>
                <w:szCs w:val="20"/>
                <w:highlight w:val="none"/>
                <w:lang w:eastAsia="zh-CN"/>
              </w:rPr>
              <w:t>单位</w:t>
            </w:r>
            <w:r>
              <w:rPr>
                <w:rFonts w:hint="default" w:ascii="Times New Roman" w:hAnsi="Times New Roman" w:cs="Times New Roman"/>
                <w:color w:val="000000"/>
                <w:kern w:val="2"/>
                <w:sz w:val="20"/>
                <w:szCs w:val="20"/>
                <w:highlight w:val="none"/>
              </w:rPr>
              <w:t>：</w:t>
            </w:r>
            <w:r>
              <w:rPr>
                <w:rFonts w:hint="default" w:ascii="Times New Roman" w:hAnsi="Times New Roman" w:cs="Times New Roman"/>
                <w:color w:val="000000"/>
                <w:sz w:val="20"/>
                <w:highlight w:val="none"/>
                <w:u w:color="auto"/>
              </w:rPr>
              <w:t>垫江县黄沙镇退役军人服务站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highlight w:val="none"/>
              </w:rPr>
            </w:pPr>
            <w:r>
              <w:rPr>
                <w:rFonts w:hint="default" w:ascii="Times New Roman" w:hAnsi="Times New Roman" w:cs="Times New Roman"/>
                <w:color w:val="000000"/>
                <w:kern w:val="2"/>
                <w:sz w:val="20"/>
                <w:szCs w:val="20"/>
                <w:highlight w:val="none"/>
              </w:rPr>
              <w:t>单位：</w:t>
            </w:r>
            <w:r>
              <w:rPr>
                <w:rFonts w:hint="default" w:ascii="Times New Roman" w:hAnsi="Times New Roman" w:cs="Times New Roman"/>
                <w:kern w:val="2"/>
                <w:sz w:val="20"/>
                <w:szCs w:val="20"/>
                <w:highlight w:val="none"/>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highlight w:val="none"/>
              </w:rPr>
            </w:pPr>
            <w:r>
              <w:rPr>
                <w:rFonts w:hint="default" w:ascii="Times New Roman" w:hAnsi="Times New Roman" w:cs="Times New Roman"/>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2.53</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highlight w:val="none"/>
              </w:rPr>
            </w:pPr>
          </w:p>
        </w:tc>
      </w:tr>
    </w:tbl>
    <w:p>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highlight w:val="none"/>
        </w:rPr>
        <w:br w:type="textWrapping"/>
      </w:r>
      <w:r>
        <w:rPr>
          <w:rFonts w:hint="default" w:ascii="Times New Roman" w:hAnsi="Times New Roman" w:cs="Times New Roman"/>
          <w:sz w:val="18"/>
          <w:szCs w:val="18"/>
          <w:highlight w:val="none"/>
        </w:rPr>
        <w:t xml:space="preserve">      2.本套报表金额单位转换时可能存在尾数误差。</w:t>
      </w:r>
      <w:r>
        <w:rPr>
          <w:rFonts w:hint="default" w:ascii="Times New Roman" w:hAnsi="Times New Roman" w:cs="Times New Roman"/>
          <w:sz w:val="18"/>
          <w:szCs w:val="18"/>
          <w:highlight w:val="none"/>
        </w:rPr>
        <w:br w:type="textWrapping"/>
      </w:r>
      <w:r>
        <w:rPr>
          <w:rFonts w:hint="default" w:ascii="Times New Roman" w:hAnsi="Times New Roman" w:cs="Times New Roman"/>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0OTNkODc1MDQyNTU4ZWNjYmU3NWExNmUxZWU2NT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5F4168A"/>
    <w:rsid w:val="26396DF4"/>
    <w:rsid w:val="27167136"/>
    <w:rsid w:val="271B442C"/>
    <w:rsid w:val="27B23302"/>
    <w:rsid w:val="29310A5F"/>
    <w:rsid w:val="2968626A"/>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BA663E"/>
    <w:rsid w:val="36C9128A"/>
    <w:rsid w:val="37841E99"/>
    <w:rsid w:val="37BF1123"/>
    <w:rsid w:val="383C3F15"/>
    <w:rsid w:val="38BE4696"/>
    <w:rsid w:val="3939115E"/>
    <w:rsid w:val="39B82A39"/>
    <w:rsid w:val="39C42CA8"/>
    <w:rsid w:val="39D63A7C"/>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D40559"/>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962C4E"/>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1849BF"/>
    <w:rsid w:val="73934AD2"/>
    <w:rsid w:val="750837F0"/>
    <w:rsid w:val="754758CF"/>
    <w:rsid w:val="75595ECD"/>
    <w:rsid w:val="764F62AB"/>
    <w:rsid w:val="765C45EC"/>
    <w:rsid w:val="768A7619"/>
    <w:rsid w:val="76BD23AB"/>
    <w:rsid w:val="772E1EBA"/>
    <w:rsid w:val="77614D2D"/>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CFADCA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jc w:val="left"/>
    </w:pPr>
    <w:rPr>
      <w:rFonts w:eastAsia="仿宋_GB2312"/>
      <w:kern w:val="0"/>
      <w:sz w:val="32"/>
      <w:szCs w:val="20"/>
    </w:rPr>
  </w:style>
  <w:style w:type="paragraph" w:customStyle="1" w:styleId="3">
    <w:name w:val="默认"/>
    <w:autoRedefine/>
    <w:qFormat/>
    <w:uiPriority w:val="99"/>
    <w:rPr>
      <w:rFonts w:ascii="Helvetica" w:hAnsi="Helvetica" w:eastAsia="宋体" w:cs="Helvetica"/>
      <w:color w:val="000000"/>
      <w:sz w:val="22"/>
      <w:szCs w:val="22"/>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autoRedefine/>
    <w:qFormat/>
    <w:uiPriority w:val="0"/>
    <w:rPr>
      <w:rFonts w:hint="default" w:ascii="Wingdings" w:hAnsi="Wingdings" w:cs="Wingdings"/>
      <w:b/>
      <w:bCs/>
    </w:rPr>
  </w:style>
  <w:style w:type="paragraph" w:customStyle="1" w:styleId="16">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autoRedefine/>
    <w:qFormat/>
    <w:uiPriority w:val="0"/>
    <w:rPr>
      <w:rFonts w:ascii="宋体" w:hAnsi="宋体"/>
      <w:sz w:val="18"/>
      <w:szCs w:val="18"/>
    </w:rPr>
  </w:style>
  <w:style w:type="paragraph" w:customStyle="1" w:styleId="18">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8165</Words>
  <Characters>10118</Characters>
  <Lines>186</Lines>
  <Paragraphs>52</Paragraphs>
  <TotalTime>3</TotalTime>
  <ScaleCrop>false</ScaleCrop>
  <LinksUpToDate>false</LinksUpToDate>
  <CharactersWithSpaces>11111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cp:lastModifiedBy>
  <dcterms:modified xsi:type="dcterms:W3CDTF">2025-09-18T07:38:18Z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