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垫江县黄沙镇综合行政执法大队</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2024年度决算公开说明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一、</w:t>
      </w:r>
      <w:r>
        <w:rPr>
          <w:rStyle w:val="12"/>
          <w:rFonts w:hint="default" w:ascii="Times New Roman" w:hAnsi="Times New Roman" w:eastAsia="黑体" w:cs="Times New Roman"/>
          <w:sz w:val="32"/>
          <w:szCs w:val="32"/>
          <w:highlight w:val="none"/>
          <w:shd w:val="clear" w:color="auto" w:fill="FFFFFF"/>
          <w:lang w:eastAsia="zh-CN"/>
        </w:rPr>
        <w:t>单位</w:t>
      </w:r>
      <w:r>
        <w:rPr>
          <w:rStyle w:val="12"/>
          <w:rFonts w:hint="default" w:ascii="Times New Roman" w:hAnsi="Times New Roman" w:eastAsia="黑体" w:cs="Times New Roman"/>
          <w:sz w:val="32"/>
          <w:szCs w:val="32"/>
          <w:highlight w:val="none"/>
          <w:shd w:val="clear" w:color="auto" w:fill="FFFFFF"/>
        </w:rPr>
        <w:t>基本情况</w:t>
      </w:r>
    </w:p>
    <w:p>
      <w:pPr>
        <w:pStyle w:val="8"/>
        <w:keepNext w:val="0"/>
        <w:keepLines w:val="0"/>
        <w:pageBreakBefore w:val="0"/>
        <w:shd w:val="clear" w:color="auto" w:fill="FFFFFF"/>
        <w:kinsoku/>
        <w:wordWrap/>
        <w:overflowPunct/>
        <w:topLinePunct w:val="0"/>
        <w:autoSpaceDN/>
        <w:bidi w:val="0"/>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楷体" w:cs="Times New Roman"/>
          <w:sz w:val="32"/>
          <w:szCs w:val="32"/>
          <w:highlight w:val="none"/>
          <w:shd w:val="clear" w:color="auto" w:fill="FFFFFF"/>
        </w:rPr>
        <w:t>（一）职能职责</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综合行政执法办公室负责综合行政执法方面法律、法规和规章的宣传教育、集中行使依法授权或委托的行政执法权、配合县行政主管部门做好行政执法等工作；负责配合综合行政执法办公室做好有关农林水利、规划建设、卫生健康、市容环卫、环境保护、文化旅游、民政管理等方面的执法工作</w:t>
      </w:r>
      <w:r>
        <w:rPr>
          <w:rFonts w:hint="default" w:ascii="Times New Roman" w:hAnsi="Times New Roman" w:eastAsia="方正仿宋_GBK" w:cs="Times New Roman"/>
          <w:color w:val="auto"/>
          <w:sz w:val="32"/>
          <w:szCs w:val="32"/>
          <w:highlight w:val="none"/>
          <w:shd w:val="clear" w:color="auto" w:fill="FFFFFF"/>
          <w:lang w:eastAsia="zh-CN"/>
        </w:rPr>
        <w:t>。</w:t>
      </w:r>
    </w:p>
    <w:p>
      <w:pPr>
        <w:pStyle w:val="8"/>
        <w:keepNext w:val="0"/>
        <w:keepLines w:val="0"/>
        <w:pageBreakBefore w:val="0"/>
        <w:shd w:val="clear" w:color="auto" w:fill="FFFFFF"/>
        <w:kinsoku/>
        <w:wordWrap/>
        <w:overflowPunct/>
        <w:topLinePunct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sz w:val="32"/>
          <w:szCs w:val="32"/>
          <w:highlight w:val="none"/>
        </w:rPr>
      </w:pPr>
      <w:r>
        <w:rPr>
          <w:rStyle w:val="12"/>
          <w:rFonts w:hint="default" w:ascii="Times New Roman" w:hAnsi="Times New Roman" w:eastAsia="楷体" w:cs="Times New Roman"/>
          <w:sz w:val="32"/>
          <w:szCs w:val="32"/>
          <w:highlight w:val="none"/>
          <w:shd w:val="clear" w:color="auto" w:fill="FFFFFF"/>
        </w:rPr>
        <w:t>（二）机构设置</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垫江县黄沙镇综合行政执法大队，隶属县黄沙镇政府管理的相当于行政股级的公益一类财政全额拨款事业单位，不能设置内设机构。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二、</w:t>
      </w:r>
      <w:r>
        <w:rPr>
          <w:rStyle w:val="12"/>
          <w:rFonts w:hint="default" w:ascii="Times New Roman" w:hAnsi="Times New Roman" w:eastAsia="黑体" w:cs="Times New Roman"/>
          <w:sz w:val="32"/>
          <w:szCs w:val="32"/>
          <w:highlight w:val="none"/>
          <w:shd w:val="clear" w:color="auto" w:fill="FFFFFF"/>
          <w:lang w:eastAsia="zh-CN"/>
        </w:rPr>
        <w:t>单位</w:t>
      </w:r>
      <w:r>
        <w:rPr>
          <w:rStyle w:val="12"/>
          <w:rFonts w:hint="default" w:ascii="Times New Roman" w:hAnsi="Times New Roman" w:eastAsia="黑体" w:cs="Times New Roman"/>
          <w:sz w:val="32"/>
          <w:szCs w:val="32"/>
          <w:highlight w:val="none"/>
          <w:shd w:val="clear" w:color="auto" w:fill="FFFFFF"/>
        </w:rPr>
        <w:t>决算</w:t>
      </w:r>
      <w:r>
        <w:rPr>
          <w:rStyle w:val="12"/>
          <w:rFonts w:hint="default" w:ascii="Times New Roman" w:hAnsi="Times New Roman" w:eastAsia="黑体" w:cs="Times New Roman"/>
          <w:sz w:val="32"/>
          <w:szCs w:val="32"/>
          <w:highlight w:val="none"/>
          <w:shd w:val="clear" w:color="auto" w:fill="FFFFFF"/>
          <w:lang w:eastAsia="zh-CN"/>
        </w:rPr>
        <w:t>收支</w:t>
      </w:r>
      <w:r>
        <w:rPr>
          <w:rStyle w:val="12"/>
          <w:rFonts w:hint="default" w:ascii="Times New Roman" w:hAnsi="Times New Roman" w:eastAsia="黑体" w:cs="Times New Roman"/>
          <w:sz w:val="32"/>
          <w:szCs w:val="32"/>
          <w:highlight w:val="none"/>
          <w:shd w:val="clear" w:color="auto" w:fill="FFFFFF"/>
        </w:rPr>
        <w:t>情况说明</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（一）收入支出决算总体情况说明。</w:t>
      </w:r>
    </w:p>
    <w:p>
      <w:pPr>
        <w:pStyle w:val="8"/>
        <w:keepNext w:val="0"/>
        <w:keepLines w:val="0"/>
        <w:pageBreakBefore w:val="0"/>
        <w:shd w:val="clear" w:color="auto" w:fill="FFFFFF"/>
        <w:kinsoku/>
        <w:wordWrap/>
        <w:overflowPunct/>
        <w:topLinePunct w:val="0"/>
        <w:autoSpaceDN/>
        <w:bidi w:val="0"/>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度收入总计127.09万元，支出总计</w:t>
      </w:r>
      <w:r>
        <w:rPr>
          <w:rFonts w:hint="default" w:ascii="Times New Roman" w:hAnsi="Times New Roman" w:eastAsia="方正仿宋_GBK" w:cs="Times New Roman"/>
          <w:sz w:val="32"/>
          <w:szCs w:val="32"/>
          <w:highlight w:val="none"/>
        </w:rPr>
        <w:t>127.09</w:t>
      </w:r>
      <w:r>
        <w:rPr>
          <w:rFonts w:hint="default" w:ascii="Times New Roman" w:hAnsi="Times New Roman" w:eastAsia="方正仿宋_GBK" w:cs="Times New Roman"/>
          <w:sz w:val="32"/>
          <w:szCs w:val="32"/>
          <w:highlight w:val="none"/>
          <w:shd w:val="clear" w:color="auto" w:fill="FFFFFF"/>
        </w:rPr>
        <w:t>万元。收、支与2023年度相比，增加13.67万元，增长12</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w:t>
      </w:r>
      <w:bookmarkStart w:id="0" w:name="OLE_LINK1"/>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及人员工资调标。</w:t>
      </w:r>
    </w:p>
    <w:bookmarkEnd w:id="0"/>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度收入合计127.09万元，与2023年度相比，增加13.67万元，增长12</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w:t>
      </w:r>
      <w:bookmarkStart w:id="1" w:name="OLE_LINK2"/>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及人员工资调标。</w:t>
      </w:r>
      <w:bookmarkEnd w:id="1"/>
      <w:r>
        <w:rPr>
          <w:rFonts w:hint="default" w:ascii="Times New Roman" w:hAnsi="Times New Roman" w:eastAsia="方正仿宋_GBK" w:cs="Times New Roman"/>
          <w:sz w:val="32"/>
          <w:szCs w:val="32"/>
          <w:highlight w:val="none"/>
          <w:shd w:val="clear" w:color="auto" w:fill="FFFFFF"/>
        </w:rPr>
        <w:t>其中：财政拨款收入</w:t>
      </w:r>
      <w:r>
        <w:rPr>
          <w:rFonts w:hint="default" w:ascii="Times New Roman" w:hAnsi="Times New Roman" w:eastAsia="方正仿宋_GBK" w:cs="Times New Roman"/>
          <w:sz w:val="32"/>
          <w:szCs w:val="32"/>
          <w:highlight w:val="none"/>
        </w:rPr>
        <w:t>127.09</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default" w:ascii="Times New Roman" w:hAnsi="Times New Roman" w:eastAsia="方正仿宋_GBK" w:cs="Times New Roman"/>
          <w:sz w:val="32"/>
          <w:szCs w:val="32"/>
          <w:highlight w:val="none"/>
        </w:rPr>
        <w:t>127.09</w:t>
      </w:r>
      <w:r>
        <w:rPr>
          <w:rFonts w:hint="default" w:ascii="Times New Roman" w:hAnsi="Times New Roman" w:eastAsia="方正仿宋_GBK" w:cs="Times New Roman"/>
          <w:sz w:val="32"/>
          <w:szCs w:val="32"/>
          <w:highlight w:val="none"/>
          <w:shd w:val="clear" w:color="auto" w:fill="FFFFFF"/>
        </w:rPr>
        <w:t>万元，与2023年度相比，增加13.67万元，增长12</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及人员工资调标。</w:t>
      </w:r>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127.09</w:t>
      </w:r>
      <w:r>
        <w:rPr>
          <w:rFonts w:hint="default" w:ascii="Times New Roman" w:hAnsi="Times New Roman" w:eastAsia="方正仿宋_GBK" w:cs="Times New Roman"/>
          <w:sz w:val="32"/>
          <w:szCs w:val="32"/>
          <w:highlight w:val="none"/>
          <w:shd w:val="clear" w:color="auto" w:fill="FFFFFF"/>
        </w:rPr>
        <w:t>万元，占100.00%；项目支出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firstLine="643" w:firstLineChars="200"/>
        <w:jc w:val="both"/>
        <w:textAlignment w:val="auto"/>
        <w:outlineLvl w:val="9"/>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w:t>
      </w:r>
      <w:bookmarkStart w:id="2" w:name="OLE_LINK3"/>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val="en-US" w:eastAsia="zh-CN"/>
        </w:rPr>
        <w:t>本年度未产生结转结余。</w:t>
      </w:r>
    </w:p>
    <w:bookmarkEnd w:id="2"/>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（二）财政拨款收入支出决算总体情况说明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度财政拨款收、支总计127.09万元。与202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年相比，财政拨款收、支总计各增加13.67万元，增长12</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及人员工资调标。</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（三）一般公共预算财政拨款收入支出决算情况说明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127.09</w:t>
      </w:r>
      <w:r>
        <w:rPr>
          <w:rFonts w:hint="default" w:ascii="Times New Roman" w:hAnsi="Times New Roman" w:eastAsia="方正仿宋_GBK" w:cs="Times New Roman"/>
          <w:sz w:val="32"/>
          <w:szCs w:val="32"/>
          <w:highlight w:val="none"/>
          <w:shd w:val="clear" w:color="auto" w:fill="FFFFFF"/>
        </w:rPr>
        <w:t>万元，与2023年度相比，增加13.67万元，增长12</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及人员工资调标。</w:t>
      </w:r>
      <w:r>
        <w:rPr>
          <w:rFonts w:hint="default" w:ascii="Times New Roman" w:hAnsi="Times New Roman" w:eastAsia="方正仿宋_GBK" w:cs="Times New Roman"/>
          <w:sz w:val="32"/>
          <w:szCs w:val="32"/>
          <w:highlight w:val="none"/>
          <w:shd w:val="clear" w:color="auto" w:fill="FFFFFF"/>
        </w:rPr>
        <w:t>较年初预算数增加21.57万元，增长20</w:t>
      </w:r>
      <w:r>
        <w:rPr>
          <w:rFonts w:hint="default" w:ascii="Times New Roman" w:hAnsi="Times New Roman" w:eastAsia="方正仿宋_GBK" w:cs="Times New Roman"/>
          <w:sz w:val="32"/>
          <w:szCs w:val="32"/>
          <w:highlight w:val="none"/>
          <w:shd w:val="clear" w:color="auto" w:fill="FFFFFF"/>
          <w:lang w:eastAsia="zh-CN"/>
        </w:rPr>
        <w:t>.40%</w:t>
      </w:r>
      <w:r>
        <w:rPr>
          <w:rFonts w:hint="default" w:ascii="Times New Roman" w:hAnsi="Times New Roman" w:eastAsia="方正仿宋_GBK" w:cs="Times New Roman"/>
          <w:sz w:val="32"/>
          <w:szCs w:val="32"/>
          <w:highlight w:val="none"/>
          <w:shd w:val="clear" w:color="auto" w:fill="FFFFFF"/>
        </w:rPr>
        <w:t>。主要原因是机构改革</w:t>
      </w:r>
      <w:r>
        <w:rPr>
          <w:rFonts w:hint="default" w:ascii="Times New Roman" w:hAnsi="Times New Roman" w:eastAsia="方正仿宋_GBK" w:cs="Times New Roman"/>
          <w:sz w:val="32"/>
          <w:szCs w:val="32"/>
          <w:highlight w:val="none"/>
          <w:shd w:val="clear" w:color="auto" w:fill="FFFFFF"/>
          <w:lang w:eastAsia="zh-CN"/>
        </w:rPr>
        <w:t>年中</w:t>
      </w:r>
      <w:r>
        <w:rPr>
          <w:rFonts w:hint="default" w:ascii="Times New Roman" w:hAnsi="Times New Roman" w:eastAsia="方正仿宋_GBK" w:cs="Times New Roman"/>
          <w:sz w:val="32"/>
          <w:szCs w:val="32"/>
          <w:highlight w:val="none"/>
          <w:shd w:val="clear" w:color="auto" w:fill="FFFFFF"/>
        </w:rPr>
        <w:t>人员调入</w:t>
      </w:r>
      <w:r>
        <w:rPr>
          <w:rFonts w:hint="default" w:ascii="Times New Roman" w:hAnsi="Times New Roman" w:eastAsia="方正仿宋_GBK" w:cs="Times New Roman"/>
          <w:sz w:val="32"/>
          <w:szCs w:val="32"/>
          <w:highlight w:val="none"/>
          <w:shd w:val="clear" w:color="auto" w:fill="FFFFFF"/>
          <w:lang w:eastAsia="zh-CN"/>
        </w:rPr>
        <w:t>及人员工资调标。</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Style w:val="12"/>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127.09</w:t>
      </w:r>
      <w:r>
        <w:rPr>
          <w:rFonts w:hint="default" w:ascii="Times New Roman" w:hAnsi="Times New Roman" w:eastAsia="方正仿宋_GBK" w:cs="Times New Roman"/>
          <w:sz w:val="32"/>
          <w:szCs w:val="32"/>
          <w:highlight w:val="none"/>
          <w:shd w:val="clear" w:color="auto" w:fill="FFFFFF"/>
        </w:rPr>
        <w:t>万元，与2023年度相比，增加13.67万元，增长12</w:t>
      </w:r>
      <w:r>
        <w:rPr>
          <w:rFonts w:hint="default" w:ascii="Times New Roman" w:hAnsi="Times New Roman" w:eastAsia="方正仿宋_GBK" w:cs="Times New Roman"/>
          <w:sz w:val="32"/>
          <w:szCs w:val="32"/>
          <w:highlight w:val="none"/>
          <w:shd w:val="clear" w:color="auto" w:fill="FFFFFF"/>
          <w:lang w:eastAsia="zh-CN"/>
        </w:rPr>
        <w:t>.10%</w:t>
      </w:r>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及人员工资调标。</w:t>
      </w:r>
      <w:r>
        <w:rPr>
          <w:rFonts w:hint="default" w:ascii="Times New Roman" w:hAnsi="Times New Roman" w:eastAsia="方正仿宋_GBK" w:cs="Times New Roman"/>
          <w:sz w:val="32"/>
          <w:szCs w:val="32"/>
          <w:highlight w:val="none"/>
          <w:shd w:val="clear" w:color="auto" w:fill="FFFFFF"/>
        </w:rPr>
        <w:t>较年初预算数增加21.57万元，增长20</w:t>
      </w:r>
      <w:r>
        <w:rPr>
          <w:rFonts w:hint="default" w:ascii="Times New Roman" w:hAnsi="Times New Roman" w:eastAsia="方正仿宋_GBK" w:cs="Times New Roman"/>
          <w:sz w:val="32"/>
          <w:szCs w:val="32"/>
          <w:highlight w:val="none"/>
          <w:shd w:val="clear" w:color="auto" w:fill="FFFFFF"/>
          <w:lang w:eastAsia="zh-CN"/>
        </w:rPr>
        <w:t>.40%</w:t>
      </w:r>
      <w:r>
        <w:rPr>
          <w:rFonts w:hint="default" w:ascii="Times New Roman" w:hAnsi="Times New Roman" w:eastAsia="方正仿宋_GBK" w:cs="Times New Roman"/>
          <w:sz w:val="32"/>
          <w:szCs w:val="32"/>
          <w:highlight w:val="none"/>
          <w:shd w:val="clear" w:color="auto" w:fill="FFFFFF"/>
        </w:rPr>
        <w:t>。主要原因是</w:t>
      </w:r>
      <w:bookmarkStart w:id="3" w:name="OLE_LINK4"/>
      <w:r>
        <w:rPr>
          <w:rFonts w:hint="default" w:ascii="Times New Roman" w:hAnsi="Times New Roman" w:eastAsia="方正仿宋_GBK" w:cs="Times New Roman"/>
          <w:sz w:val="32"/>
          <w:szCs w:val="32"/>
          <w:highlight w:val="none"/>
          <w:shd w:val="clear" w:color="auto" w:fill="FFFFFF"/>
        </w:rPr>
        <w:t>机构改革人员调入</w:t>
      </w:r>
      <w:bookmarkEnd w:id="3"/>
      <w:r>
        <w:rPr>
          <w:rFonts w:hint="default" w:ascii="Times New Roman" w:hAnsi="Times New Roman" w:eastAsia="方正仿宋_GBK" w:cs="Times New Roman"/>
          <w:sz w:val="32"/>
          <w:szCs w:val="32"/>
          <w:highlight w:val="none"/>
          <w:shd w:val="clear" w:color="auto" w:fill="FFFFFF"/>
          <w:lang w:eastAsia="zh-CN"/>
        </w:rPr>
        <w:t>及人员工资调标。</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firstLine="643" w:firstLineChars="200"/>
        <w:jc w:val="both"/>
        <w:textAlignment w:val="auto"/>
        <w:outlineLvl w:val="9"/>
        <w:rPr>
          <w:rFonts w:hint="default" w:ascii="Times New Roman" w:hAnsi="Times New Roman" w:eastAsia="方正仿宋_GBK" w:cs="Times New Roman"/>
          <w:sz w:val="32"/>
          <w:szCs w:val="32"/>
          <w:highlight w:val="none"/>
          <w:shd w:val="clear" w:color="auto" w:fill="FFFFFF"/>
        </w:rPr>
      </w:pPr>
      <w:r>
        <w:rPr>
          <w:rStyle w:val="12"/>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万元，与2023年度相比，无增减，主要原因是主要原因是</w:t>
      </w:r>
      <w:r>
        <w:rPr>
          <w:rFonts w:hint="default" w:ascii="Times New Roman" w:hAnsi="Times New Roman" w:eastAsia="方正仿宋_GBK" w:cs="Times New Roman"/>
          <w:sz w:val="32"/>
          <w:szCs w:val="32"/>
          <w:highlight w:val="none"/>
          <w:shd w:val="clear" w:color="auto" w:fill="FFFFFF"/>
          <w:lang w:val="en-US" w:eastAsia="zh-CN"/>
        </w:rPr>
        <w:t>本年度未产生结转结余。</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2"/>
          <w:rFonts w:hint="default" w:ascii="Times New Roman" w:hAnsi="Times New Roman" w:eastAsia="方正仿宋_GBK" w:cs="Times New Roman"/>
          <w:sz w:val="32"/>
          <w:szCs w:val="32"/>
          <w:highlight w:val="none"/>
          <w:shd w:val="clear" w:color="auto" w:fill="FFFFFF"/>
        </w:rPr>
        <w:t xml:space="preserve"> 4.比较情况。</w:t>
      </w:r>
      <w:r>
        <w:rPr>
          <w:rFonts w:hint="default" w:ascii="Times New Roman" w:hAnsi="Times New Roman" w:eastAsia="方正仿宋_GBK" w:cs="Times New Roman"/>
          <w:sz w:val="32"/>
          <w:szCs w:val="32"/>
          <w:highlight w:val="none"/>
          <w:shd w:val="clear" w:color="auto" w:fill="FFFFFF"/>
        </w:rPr>
        <w:t>本单位</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度一般公共预算财政拨款支出主要用于以下几个方面：</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22.75</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17.90</w:t>
      </w:r>
      <w:r>
        <w:rPr>
          <w:rFonts w:hint="default" w:ascii="Times New Roman" w:hAnsi="Times New Roman" w:eastAsia="方正仿宋_GBK" w:cs="Times New Roman"/>
          <w:sz w:val="32"/>
          <w:szCs w:val="32"/>
          <w:highlight w:val="none"/>
          <w:shd w:val="clear" w:color="auto" w:fill="FFFFFF"/>
        </w:rPr>
        <w:t>%，较年初预算数增加12.56万元，增长123</w:t>
      </w:r>
      <w:r>
        <w:rPr>
          <w:rFonts w:hint="default" w:ascii="Times New Roman" w:hAnsi="Times New Roman" w:eastAsia="方正仿宋_GBK" w:cs="Times New Roman"/>
          <w:sz w:val="32"/>
          <w:szCs w:val="32"/>
          <w:highlight w:val="none"/>
          <w:shd w:val="clear" w:color="auto" w:fill="FFFFFF"/>
          <w:lang w:eastAsia="zh-CN"/>
        </w:rPr>
        <w:t>.30%</w:t>
      </w:r>
      <w:r>
        <w:rPr>
          <w:rFonts w:hint="default" w:ascii="Times New Roman" w:hAnsi="Times New Roman" w:eastAsia="方正仿宋_GBK" w:cs="Times New Roman"/>
          <w:sz w:val="32"/>
          <w:szCs w:val="32"/>
          <w:highlight w:val="none"/>
          <w:shd w:val="clear" w:color="auto" w:fill="FFFFFF"/>
        </w:rPr>
        <w:t>，</w:t>
      </w:r>
      <w:bookmarkStart w:id="4" w:name="OLE_LINK5"/>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w:t>
      </w:r>
      <w:r>
        <w:rPr>
          <w:rFonts w:hint="default" w:ascii="Times New Roman" w:hAnsi="Times New Roman" w:eastAsia="方正仿宋_GBK" w:cs="Times New Roman"/>
          <w:sz w:val="32"/>
          <w:szCs w:val="32"/>
          <w:highlight w:val="none"/>
          <w:shd w:val="clear" w:color="auto" w:fill="FFFFFF"/>
        </w:rPr>
        <w:t>五险二金基数调标,同时补交2022</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2023年调高部分。</w:t>
      </w:r>
    </w:p>
    <w:bookmarkEnd w:id="4"/>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6.62</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5.21</w:t>
      </w:r>
      <w:r>
        <w:rPr>
          <w:rFonts w:hint="default" w:ascii="Times New Roman" w:hAnsi="Times New Roman" w:eastAsia="方正仿宋_GBK" w:cs="Times New Roman"/>
          <w:sz w:val="32"/>
          <w:szCs w:val="32"/>
          <w:highlight w:val="none"/>
          <w:shd w:val="clear" w:color="auto" w:fill="FFFFFF"/>
        </w:rPr>
        <w:t>%，较年初预算数增加2.37万元，增长55</w:t>
      </w:r>
      <w:r>
        <w:rPr>
          <w:rFonts w:hint="default" w:ascii="Times New Roman" w:hAnsi="Times New Roman" w:eastAsia="方正仿宋_GBK" w:cs="Times New Roman"/>
          <w:sz w:val="32"/>
          <w:szCs w:val="32"/>
          <w:highlight w:val="none"/>
          <w:shd w:val="clear" w:color="auto" w:fill="FFFFFF"/>
          <w:lang w:eastAsia="zh-CN"/>
        </w:rPr>
        <w:t>.80%</w:t>
      </w:r>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w:t>
      </w:r>
      <w:r>
        <w:rPr>
          <w:rFonts w:hint="default" w:ascii="Times New Roman" w:hAnsi="Times New Roman" w:eastAsia="方正仿宋_GBK" w:cs="Times New Roman"/>
          <w:sz w:val="32"/>
          <w:szCs w:val="32"/>
          <w:highlight w:val="none"/>
          <w:shd w:val="clear" w:color="auto" w:fill="FFFFFF"/>
        </w:rPr>
        <w:t>五险二金基数调标,同时补交2022</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2023年调高部分。</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）城乡社区支出</w:t>
      </w:r>
      <w:r>
        <w:rPr>
          <w:rFonts w:hint="default" w:ascii="Times New Roman" w:hAnsi="Times New Roman" w:eastAsia="方正仿宋_GBK" w:cs="Times New Roman"/>
          <w:sz w:val="32"/>
          <w:szCs w:val="32"/>
          <w:highlight w:val="none"/>
        </w:rPr>
        <w:t>88.49</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69.63</w:t>
      </w:r>
      <w:r>
        <w:rPr>
          <w:rFonts w:hint="default" w:ascii="Times New Roman" w:hAnsi="Times New Roman" w:eastAsia="方正仿宋_GBK" w:cs="Times New Roman"/>
          <w:sz w:val="32"/>
          <w:szCs w:val="32"/>
          <w:highlight w:val="none"/>
          <w:shd w:val="clear" w:color="auto" w:fill="FFFFFF"/>
        </w:rPr>
        <w:t>%，较年初预算数增加2.50万元，增长2</w:t>
      </w:r>
      <w:r>
        <w:rPr>
          <w:rFonts w:hint="default" w:ascii="Times New Roman" w:hAnsi="Times New Roman" w:eastAsia="方正仿宋_GBK" w:cs="Times New Roman"/>
          <w:sz w:val="32"/>
          <w:szCs w:val="32"/>
          <w:highlight w:val="none"/>
          <w:shd w:val="clear" w:color="auto" w:fill="FFFFFF"/>
          <w:lang w:eastAsia="zh-CN"/>
        </w:rPr>
        <w:t>.90%</w:t>
      </w:r>
      <w:r>
        <w:rPr>
          <w:rFonts w:hint="default" w:ascii="Times New Roman" w:hAnsi="Times New Roman" w:eastAsia="方正仿宋_GBK" w:cs="Times New Roman"/>
          <w:sz w:val="32"/>
          <w:szCs w:val="32"/>
          <w:highlight w:val="none"/>
          <w:shd w:val="clear" w:color="auto" w:fill="FFFFFF"/>
        </w:rPr>
        <w:t>，主要原因是增加安全宣传广告费、</w:t>
      </w:r>
      <w:r>
        <w:rPr>
          <w:rFonts w:hint="default" w:ascii="Times New Roman" w:hAnsi="Times New Roman" w:eastAsia="方正仿宋_GBK" w:cs="Times New Roman"/>
          <w:sz w:val="32"/>
          <w:szCs w:val="32"/>
          <w:highlight w:val="none"/>
          <w:shd w:val="clear" w:color="auto" w:fill="FFFFFF"/>
          <w:lang w:eastAsia="zh-CN"/>
        </w:rPr>
        <w:t>机构改革人员调入增加</w:t>
      </w:r>
      <w:r>
        <w:rPr>
          <w:rFonts w:hint="default" w:ascii="Times New Roman" w:hAnsi="Times New Roman" w:eastAsia="方正仿宋_GBK" w:cs="Times New Roman"/>
          <w:sz w:val="32"/>
          <w:szCs w:val="32"/>
          <w:highlight w:val="none"/>
          <w:shd w:val="clear" w:color="auto" w:fill="FFFFFF"/>
        </w:rPr>
        <w:t>工会经费本级财政支出部分。</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住房保障支出9.23</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7.26</w:t>
      </w:r>
      <w:r>
        <w:rPr>
          <w:rFonts w:hint="default" w:ascii="Times New Roman" w:hAnsi="Times New Roman" w:eastAsia="方正仿宋_GBK" w:cs="Times New Roman"/>
          <w:sz w:val="32"/>
          <w:szCs w:val="32"/>
          <w:highlight w:val="none"/>
          <w:shd w:val="clear" w:color="auto" w:fill="FFFFFF"/>
        </w:rPr>
        <w:t>%，较年初预算数增加4.13万元，增长81</w:t>
      </w:r>
      <w:r>
        <w:rPr>
          <w:rFonts w:hint="default" w:ascii="Times New Roman" w:hAnsi="Times New Roman" w:eastAsia="方正仿宋_GBK" w:cs="Times New Roman"/>
          <w:sz w:val="32"/>
          <w:szCs w:val="32"/>
          <w:highlight w:val="none"/>
          <w:shd w:val="clear" w:color="auto" w:fill="FFFFFF"/>
          <w:lang w:eastAsia="zh-CN"/>
        </w:rPr>
        <w:t>.00%</w:t>
      </w:r>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及</w:t>
      </w:r>
      <w:r>
        <w:rPr>
          <w:rFonts w:hint="default" w:ascii="Times New Roman" w:hAnsi="Times New Roman" w:eastAsia="方正仿宋_GBK" w:cs="Times New Roman"/>
          <w:sz w:val="32"/>
          <w:szCs w:val="32"/>
          <w:highlight w:val="none"/>
          <w:shd w:val="clear" w:color="auto" w:fill="FFFFFF"/>
        </w:rPr>
        <w:t>五险二金基数调标,同时补交2022</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2023年调高部分。</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（四）一般公共预算财政拨款基本支出决算情况说明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w:t>
      </w:r>
      <w:r>
        <w:rPr>
          <w:rFonts w:hint="eastAsia" w:ascii="Times New Roman" w:hAnsi="Times New Roman" w:eastAsia="方正仿宋_GBK" w:cs="Times New Roman"/>
          <w:sz w:val="32"/>
          <w:szCs w:val="32"/>
          <w:highlight w:val="none"/>
          <w:shd w:val="clear" w:color="auto" w:fill="FFFFFF"/>
          <w:lang w:eastAsia="zh-CN"/>
        </w:rPr>
        <w:t>预算</w:t>
      </w:r>
      <w:r>
        <w:rPr>
          <w:rFonts w:hint="default" w:ascii="Times New Roman" w:hAnsi="Times New Roman" w:eastAsia="方正仿宋_GBK" w:cs="Times New Roman"/>
          <w:sz w:val="32"/>
          <w:szCs w:val="32"/>
          <w:highlight w:val="none"/>
          <w:shd w:val="clear" w:color="auto" w:fill="FFFFFF"/>
        </w:rPr>
        <w:t>财政拨款基本支出</w:t>
      </w:r>
      <w:r>
        <w:rPr>
          <w:rFonts w:hint="default" w:ascii="Times New Roman" w:hAnsi="Times New Roman" w:eastAsia="方正仿宋_GBK" w:cs="Times New Roman"/>
          <w:sz w:val="32"/>
          <w:szCs w:val="32"/>
          <w:highlight w:val="none"/>
        </w:rPr>
        <w:t>127.09</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122.08</w:t>
      </w:r>
      <w:r>
        <w:rPr>
          <w:rFonts w:hint="default" w:ascii="Times New Roman" w:hAnsi="Times New Roman" w:eastAsia="方正仿宋_GBK" w:cs="Times New Roman"/>
          <w:sz w:val="32"/>
          <w:szCs w:val="32"/>
          <w:highlight w:val="none"/>
          <w:shd w:val="clear" w:color="auto" w:fill="FFFFFF"/>
        </w:rPr>
        <w:t>万元，与2023年度相比，增加15.88万元，增长15</w:t>
      </w:r>
      <w:r>
        <w:rPr>
          <w:rFonts w:hint="default" w:ascii="Times New Roman" w:hAnsi="Times New Roman" w:eastAsia="方正仿宋_GBK" w:cs="Times New Roman"/>
          <w:sz w:val="32"/>
          <w:szCs w:val="32"/>
          <w:highlight w:val="none"/>
          <w:shd w:val="clear" w:color="auto" w:fill="FFFFFF"/>
          <w:lang w:eastAsia="zh-CN"/>
        </w:rPr>
        <w:t>.00%</w:t>
      </w:r>
      <w:r>
        <w:rPr>
          <w:rFonts w:hint="default" w:ascii="Times New Roman" w:hAnsi="Times New Roman" w:eastAsia="方正仿宋_GBK" w:cs="Times New Roman"/>
          <w:sz w:val="32"/>
          <w:szCs w:val="32"/>
          <w:highlight w:val="none"/>
          <w:shd w:val="clear" w:color="auto" w:fill="FFFFFF"/>
        </w:rPr>
        <w:t>，主要原因是机构改革人员调入</w:t>
      </w:r>
      <w:r>
        <w:rPr>
          <w:rFonts w:hint="default" w:ascii="Times New Roman" w:hAnsi="Times New Roman" w:eastAsia="方正仿宋_GBK" w:cs="Times New Roman"/>
          <w:sz w:val="32"/>
          <w:szCs w:val="32"/>
          <w:highlight w:val="none"/>
          <w:shd w:val="clear" w:color="auto" w:fill="FFFFFF"/>
          <w:lang w:eastAsia="zh-CN"/>
        </w:rPr>
        <w:t>人员工资调标。</w:t>
      </w:r>
      <w:r>
        <w:rPr>
          <w:rFonts w:hint="default" w:ascii="Times New Roman" w:hAnsi="Times New Roman" w:eastAsia="方正仿宋_GBK" w:cs="Times New Roman"/>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rPr>
        <w:t>基本工资、津贴补贴、绩效工资、机关事业单位基本养老保险缴费、职业年金缴费、职工基本医疗补助缴费、其他社会保障缴费、住房公积金、医疗费、其他工资福利支出</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公用经费</w:t>
      </w:r>
      <w:r>
        <w:rPr>
          <w:rFonts w:hint="default" w:ascii="Times New Roman" w:hAnsi="Times New Roman" w:eastAsia="方正仿宋_GBK" w:cs="Times New Roman"/>
          <w:sz w:val="32"/>
          <w:szCs w:val="32"/>
          <w:highlight w:val="none"/>
        </w:rPr>
        <w:t>5.01</w:t>
      </w:r>
      <w:r>
        <w:rPr>
          <w:rFonts w:hint="default" w:ascii="Times New Roman" w:hAnsi="Times New Roman" w:eastAsia="方正仿宋_GBK" w:cs="Times New Roman"/>
          <w:sz w:val="32"/>
          <w:szCs w:val="32"/>
          <w:highlight w:val="none"/>
          <w:shd w:val="clear" w:color="auto" w:fill="FFFFFF"/>
        </w:rPr>
        <w:t>万元，与2023年度相比，减少2.22万元，下降30</w:t>
      </w:r>
      <w:r>
        <w:rPr>
          <w:rFonts w:hint="default" w:ascii="Times New Roman" w:hAnsi="Times New Roman" w:eastAsia="方正仿宋_GBK" w:cs="Times New Roman"/>
          <w:sz w:val="32"/>
          <w:szCs w:val="32"/>
          <w:highlight w:val="none"/>
          <w:shd w:val="clear" w:color="auto" w:fill="FFFFFF"/>
          <w:lang w:eastAsia="zh-CN"/>
        </w:rPr>
        <w:t>.70%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本年度取消县内出差差旅费导致公用经费减少。</w:t>
      </w:r>
      <w:r>
        <w:rPr>
          <w:rFonts w:hint="default" w:ascii="Times New Roman" w:hAnsi="Times New Roman" w:eastAsia="方正仿宋_GBK" w:cs="Times New Roman"/>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rPr>
        <w:t>办公费、差旅费、委托业务费、工会经费。</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（五）政府性基金预算收支决算情况说明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2024年度政府性基金预算财政拨款年初结转结余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万元。本年收入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rPr>
        <w:t>本年度无政府性基金预算财政拨款收入。</w:t>
      </w:r>
      <w:r>
        <w:rPr>
          <w:rFonts w:hint="default" w:ascii="Times New Roman" w:hAnsi="Times New Roman" w:eastAsia="方正仿宋_GBK" w:cs="Times New Roman"/>
          <w:sz w:val="32"/>
          <w:szCs w:val="32"/>
          <w:highlight w:val="none"/>
          <w:shd w:val="clear" w:color="auto" w:fill="FFFFFF"/>
        </w:rPr>
        <w:t>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rPr>
        <w:t>本年度无政府性基金预算财政拨款支出。本单位2024年度无政府性基金预算财政拨款收支。</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（六）国有资本经营预算财政拨款支出决算情况说明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rPr>
        <w:t>2024年度国有资本经营预算财政拨本年支出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万元。本单位2024年度无国有资本经营预算财政拨款支出。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三、</w:t>
      </w:r>
      <w:r>
        <w:rPr>
          <w:rStyle w:val="12"/>
          <w:rFonts w:hint="default" w:ascii="Times New Roman" w:hAnsi="Times New Roman" w:eastAsia="黑体" w:cs="Times New Roman"/>
          <w:sz w:val="32"/>
          <w:szCs w:val="32"/>
          <w:highlight w:val="none"/>
          <w:shd w:val="clear" w:color="auto" w:fill="FFFFFF"/>
          <w:lang w:eastAsia="zh-CN"/>
        </w:rPr>
        <w:t>财政拨款</w:t>
      </w:r>
      <w:r>
        <w:rPr>
          <w:rStyle w:val="12"/>
          <w:rFonts w:hint="default" w:ascii="Times New Roman" w:hAnsi="Times New Roman" w:eastAsia="黑体" w:cs="Times New Roman"/>
          <w:sz w:val="32"/>
          <w:szCs w:val="32"/>
          <w:highlight w:val="none"/>
          <w:shd w:val="clear" w:color="auto" w:fill="FFFFFF"/>
        </w:rPr>
        <w:t>“三公”经费情况说明</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（一）“三公”经费支出总体情况说明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（二）“三公”经费分项支出情况</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2024年度本单位因公出国（境）费用0.00万元，主要是未安排出国境事项。费用支出较年初预算数无增减，主要原因是未安排出国境事项、无相关经费支出。较上年支出数无增减，主要原因是未安排出国境事项、无相关经费支出。</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 公务车购置费0.00万元，主要是本单位无公务车购置事项。费用支出较年初预算数无增减，主要原因是无公务车购置事项，无相关经费支出。较上年支出数无增减，主要原因是无公务车购置事项，无相关经费支出。</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 公务</w:t>
      </w:r>
      <w:r>
        <w:rPr>
          <w:rFonts w:hint="eastAsia"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lang w:eastAsia="zh-CN"/>
        </w:rPr>
        <w:t>车运行维护费0.00万元，主要无公务车，未发生相关经费支出。费用支出较年初预算数无增减，主要原因是无公务车，未发生相关经费支出。较上年支出数无增减，主要原因是无公务车，未发生相关经费支出。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 </w:t>
      </w: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万元。费用支出较年初预算数无增减，</w:t>
      </w:r>
      <w:r>
        <w:rPr>
          <w:rFonts w:hint="default" w:ascii="Times New Roman" w:hAnsi="Times New Roman" w:eastAsia="方正仿宋_GBK" w:cs="Times New Roman"/>
          <w:sz w:val="32"/>
          <w:szCs w:val="32"/>
          <w:highlight w:val="none"/>
        </w:rPr>
        <w:t>主要原因是年初预算未安排且本年未发生</w:t>
      </w:r>
      <w:bookmarkStart w:id="6" w:name="_GoBack"/>
      <w:r>
        <w:rPr>
          <w:rFonts w:hint="default" w:ascii="Times New Roman" w:hAnsi="Times New Roman" w:eastAsia="方正仿宋_GBK" w:cs="Times New Roman"/>
          <w:sz w:val="32"/>
          <w:szCs w:val="32"/>
          <w:highlight w:val="none"/>
        </w:rPr>
        <w:t>公务</w:t>
      </w:r>
      <w:bookmarkEnd w:id="6"/>
      <w:r>
        <w:rPr>
          <w:rFonts w:hint="default" w:ascii="Times New Roman" w:hAnsi="Times New Roman" w:eastAsia="方正仿宋_GBK" w:cs="Times New Roman"/>
          <w:sz w:val="32"/>
          <w:szCs w:val="32"/>
          <w:highlight w:val="none"/>
        </w:rPr>
        <w:t>接待费用</w:t>
      </w:r>
      <w:r>
        <w:rPr>
          <w:rFonts w:hint="default" w:ascii="Times New Roman" w:hAnsi="Times New Roman" w:eastAsia="方正仿宋_GBK" w:cs="Times New Roman"/>
          <w:sz w:val="32"/>
          <w:szCs w:val="32"/>
          <w:highlight w:val="none"/>
          <w:shd w:val="clear" w:color="auto" w:fill="FFFFFF"/>
        </w:rPr>
        <w:t>。较上年支出数无增减，</w:t>
      </w:r>
      <w:r>
        <w:rPr>
          <w:rFonts w:hint="default" w:ascii="Times New Roman" w:hAnsi="Times New Roman" w:eastAsia="方正仿宋_GBK" w:cs="Times New Roman"/>
          <w:sz w:val="32"/>
          <w:szCs w:val="32"/>
          <w:highlight w:val="none"/>
        </w:rPr>
        <w:t>主要原因是上年和本年均未发生公务接待费用。</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（三）“三公”经费实物量情况</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本单位人均接待费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rPr>
      </w:pPr>
      <w:r>
        <w:rPr>
          <w:rStyle w:val="12"/>
          <w:rFonts w:hint="default" w:ascii="Times New Roman" w:hAnsi="Times New Roman" w:eastAsia="黑体" w:cs="Times New Roman"/>
          <w:sz w:val="32"/>
          <w:szCs w:val="32"/>
          <w:highlight w:val="none"/>
          <w:shd w:val="clear" w:color="auto" w:fill="FFFFFF"/>
        </w:rPr>
        <w:t>四、其他需要说明的事项</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（一）财政拨款会议费和培训费情况说明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bookmarkStart w:id="5" w:name="OLE_LINK6"/>
      <w:r>
        <w:rPr>
          <w:rFonts w:hint="default" w:ascii="Times New Roman" w:hAnsi="Times New Roman" w:eastAsia="方正仿宋_GBK" w:cs="Times New Roman"/>
          <w:sz w:val="32"/>
          <w:szCs w:val="32"/>
          <w:highlight w:val="none"/>
          <w:shd w:val="clear" w:color="auto" w:fill="FFFFFF"/>
          <w:lang w:val="en-US" w:eastAsia="zh-CN"/>
        </w:rPr>
        <w:t xml:space="preserve">    </w:t>
      </w:r>
      <w:bookmarkEnd w:id="5"/>
      <w:r>
        <w:rPr>
          <w:rFonts w:hint="default" w:ascii="Times New Roman" w:hAnsi="Times New Roman" w:eastAsia="方正仿宋_GBK" w:cs="Times New Roman"/>
          <w:sz w:val="32"/>
          <w:szCs w:val="32"/>
          <w:highlight w:val="none"/>
          <w:shd w:val="clear" w:color="auto" w:fill="FFFFFF"/>
        </w:rPr>
        <w:t>本年度会议费支出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w:t>
      </w:r>
      <w:r>
        <w:rPr>
          <w:rFonts w:hint="default" w:ascii="Times New Roman" w:hAnsi="Times New Roman" w:eastAsia="方正仿宋_GBK" w:cs="Times New Roman"/>
          <w:sz w:val="32"/>
          <w:szCs w:val="32"/>
          <w:highlight w:val="none"/>
        </w:rPr>
        <w:t>主要原因是上年和本年均未发生会议费支出</w:t>
      </w:r>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万元，与2023年度相比，无变化，</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val="en-US" w:eastAsia="zh-CN"/>
        </w:rPr>
        <w:t>本年度无培训费支出</w:t>
      </w:r>
      <w:r>
        <w:rPr>
          <w:rFonts w:hint="default" w:ascii="Times New Roman" w:hAnsi="Times New Roman" w:eastAsia="方正仿宋_GBK" w:cs="Times New Roman"/>
          <w:sz w:val="32"/>
          <w:szCs w:val="32"/>
          <w:highlight w:val="none"/>
        </w:rPr>
        <w:t>。</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（二）机关运行经费情况说明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color w:val="000000" w:themeColor="text1"/>
          <w:sz w:val="32"/>
          <w:szCs w:val="32"/>
          <w:highlight w:val="none"/>
          <w:shd w:val="clear" w:color="auto" w:fill="FFFFFF"/>
          <w:lang w:val="en-US" w:eastAsia="zh-CN"/>
        </w:rPr>
        <w:t xml:space="preserve">    </w:t>
      </w:r>
      <w:r>
        <w:rPr>
          <w:rFonts w:hint="default" w:ascii="Times New Roman" w:hAnsi="Times New Roman" w:eastAsia="方正仿宋_GBK" w:cs="Times New Roman"/>
          <w:sz w:val="32"/>
          <w:szCs w:val="32"/>
          <w:highlight w:val="none"/>
          <w:shd w:val="clear" w:color="auto" w:fill="FFFFFF"/>
        </w:rPr>
        <w:t>2024年度本单位机关运行经费支出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万元，机关运行经费较上年支出数无增减，</w:t>
      </w:r>
      <w:r>
        <w:rPr>
          <w:rFonts w:hint="default" w:ascii="Times New Roman" w:hAnsi="Times New Roman" w:eastAsia="方正仿宋_GBK" w:cs="Times New Roman"/>
          <w:bCs/>
          <w:sz w:val="32"/>
          <w:szCs w:val="32"/>
          <w:highlight w:val="none"/>
        </w:rPr>
        <w:t>主要原因是按照部门决算列报口径，我单位不在机关运行经费统计范围之内。</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（三）国有资产占用情况说明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截至</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12月31日，本单位共有车辆</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pPr>
        <w:pStyle w:val="13"/>
        <w:keepNext w:val="0"/>
        <w:keepLines w:val="0"/>
        <w:pageBreakBefore w:val="0"/>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（四）政府采购支出情况说明</w:t>
      </w:r>
    </w:p>
    <w:p>
      <w:pPr>
        <w:pStyle w:val="8"/>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FF0000"/>
          <w:sz w:val="32"/>
          <w:szCs w:val="32"/>
          <w:highlight w:val="none"/>
          <w:shd w:val="clear" w:color="auto" w:fill="FFFFFF"/>
          <w:lang w:val="en-US" w:eastAsia="zh-CN"/>
        </w:rPr>
        <w:t xml:space="preserve">   </w:t>
      </w:r>
      <w:r>
        <w:rPr>
          <w:rFonts w:hint="default" w:ascii="Times New Roman" w:hAnsi="Times New Roman" w:eastAsia="方正仿宋_GBK" w:cs="Times New Roman"/>
          <w:sz w:val="32"/>
          <w:szCs w:val="32"/>
          <w:highlight w:val="none"/>
          <w:shd w:val="clear" w:color="auto" w:fill="FFFFFF"/>
        </w:rPr>
        <w:t>2024年度本单位政府采购支出总额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万元，其中：政府采购货物支出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万元、政府采购服务支出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万元。授予中小企业合同金额</w:t>
      </w:r>
      <w:r>
        <w:rPr>
          <w:rFonts w:hint="default" w:ascii="Times New Roman" w:hAnsi="Times New Roman" w:eastAsia="方正仿宋_GBK" w:cs="Times New Roman"/>
          <w:sz w:val="32"/>
          <w:szCs w:val="32"/>
          <w:highlight w:val="none"/>
        </w:rPr>
        <w:t>0.00万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0.0</w:t>
      </w:r>
      <w:r>
        <w:rPr>
          <w:rFonts w:hint="default" w:ascii="Times New Roman" w:hAnsi="Times New Roman" w:eastAsia="方正仿宋_GBK" w:cs="Times New Roman"/>
          <w:sz w:val="32"/>
          <w:szCs w:val="32"/>
          <w:highlight w:val="none"/>
          <w:shd w:val="clear" w:color="auto" w:fill="FFFFFF"/>
        </w:rPr>
        <w:t>%，其中：授予小微企业合同金额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0%。2024年度我单位未发生政府采购事项，无相关经费支出。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highlight w:val="none"/>
          <w:shd w:val="clear" w:color="auto" w:fill="FFFFFF"/>
          <w:lang w:val="en-US" w:eastAsia="zh-CN" w:bidi="ar-SA"/>
        </w:rPr>
      </w:pPr>
      <w:r>
        <w:rPr>
          <w:rStyle w:val="12"/>
          <w:rFonts w:hint="default" w:ascii="Times New Roman" w:hAnsi="Times New Roman" w:eastAsia="黑体" w:cs="Times New Roman"/>
          <w:sz w:val="32"/>
          <w:szCs w:val="32"/>
          <w:highlight w:val="none"/>
          <w:shd w:val="clear" w:color="auto" w:fill="FFFFFF"/>
          <w:lang w:val="en-US" w:eastAsia="zh-CN" w:bidi="ar-SA"/>
        </w:rPr>
        <w:t>五、2024年度预算绩效管理情况说明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（一）单位自评情况</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sz w:val="32"/>
          <w:szCs w:val="32"/>
          <w:highlight w:val="none"/>
          <w:shd w:val="clear" w:color="auto" w:fill="FFFFFF"/>
          <w:lang w:val="en-US" w:eastAsia="zh-CN" w:bidi="ar"/>
        </w:rPr>
        <w:t xml:space="preserve">  </w:t>
      </w:r>
      <w:r>
        <w:rPr>
          <w:rFonts w:hint="default" w:ascii="Times New Roman" w:hAnsi="Times New Roman" w:eastAsia="方正仿宋_GBK" w:cs="Times New Roman"/>
          <w:sz w:val="32"/>
          <w:szCs w:val="32"/>
          <w:highlight w:val="none"/>
          <w:shd w:val="clear" w:color="auto" w:fill="FFFFFF"/>
          <w:lang w:eastAsia="zh-CN" w:bidi="ar"/>
        </w:rPr>
        <w:t>我</w:t>
      </w:r>
      <w:r>
        <w:rPr>
          <w:rFonts w:hint="default" w:ascii="Times New Roman" w:hAnsi="Times New Roman" w:eastAsia="方正仿宋_GBK" w:cs="Times New Roman"/>
          <w:sz w:val="32"/>
          <w:szCs w:val="32"/>
          <w:highlight w:val="none"/>
          <w:shd w:val="clear" w:color="auto" w:fill="FFFFFF"/>
          <w:lang w:bidi="ar"/>
        </w:rPr>
        <w:t>单位</w:t>
      </w:r>
      <w:r>
        <w:rPr>
          <w:rFonts w:hint="default" w:ascii="Times New Roman" w:hAnsi="Times New Roman" w:eastAsia="方正仿宋_GBK" w:cs="Times New Roman"/>
          <w:sz w:val="32"/>
          <w:szCs w:val="32"/>
          <w:highlight w:val="none"/>
          <w:shd w:val="clear" w:color="auto" w:fill="FFFFFF"/>
          <w:lang w:val="en-US" w:eastAsia="zh-CN" w:bidi="ar"/>
        </w:rPr>
        <w:t>2024年度</w:t>
      </w:r>
      <w:r>
        <w:rPr>
          <w:rFonts w:hint="default" w:ascii="Times New Roman" w:hAnsi="Times New Roman" w:eastAsia="方正仿宋_GBK" w:cs="Times New Roman"/>
          <w:sz w:val="32"/>
          <w:szCs w:val="32"/>
          <w:highlight w:val="none"/>
          <w:shd w:val="clear" w:color="auto" w:fill="FFFFFF"/>
          <w:lang w:eastAsia="zh-CN" w:bidi="ar"/>
        </w:rPr>
        <w:t>无财政拨款项目支出。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（二）</w:t>
      </w:r>
      <w:r>
        <w:rPr>
          <w:rFonts w:hint="default" w:ascii="Times New Roman" w:hAnsi="Times New Roman" w:eastAsia="楷体" w:cs="Times New Roman"/>
          <w:b/>
          <w:bCs/>
          <w:kern w:val="0"/>
          <w:sz w:val="32"/>
          <w:szCs w:val="32"/>
          <w:highlight w:val="none"/>
          <w:shd w:val="clear" w:fill="FFFFFF"/>
          <w:lang w:val="en-US" w:eastAsia="zh-CN"/>
        </w:rPr>
        <w:t>单位</w:t>
      </w:r>
      <w:r>
        <w:rPr>
          <w:rFonts w:hint="default" w:ascii="Times New Roman" w:hAnsi="Times New Roman" w:eastAsia="楷体" w:cs="Times New Roman"/>
          <w:b/>
          <w:bCs/>
          <w:kern w:val="0"/>
          <w:sz w:val="32"/>
          <w:szCs w:val="32"/>
          <w:highlight w:val="none"/>
          <w:shd w:val="clear" w:fill="FFFFFF"/>
        </w:rPr>
        <w:t>绩效评价情况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highlight w:val="none"/>
          <w:shd w:val="clear" w:color="auto" w:fill="FFFFFF"/>
          <w:lang w:eastAsia="zh-CN"/>
        </w:rPr>
      </w:pPr>
      <w:r>
        <w:rPr>
          <w:rFonts w:hint="default" w:ascii="Times New Roman" w:hAnsi="Times New Roman" w:eastAsia="方正仿宋_GBK" w:cs="Times New Roman"/>
          <w:kern w:val="0"/>
          <w:sz w:val="32"/>
          <w:szCs w:val="32"/>
          <w:highlight w:val="none"/>
          <w:shd w:val="clear" w:color="auto" w:fill="FFFFFF"/>
        </w:rPr>
        <w:t>我单位</w:t>
      </w:r>
      <w:r>
        <w:rPr>
          <w:rFonts w:hint="default" w:ascii="Times New Roman" w:hAnsi="Times New Roman" w:eastAsia="方正仿宋_GBK" w:cs="Times New Roman"/>
          <w:kern w:val="0"/>
          <w:sz w:val="32"/>
          <w:szCs w:val="32"/>
          <w:highlight w:val="none"/>
          <w:shd w:val="clear" w:color="auto" w:fill="FFFFFF"/>
          <w:lang w:eastAsia="zh-CN"/>
        </w:rPr>
        <w:t>未组织开展绩效评价。</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default" w:ascii="Times New Roman" w:hAnsi="Times New Roman" w:eastAsia="方正仿宋_GBK" w:cs="Times New Roman"/>
          <w:b w:val="0"/>
          <w:bCs w:val="0"/>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lang w:val="en-US" w:eastAsia="zh-CN" w:bidi="ar"/>
        </w:rPr>
        <w:t>（三）财政绩效评价情况</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仿宋_GBK" w:cs="Times New Roman"/>
          <w:kern w:val="0"/>
          <w:sz w:val="32"/>
          <w:szCs w:val="32"/>
          <w:highlight w:val="none"/>
          <w:shd w:val="clear" w:fill="FFFFFF"/>
        </w:rPr>
      </w:pPr>
      <w:r>
        <w:rPr>
          <w:rFonts w:hint="default" w:ascii="Times New Roman" w:hAnsi="Times New Roman" w:eastAsia="方正仿宋_GBK" w:cs="Times New Roman"/>
          <w:sz w:val="32"/>
          <w:szCs w:val="32"/>
          <w:highlight w:val="none"/>
          <w:shd w:val="clear" w:color="auto" w:fill="FFFFFF"/>
          <w:lang w:eastAsia="zh-CN" w:bidi="ar"/>
        </w:rPr>
        <w:t>县</w:t>
      </w:r>
      <w:r>
        <w:rPr>
          <w:rFonts w:hint="default" w:ascii="Times New Roman" w:hAnsi="Times New Roman" w:eastAsia="方正仿宋_GBK" w:cs="Times New Roman"/>
          <w:sz w:val="32"/>
          <w:szCs w:val="32"/>
          <w:highlight w:val="none"/>
          <w:shd w:val="clear" w:color="auto" w:fill="FFFFFF"/>
          <w:lang w:bidi="ar"/>
        </w:rPr>
        <w:t>财政局</w:t>
      </w:r>
      <w:r>
        <w:rPr>
          <w:rFonts w:hint="default" w:ascii="Times New Roman" w:hAnsi="Times New Roman" w:eastAsia="方正仿宋_GBK" w:cs="Times New Roman"/>
          <w:sz w:val="32"/>
          <w:szCs w:val="32"/>
          <w:highlight w:val="none"/>
          <w:shd w:val="clear" w:color="auto" w:fill="FFFFFF"/>
          <w:lang w:eastAsia="zh-CN" w:bidi="ar"/>
        </w:rPr>
        <w:t>未</w:t>
      </w:r>
      <w:r>
        <w:rPr>
          <w:rFonts w:hint="default" w:ascii="Times New Roman" w:hAnsi="Times New Roman" w:eastAsia="方正仿宋_GBK" w:cs="Times New Roman"/>
          <w:sz w:val="32"/>
          <w:szCs w:val="32"/>
          <w:highlight w:val="none"/>
          <w:shd w:val="clear" w:color="auto" w:fill="FFFFFF"/>
          <w:lang w:bidi="ar"/>
        </w:rPr>
        <w:t>委托第三方对</w:t>
      </w:r>
      <w:r>
        <w:rPr>
          <w:rFonts w:hint="default" w:ascii="Times New Roman" w:hAnsi="Times New Roman" w:eastAsia="方正仿宋_GBK" w:cs="Times New Roman"/>
          <w:color w:val="auto"/>
          <w:sz w:val="32"/>
          <w:szCs w:val="32"/>
          <w:highlight w:val="none"/>
          <w:shd w:val="clear" w:color="auto" w:fill="FFFFFF"/>
          <w:lang w:bidi="ar"/>
        </w:rPr>
        <w:t>我单位</w:t>
      </w:r>
      <w:r>
        <w:rPr>
          <w:rFonts w:hint="default" w:ascii="Times New Roman" w:hAnsi="Times New Roman" w:eastAsia="方正仿宋_GBK" w:cs="Times New Roman"/>
          <w:sz w:val="32"/>
          <w:szCs w:val="32"/>
          <w:highlight w:val="none"/>
          <w:shd w:val="clear" w:color="auto" w:fill="FFFFFF"/>
          <w:lang w:bidi="ar"/>
        </w:rPr>
        <w:t>开展绩效评价</w:t>
      </w:r>
      <w:r>
        <w:rPr>
          <w:rFonts w:hint="default" w:ascii="Times New Roman" w:hAnsi="Times New Roman" w:eastAsia="方正仿宋_GBK" w:cs="Times New Roman"/>
          <w:sz w:val="32"/>
          <w:szCs w:val="32"/>
          <w:highlight w:val="none"/>
          <w:shd w:val="clear" w:color="auto" w:fill="FFFFFF"/>
          <w:lang w:eastAsia="zh-CN" w:bidi="ar"/>
        </w:rPr>
        <w:t>。</w:t>
      </w:r>
    </w:p>
    <w:p>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5"/>
          <w:rFonts w:hint="default" w:ascii="Times New Roman" w:hAnsi="Times New Roman" w:eastAsia="方正仿宋_GBK" w:cs="Times New Roman"/>
          <w:b/>
          <w:bCs/>
          <w:sz w:val="32"/>
          <w:szCs w:val="32"/>
          <w:highlight w:val="none"/>
          <w:shd w:val="clear" w:fill="FFFFFF"/>
        </w:rPr>
        <w:t xml:space="preserve"> </w:t>
      </w:r>
      <w:r>
        <w:rPr>
          <w:rStyle w:val="15"/>
          <w:rFonts w:hint="default" w:ascii="Times New Roman" w:hAnsi="Times New Roman" w:eastAsia="方正仿宋_GBK" w:cs="Times New Roman"/>
          <w:b/>
          <w:bCs/>
          <w:sz w:val="32"/>
          <w:szCs w:val="32"/>
          <w:highlight w:val="none"/>
          <w:shd w:val="clear" w:fill="FFFFFF"/>
          <w:lang w:val="en-US" w:eastAsia="zh-CN"/>
        </w:rPr>
        <w:t xml:space="preserve">  </w:t>
      </w:r>
      <w:r>
        <w:rPr>
          <w:rStyle w:val="12"/>
          <w:rFonts w:hint="default" w:ascii="Times New Roman" w:hAnsi="Times New Roman" w:eastAsia="黑体" w:cs="Times New Roman"/>
          <w:sz w:val="32"/>
          <w:szCs w:val="32"/>
          <w:highlight w:val="none"/>
          <w:shd w:val="clear" w:color="auto" w:fill="FFFFFF"/>
          <w:lang w:val="en-US" w:eastAsia="zh-CN" w:bidi="ar-SA"/>
        </w:rPr>
        <w:t xml:space="preserve"> 六、专业名词解释</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highlight w:val="none"/>
          <w:shd w:val="clear"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指事业单位在专业业务活动及其辅助活动之外开展非独立核算经营活动取得的现金流入。</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highlight w:val="none"/>
          <w:shd w:val="clear"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highlight w:val="none"/>
          <w:shd w:val="clear" w:fill="FFFFFF"/>
        </w:rPr>
        <w:t>指单位按照国家有关规定，</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纳所得税、提取专用基金、转入非财政拨款结余等当年结余的分配情况。</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highlight w:val="none"/>
          <w:shd w:val="clear"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highlight w:val="none"/>
          <w:shd w:val="clear"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highlight w:val="none"/>
          <w:shd w:val="clear" w:fill="FFFFFF"/>
        </w:rPr>
        <w:t>反映单位开支的在职职工和编制外长期聘用人员的各类劳动报酬，以及为上述人员</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纳的各项社会保险费等。</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highlight w:val="none"/>
          <w:shd w:val="clear"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highlight w:val="none"/>
          <w:shd w:val="clear" w:fill="FFFFFF"/>
        </w:rPr>
        <w:t>反映用于对个人和家庭的补助支出。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楷体" w:cs="Times New Roman"/>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2"/>
          <w:rFonts w:hint="default" w:ascii="Times New Roman" w:hAnsi="Times New Roman" w:eastAsia="黑体" w:cs="Times New Roman"/>
          <w:sz w:val="32"/>
          <w:szCs w:val="32"/>
          <w:highlight w:val="none"/>
          <w:shd w:val="clear" w:color="auto" w:fill="FFFFFF"/>
          <w:lang w:val="en-US" w:eastAsia="zh-CN" w:bidi="ar-SA"/>
        </w:rPr>
        <w:t>七、决算公开联系方式及信息反馈渠道</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kern w:val="0"/>
          <w:sz w:val="32"/>
          <w:szCs w:val="32"/>
          <w:highlight w:val="none"/>
          <w:shd w:val="clear" w:fill="FFFFFF"/>
        </w:rPr>
        <w:t>本单位决算公开信息反馈和联系方式：</w:t>
      </w:r>
      <w:r>
        <w:rPr>
          <w:rFonts w:hint="default" w:ascii="Times New Roman" w:hAnsi="Times New Roman" w:eastAsia="方正仿宋_GBK" w:cs="Times New Roman"/>
          <w:sz w:val="32"/>
          <w:szCs w:val="32"/>
          <w:highlight w:val="none"/>
          <w:shd w:val="clear" w:color="auto" w:fill="FFFFFF"/>
          <w:lang w:eastAsia="zh-CN"/>
        </w:rPr>
        <w:t>李老师</w:t>
      </w:r>
      <w:r>
        <w:rPr>
          <w:rFonts w:hint="default" w:ascii="Times New Roman" w:hAnsi="Times New Roman" w:eastAsia="方正仿宋_GBK" w:cs="Times New Roman"/>
          <w:sz w:val="32"/>
          <w:szCs w:val="32"/>
          <w:highlight w:val="none"/>
          <w:shd w:val="clear" w:color="auto" w:fill="FFFFFF"/>
          <w:lang w:val="en-US" w:eastAsia="zh-CN"/>
        </w:rPr>
        <w:t xml:space="preserve"> 023-74568702</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sz w:val="32"/>
          <w:szCs w:val="32"/>
          <w:highlight w:val="none"/>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hint="default" w:ascii="Times New Roman" w:hAnsi="Times New Roman" w:eastAsia="方正仿宋_GBK" w:cs="Times New Roman"/>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highlight w:val="none"/>
              </w:rPr>
            </w:pPr>
            <w:r>
              <w:rPr>
                <w:rFonts w:hint="default" w:ascii="Times New Roman" w:hAnsi="Times New Roman" w:cs="Times New Roman"/>
                <w:sz w:val="20"/>
                <w:szCs w:val="20"/>
                <w:highlight w:val="none"/>
              </w:rPr>
              <w:t>单位：</w:t>
            </w:r>
            <w:r>
              <w:rPr>
                <w:rFonts w:hint="default" w:ascii="Times New Roman" w:hAnsi="Times New Roman" w:cs="Times New Roman"/>
                <w:sz w:val="20"/>
                <w:highlight w:val="none"/>
                <w:u w:color="auto"/>
              </w:rPr>
              <w:t>垫江县黄沙镇综合行政执法大队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127.09</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22.75</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6.62</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88.49</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9.23</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127.09</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127.09</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127.09</w:t>
            </w:r>
            <w:r>
              <w:rPr>
                <w:rFonts w:hint="default" w:ascii="Times New Roman" w:hAnsi="Times New Roman" w:cs="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127.09</w:t>
            </w:r>
            <w:r>
              <w:rPr>
                <w:rFonts w:hint="default" w:ascii="Times New Roman" w:hAnsi="Times New Roman" w:cs="Times New Roman"/>
                <w:color w:val="000000"/>
                <w:sz w:val="20"/>
                <w:highlight w:val="none"/>
                <w:u w:color="auto"/>
              </w:rPr>
              <w:t xml:space="preserve"> </w:t>
            </w:r>
          </w:p>
        </w:tc>
      </w:tr>
    </w:tbl>
    <w:p>
      <w:pPr>
        <w:rPr>
          <w:rFonts w:hint="default" w:ascii="Times New Roman" w:hAnsi="Times New Roman" w:cs="Times New Roman"/>
          <w:sz w:val="21"/>
          <w:szCs w:val="21"/>
          <w:highlight w:val="none"/>
        </w:rPr>
      </w:pPr>
    </w:p>
    <w:p>
      <w:pPr>
        <w:spacing w:line="2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备注：1.本表反映单位本年度的总收支和年末结转结余情况。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sz w:val="20"/>
                <w:highlight w:val="none"/>
                <w:u w:color="auto"/>
              </w:rPr>
              <w:t>垫江县黄沙镇综合行政执法大队</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公开02表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127.09</w:t>
            </w:r>
            <w:r>
              <w:rPr>
                <w:rFonts w:hint="default" w:ascii="Times New Roman" w:hAnsi="Times New Roman" w:cs="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127.09</w:t>
            </w:r>
            <w:r>
              <w:rPr>
                <w:rFonts w:hint="default" w:ascii="Times New Roman" w:hAnsi="Times New Roman" w:cs="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15.15</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15.15</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7.60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7.60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4.62</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4.62</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城管执法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88.49</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88.49</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9.23</w:t>
            </w:r>
            <w:r>
              <w:rPr>
                <w:rFonts w:hint="default" w:ascii="Times New Roman" w:hAnsi="Times New Roman" w:cs="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9.23</w:t>
            </w:r>
            <w:r>
              <w:rPr>
                <w:rFonts w:hint="default" w:ascii="Times New Roman" w:hAnsi="Times New Roman" w:cs="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pPr>
        <w:ind w:left="600" w:hanging="600" w:hangingChars="300"/>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备注：1.本表反映单位本年度取得的各项收入情况。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2.本套报表金额单位转换时可能存在尾数误差。</w:t>
      </w:r>
      <w:r>
        <w:rPr>
          <w:rFonts w:hint="default" w:ascii="Times New Roman" w:hAnsi="Times New Roman" w:cs="Times New Roman"/>
          <w:sz w:val="20"/>
          <w:szCs w:val="20"/>
          <w:highlight w:val="none"/>
        </w:rPr>
        <w:br w:type="textWrapping"/>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 xml:space="preserve">垫江县黄沙镇综合行政执法大队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公开03表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127.09</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127.09</w:t>
            </w:r>
            <w:r>
              <w:rPr>
                <w:rFonts w:hint="default" w:ascii="Times New Roman" w:hAnsi="Times New Roman" w:cs="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15.15</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15.15</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7.60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7.60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4.62</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4.62</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城管执法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88.49</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88.49</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9.23</w:t>
            </w:r>
            <w:r>
              <w:rPr>
                <w:rFonts w:hint="default" w:ascii="Times New Roman" w:hAnsi="Times New Roman" w:cs="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9.23</w:t>
            </w:r>
            <w:r>
              <w:rPr>
                <w:rFonts w:hint="default" w:ascii="Times New Roman" w:hAnsi="Times New Roman" w:cs="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备注：1.本表反映单位本年度各项支出情况。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pPr>
        <w:rPr>
          <w:rFonts w:hint="default" w:ascii="Times New Roman" w:hAnsi="Times New Roman" w:cs="Times New Roman"/>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垫江县黄沙镇综合行政执法大队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127.09</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22.75</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22.75</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6.62</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6.62</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88.49</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88.49</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9.23</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9.23</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127.09</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127.09</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127.09</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127.09</w:t>
            </w:r>
            <w:r>
              <w:rPr>
                <w:rFonts w:hint="default" w:ascii="Times New Roman" w:hAnsi="Times New Roman" w:cs="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127.09</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127.09</w:t>
            </w:r>
            <w:r>
              <w:rPr>
                <w:rFonts w:hint="default" w:ascii="Times New Roman" w:hAnsi="Times New Roman" w:cs="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bl>
    <w:p>
      <w:pPr>
        <w:spacing w:line="2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r>
        <w:rPr>
          <w:rFonts w:hint="default" w:ascii="Times New Roman" w:hAnsi="Times New Roman" w:cs="Times New Roman"/>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垫江县黄沙镇综合行政执法大队</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127.09</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127.09</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22.75</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15.15</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15.15</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7.60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7.60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6.62</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4.62</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4.62</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2.00</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88.49</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2120104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城管执法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88.49</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88.49</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9.23</w:t>
            </w:r>
            <w:r>
              <w:rPr>
                <w:rFonts w:hint="default" w:ascii="Times New Roman" w:hAnsi="Times New Roman" w:cs="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9.23</w:t>
            </w:r>
            <w:r>
              <w:rPr>
                <w:rFonts w:hint="default" w:ascii="Times New Roman" w:hAnsi="Times New Roman" w:cs="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9.23</w:t>
            </w:r>
            <w:r>
              <w:rPr>
                <w:rFonts w:hint="default" w:ascii="Times New Roman" w:hAnsi="Times New Roman" w:cs="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备注：1.本表反映单位本年度一般公共预算财政拨款支出情况。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ind w:firstLine="630" w:firstLineChars="3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垫江县黄沙镇综合行政执法大队</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公开06表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122.08</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5.01</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25.08</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3.56</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52.68</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15.15</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7.60</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4.62</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0.14</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3.84</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9.23</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3.13</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0.90</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0.51</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0.66</w:t>
            </w: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highlight w:val="none"/>
              </w:rPr>
            </w:pPr>
            <w:r>
              <w:rPr>
                <w:rFonts w:hint="default" w:ascii="Times New Roman" w:hAnsi="Times New Roman" w:cs="Times New Roman"/>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122.08</w:t>
            </w:r>
            <w:r>
              <w:rPr>
                <w:rFonts w:hint="default" w:ascii="Times New Roman" w:hAnsi="Times New Roman" w:cs="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5.01</w:t>
            </w:r>
            <w:r>
              <w:rPr>
                <w:rFonts w:hint="default" w:ascii="Times New Roman" w:hAnsi="Times New Roman" w:cs="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备注：1.本表反映单位本年度一般公共预算财政拨款基本支出明细情况。</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t xml:space="preserve">      2.本套报表金额单位转换时可能存在尾数误差。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r>
        <w:rPr>
          <w:rFonts w:hint="default" w:ascii="Times New Roman" w:hAnsi="Times New Roman" w:cs="Times New Roman"/>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垫江县黄沙镇综合行政执法大队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0.00</w:t>
            </w:r>
            <w:r>
              <w:rPr>
                <w:rFonts w:hint="default" w:ascii="Times New Roman" w:hAnsi="Times New Roman" w:cs="Times New Roman"/>
                <w:color w:val="000000"/>
                <w:sz w:val="20"/>
                <w:highlight w:val="none"/>
                <w:u w:color="auto"/>
              </w:rPr>
              <w:t xml:space="preserve"> </w:t>
            </w:r>
          </w:p>
        </w:tc>
      </w:tr>
    </w:tbl>
    <w:p>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highlight w:val="none"/>
              </w:rPr>
            </w:pPr>
            <w:r>
              <w:rPr>
                <w:rFonts w:hint="default" w:ascii="Times New Roman" w:hAnsi="Times New Roman" w:cs="Times New Roman"/>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highlight w:val="none"/>
              </w:rPr>
            </w:pPr>
            <w:r>
              <w:rPr>
                <w:rFonts w:hint="default" w:ascii="Times New Roman" w:hAnsi="Times New Roman" w:cs="Times New Roman"/>
                <w:sz w:val="20"/>
                <w:szCs w:val="20"/>
                <w:highlight w:val="none"/>
              </w:rPr>
              <w:t>单位</w:t>
            </w:r>
            <w:r>
              <w:rPr>
                <w:rFonts w:hint="default" w:ascii="Times New Roman" w:hAnsi="Times New Roman" w:cs="Times New Roman"/>
                <w:color w:val="000000"/>
                <w:sz w:val="20"/>
                <w:szCs w:val="20"/>
                <w:highlight w:val="none"/>
              </w:rPr>
              <w:t>：</w:t>
            </w:r>
            <w:r>
              <w:rPr>
                <w:rFonts w:hint="default" w:ascii="Times New Roman" w:hAnsi="Times New Roman" w:cs="Times New Roman"/>
                <w:color w:val="000000"/>
                <w:sz w:val="20"/>
                <w:highlight w:val="none"/>
                <w:u w:color="auto"/>
              </w:rPr>
              <w:t>垫江县黄沙镇综合行政执法大队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单位：</w:t>
            </w:r>
            <w:r>
              <w:rPr>
                <w:rFonts w:hint="default" w:ascii="Times New Roman" w:hAnsi="Times New Roman" w:cs="Times New Roman"/>
                <w:sz w:val="20"/>
                <w:szCs w:val="20"/>
                <w:highlight w:val="none"/>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highlight w:val="none"/>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b/>
                <w:bCs/>
                <w:color w:val="000000"/>
                <w:sz w:val="20"/>
                <w:szCs w:val="20"/>
                <w:highlight w:val="none"/>
              </w:rPr>
              <w:t>0.00</w:t>
            </w:r>
            <w:r>
              <w:rPr>
                <w:rFonts w:hint="default" w:ascii="Times New Roman" w:hAnsi="Times New Roman" w:cs="Times New Roman"/>
                <w:b/>
                <w:color w:val="000000"/>
                <w:sz w:val="20"/>
                <w:highlight w:val="none"/>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highlight w:val="none"/>
              </w:rPr>
            </w:pPr>
            <w:r>
              <w:rPr>
                <w:rFonts w:hint="default" w:ascii="Times New Roman" w:hAnsi="Times New Roman" w:cs="Times New Roman"/>
                <w:color w:val="000000"/>
                <w:sz w:val="20"/>
                <w:szCs w:val="20"/>
                <w:highlight w:val="none"/>
              </w:rPr>
              <w:t xml:space="preserve">0.00 </w:t>
            </w:r>
          </w:p>
        </w:tc>
      </w:tr>
    </w:tbl>
    <w:p>
      <w:pPr>
        <w:rPr>
          <w:rFonts w:hint="default" w:ascii="Times New Roman" w:hAnsi="Times New Roman" w:cs="Times New Roman"/>
          <w:sz w:val="21"/>
          <w:szCs w:val="21"/>
          <w:highlight w:val="none"/>
        </w:rPr>
      </w:pPr>
      <w:r>
        <w:rPr>
          <w:rFonts w:hint="default" w:ascii="Times New Roman" w:hAnsi="Times New Roman" w:cs="Times New Roman"/>
          <w:sz w:val="20"/>
          <w:szCs w:val="20"/>
          <w:highlight w:val="none"/>
        </w:rPr>
        <w:t>备注：本表反映单位本年度国有资本经营预算财政拨款支出情况。本单位无国有资本经营收支，故本表无数据。</w:t>
      </w:r>
      <w:r>
        <w:rPr>
          <w:rFonts w:hint="default" w:ascii="Times New Roman" w:hAnsi="Times New Roman" w:cs="Times New Roman"/>
          <w:sz w:val="20"/>
          <w:szCs w:val="20"/>
          <w:highlight w:val="none"/>
        </w:rPr>
        <w:br w:type="textWrapping"/>
      </w:r>
      <w:r>
        <w:rPr>
          <w:rFonts w:hint="default" w:ascii="Times New Roman" w:hAnsi="Times New Roman" w:cs="Times New Roman"/>
          <w:sz w:val="20"/>
          <w:szCs w:val="20"/>
          <w:highlight w:val="none"/>
        </w:rPr>
        <w:br w:type="textWrapping"/>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highlight w:val="none"/>
              </w:rPr>
            </w:pPr>
            <w:r>
              <w:rPr>
                <w:rFonts w:hint="default" w:ascii="Times New Roman" w:hAnsi="Times New Roman" w:cs="Times New Roman"/>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highlight w:val="none"/>
              </w:rPr>
            </w:pPr>
            <w:r>
              <w:rPr>
                <w:rFonts w:hint="default" w:ascii="Times New Roman" w:hAnsi="Times New Roman" w:cs="Times New Roman"/>
                <w:color w:val="000000"/>
                <w:kern w:val="2"/>
                <w:sz w:val="20"/>
                <w:szCs w:val="20"/>
                <w:highlight w:val="none"/>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highlight w:val="none"/>
              </w:rPr>
            </w:pPr>
            <w:r>
              <w:rPr>
                <w:rFonts w:hint="default" w:ascii="Times New Roman" w:hAnsi="Times New Roman" w:cs="Times New Roman"/>
                <w:kern w:val="2"/>
                <w:sz w:val="20"/>
                <w:szCs w:val="20"/>
                <w:highlight w:val="none"/>
                <w:lang w:eastAsia="zh-CN"/>
              </w:rPr>
              <w:t>单位</w:t>
            </w:r>
            <w:r>
              <w:rPr>
                <w:rFonts w:hint="default" w:ascii="Times New Roman" w:hAnsi="Times New Roman" w:cs="Times New Roman"/>
                <w:color w:val="000000"/>
                <w:kern w:val="2"/>
                <w:sz w:val="20"/>
                <w:szCs w:val="20"/>
                <w:highlight w:val="none"/>
              </w:rPr>
              <w:t>：</w:t>
            </w:r>
            <w:r>
              <w:rPr>
                <w:rFonts w:hint="default" w:ascii="Times New Roman" w:hAnsi="Times New Roman" w:cs="Times New Roman"/>
                <w:color w:val="000000"/>
                <w:sz w:val="20"/>
                <w:highlight w:val="none"/>
                <w:u w:color="auto"/>
              </w:rPr>
              <w:t>垫江县黄沙镇综合行政执法大队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highlight w:val="none"/>
              </w:rPr>
            </w:pPr>
            <w:r>
              <w:rPr>
                <w:rFonts w:hint="default" w:ascii="Times New Roman" w:hAnsi="Times New Roman" w:cs="Times New Roman"/>
                <w:color w:val="000000"/>
                <w:kern w:val="2"/>
                <w:sz w:val="20"/>
                <w:szCs w:val="20"/>
                <w:highlight w:val="none"/>
              </w:rPr>
              <w:t>单位：</w:t>
            </w:r>
            <w:r>
              <w:rPr>
                <w:rFonts w:hint="default" w:ascii="Times New Roman" w:hAnsi="Times New Roman" w:cs="Times New Roman"/>
                <w:kern w:val="2"/>
                <w:sz w:val="20"/>
                <w:szCs w:val="20"/>
                <w:highlight w:val="none"/>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highlight w:val="none"/>
              </w:rPr>
            </w:pPr>
            <w:r>
              <w:rPr>
                <w:rFonts w:hint="default" w:ascii="Times New Roman" w:hAnsi="Times New Roman" w:cs="Times New Roman"/>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highlight w:val="none"/>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highlight w:val="none"/>
              </w:rPr>
            </w:pPr>
            <w:r>
              <w:rPr>
                <w:rFonts w:hint="default" w:ascii="Times New Roman" w:hAnsi="Times New Roman" w:cs="Times New Roman"/>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highlight w:val="none"/>
              </w:rPr>
            </w:pP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highlight w:val="none"/>
              </w:rPr>
            </w:pPr>
            <w:r>
              <w:rPr>
                <w:rFonts w:hint="default" w:ascii="Times New Roman" w:hAnsi="Times New Roman" w:cs="Times New Roman"/>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3.84</w:t>
            </w:r>
            <w:r>
              <w:rPr>
                <w:rFonts w:hint="default" w:ascii="Times New Roman" w:hAnsi="Times New Roman" w:cs="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highlight w:val="none"/>
              </w:rPr>
            </w:pPr>
          </w:p>
        </w:tc>
      </w:tr>
    </w:tbl>
    <w:p>
      <w:pP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highlight w:val="none"/>
        </w:rPr>
        <w:br w:type="textWrapping"/>
      </w:r>
      <w:r>
        <w:rPr>
          <w:rFonts w:hint="default" w:ascii="Times New Roman" w:hAnsi="Times New Roman" w:cs="Times New Roman"/>
          <w:sz w:val="18"/>
          <w:szCs w:val="18"/>
          <w:highlight w:val="none"/>
        </w:rPr>
        <w:t xml:space="preserve">      2.本套报表金额单位转换时可能存在尾数误差。</w:t>
      </w:r>
      <w:r>
        <w:rPr>
          <w:rFonts w:hint="default" w:ascii="Times New Roman" w:hAnsi="Times New Roman" w:cs="Times New Roman"/>
          <w:sz w:val="18"/>
          <w:szCs w:val="18"/>
          <w:highlight w:val="none"/>
        </w:rPr>
        <w:br w:type="textWrapping"/>
      </w:r>
      <w:r>
        <w:rPr>
          <w:rFonts w:hint="default" w:ascii="Times New Roman" w:hAnsi="Times New Roman" w:cs="Times New Roman"/>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103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0OTNkODc1MDQyNTU4ZWNjYmU3NWExNmUxZWU2NTY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6F78C7"/>
    <w:rsid w:val="0A86124A"/>
    <w:rsid w:val="0AB54CC0"/>
    <w:rsid w:val="0B9335CE"/>
    <w:rsid w:val="0BF2311A"/>
    <w:rsid w:val="0C7927C4"/>
    <w:rsid w:val="0C9B098C"/>
    <w:rsid w:val="0D673E11"/>
    <w:rsid w:val="0DDA54E4"/>
    <w:rsid w:val="0E3A5F83"/>
    <w:rsid w:val="0EE05564"/>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7A0FE4"/>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4A67F3"/>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FE417B"/>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635DB4"/>
    <w:rsid w:val="64FB113D"/>
    <w:rsid w:val="656152C6"/>
    <w:rsid w:val="6587477F"/>
    <w:rsid w:val="658C3A08"/>
    <w:rsid w:val="65901176"/>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93AB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autoRedefine/>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36"/>
    </w:rPr>
  </w:style>
  <w:style w:type="paragraph" w:customStyle="1" w:styleId="3">
    <w:name w:val="默认"/>
    <w:autoRedefine/>
    <w:qFormat/>
    <w:uiPriority w:val="99"/>
    <w:rPr>
      <w:rFonts w:ascii="Helvetica" w:hAnsi="Helvetica" w:eastAsia="宋体" w:cs="Helvetica"/>
      <w:color w:val="000000"/>
      <w:sz w:val="22"/>
      <w:szCs w:val="22"/>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autoRedefine/>
    <w:qFormat/>
    <w:uiPriority w:val="0"/>
    <w:rPr>
      <w:rFonts w:hint="default" w:ascii="Wingdings" w:hAnsi="Wingdings" w:cs="Wingdings"/>
      <w:b/>
      <w:bCs/>
    </w:rPr>
  </w:style>
  <w:style w:type="paragraph" w:customStyle="1" w:styleId="16">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autoRedefine/>
    <w:qFormat/>
    <w:uiPriority w:val="0"/>
    <w:rPr>
      <w:rFonts w:ascii="宋体" w:hAnsi="宋体"/>
      <w:sz w:val="18"/>
      <w:szCs w:val="18"/>
    </w:rPr>
  </w:style>
  <w:style w:type="paragraph" w:customStyle="1" w:styleId="18">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8370</Words>
  <Characters>10457</Characters>
  <Lines>186</Lines>
  <Paragraphs>52</Paragraphs>
  <TotalTime>1</TotalTime>
  <ScaleCrop>false</ScaleCrop>
  <LinksUpToDate>false</LinksUpToDate>
  <CharactersWithSpaces>11468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cp:lastModifiedBy>
  <dcterms:modified xsi:type="dcterms:W3CDTF">2025-09-18T07:44:19Z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