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bookmarkStart w:id="0" w:name="_GoBack"/>
      <w:bookmarkEnd w:id="0"/>
      <w:r>
        <w:rPr>
          <w:rFonts w:hint="default" w:ascii="Times New Roman" w:hAnsi="Times New Roman" w:eastAsia="方正小标宋_GBK" w:cs="Times New Roman"/>
          <w:sz w:val="44"/>
          <w:szCs w:val="44"/>
        </w:rPr>
        <w:t>垫江县长龙镇劳动就业和社会保障服务所</w:t>
      </w: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黑体_GBK" w:cs="Times New Roman"/>
          <w:sz w:val="32"/>
          <w:szCs w:val="32"/>
        </w:rPr>
      </w:pPr>
      <w:r>
        <w:rPr>
          <w:rStyle w:val="11"/>
          <w:rFonts w:hint="default" w:ascii="Times New Roman" w:hAnsi="Times New Roman" w:eastAsia="方正黑体_GBK" w:cs="Times New Roman"/>
          <w:sz w:val="32"/>
          <w:szCs w:val="32"/>
          <w:shd w:val="clear" w:color="auto" w:fill="FFFFFF"/>
        </w:rPr>
        <w:t>一、单位基本情况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420"/>
        <w:rPr>
          <w:rFonts w:hint="default" w:ascii="Times New Roman" w:hAnsi="Times New Roman" w:eastAsia="方正楷体_GBK" w:cs="Times New Roman"/>
          <w:sz w:val="32"/>
          <w:szCs w:val="32"/>
        </w:rPr>
      </w:pPr>
      <w:r>
        <w:rPr>
          <w:rStyle w:val="11"/>
          <w:rFonts w:hint="default" w:ascii="Times New Roman" w:hAnsi="Times New Roman" w:eastAsia="方正楷体_GBK"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420"/>
        <w:rPr>
          <w:rFonts w:hint="default" w:ascii="Times New Roman" w:hAnsi="Times New Roman" w:eastAsia="方正楷体_GBK" w:cs="Times New Roman"/>
          <w:sz w:val="32"/>
          <w:szCs w:val="32"/>
        </w:rPr>
      </w:pPr>
      <w:r>
        <w:rPr>
          <w:rStyle w:val="11"/>
          <w:rFonts w:hint="default" w:ascii="Times New Roman" w:hAnsi="Times New Roman" w:eastAsia="方正楷体_GBK" w:cs="Times New Roman"/>
          <w:sz w:val="32"/>
          <w:szCs w:val="32"/>
          <w:shd w:val="clear" w:color="auto" w:fill="FFFFFF"/>
        </w:rPr>
        <w:t>（二）机构设置</w:t>
      </w:r>
    </w:p>
    <w:p>
      <w:pPr>
        <w:pStyle w:val="2"/>
        <w:keepNext w:val="0"/>
        <w:keepLines w:val="0"/>
        <w:pageBreakBefore w:val="0"/>
        <w:widowControl/>
        <w:numPr>
          <w:ilvl w:val="0"/>
          <w:numId w:val="0"/>
        </w:numPr>
        <w:kinsoku/>
        <w:wordWrap/>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kern w:val="0"/>
          <w:sz w:val="32"/>
          <w:szCs w:val="32"/>
          <w:highlight w:val="none"/>
          <w:shd w:val="clear" w:color="auto" w:fill="FFFFFF"/>
          <w:lang w:val="en-US" w:eastAsia="zh-CN" w:bidi="ar-SA"/>
        </w:rPr>
      </w:pPr>
      <w:r>
        <w:rPr>
          <w:rFonts w:hint="default" w:ascii="Times New Roman" w:hAnsi="Times New Roman" w:eastAsia="方正仿宋_GBK" w:cs="Times New Roman"/>
          <w:kern w:val="0"/>
          <w:sz w:val="32"/>
          <w:szCs w:val="32"/>
          <w:highlight w:val="none"/>
          <w:shd w:val="clear" w:color="auto" w:fill="FFFFFF"/>
          <w:lang w:val="en-US" w:eastAsia="zh-CN" w:bidi="ar-SA"/>
        </w:rPr>
        <w:t>长龙镇劳动就业和社会保障服务所属于长龙镇人民政府下属二级事业单位。</w:t>
      </w:r>
      <w:r>
        <w:rPr>
          <w:rFonts w:hint="default" w:ascii="Times New Roman" w:hAnsi="Times New Roman" w:cs="Times New Roman"/>
          <w:kern w:val="0"/>
          <w:sz w:val="32"/>
          <w:szCs w:val="32"/>
          <w:highlight w:val="none"/>
          <w:shd w:val="clear" w:color="auto" w:fill="FFFFFF"/>
          <w:lang w:val="en-US" w:eastAsia="zh-CN" w:bidi="ar-SA"/>
        </w:rPr>
        <w:t>现有职工5人，其中：行政人员0人，事业人员5人。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黑体_GBK" w:cs="Times New Roman"/>
          <w:sz w:val="32"/>
          <w:szCs w:val="32"/>
        </w:rPr>
      </w:pPr>
      <w:r>
        <w:rPr>
          <w:rStyle w:val="11"/>
          <w:rFonts w:hint="default" w:ascii="Times New Roman" w:hAnsi="Times New Roman" w:eastAsia="方正黑体_GBK" w:cs="Times New Roman"/>
          <w:sz w:val="32"/>
          <w:szCs w:val="32"/>
          <w:shd w:val="clear" w:color="auto" w:fill="FFFFFF"/>
        </w:rPr>
        <w:t>二、</w:t>
      </w:r>
      <w:r>
        <w:rPr>
          <w:rStyle w:val="11"/>
          <w:rFonts w:hint="default" w:ascii="Times New Roman" w:hAnsi="Times New Roman" w:eastAsia="方正黑体_GBK" w:cs="Times New Roman"/>
          <w:sz w:val="32"/>
          <w:szCs w:val="32"/>
          <w:shd w:val="clear" w:color="auto" w:fill="FFFFFF"/>
          <w:lang w:eastAsia="zh-CN"/>
        </w:rPr>
        <w:t>单位</w:t>
      </w:r>
      <w:r>
        <w:rPr>
          <w:rStyle w:val="11"/>
          <w:rFonts w:hint="default" w:ascii="Times New Roman" w:hAnsi="Times New Roman" w:eastAsia="方正黑体_GBK" w:cs="Times New Roman"/>
          <w:sz w:val="32"/>
          <w:szCs w:val="32"/>
          <w:shd w:val="clear" w:color="auto" w:fill="FFFFFF"/>
        </w:rPr>
        <w:t>决算</w:t>
      </w:r>
      <w:r>
        <w:rPr>
          <w:rStyle w:val="11"/>
          <w:rFonts w:hint="default" w:ascii="Times New Roman" w:hAnsi="Times New Roman" w:eastAsia="方正黑体_GBK" w:cs="Times New Roman"/>
          <w:sz w:val="32"/>
          <w:szCs w:val="32"/>
          <w:shd w:val="clear" w:color="auto" w:fill="FFFFFF"/>
          <w:lang w:eastAsia="zh-CN"/>
        </w:rPr>
        <w:t>收支</w:t>
      </w:r>
      <w:r>
        <w:rPr>
          <w:rStyle w:val="11"/>
          <w:rFonts w:hint="default" w:ascii="Times New Roman" w:hAnsi="Times New Roman" w:eastAsia="方正黑体_GBK" w:cs="Times New Roman"/>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度收入总计74.47万元，支出总计</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与2023年度相比，增加7.91万元，增长11.88%，主要原因是</w:t>
      </w:r>
      <w:r>
        <w:rPr>
          <w:rFonts w:hint="default" w:ascii="Times New Roman" w:hAnsi="Times New Roman" w:eastAsia="方正仿宋_GBK" w:cs="Times New Roman"/>
          <w:sz w:val="32"/>
          <w:szCs w:val="32"/>
          <w:shd w:val="clear" w:color="auto" w:fill="FFFFFF"/>
          <w:lang w:val="en-US" w:eastAsia="zh-CN"/>
        </w:rPr>
        <w:t>本单位本年度人员增加，收支增加。</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度收入合计74.47万元，与2023年度相比，增加7.91万元，增长11.88%，主要原因是</w:t>
      </w:r>
      <w:r>
        <w:rPr>
          <w:rFonts w:hint="default" w:ascii="Times New Roman" w:hAnsi="Times New Roman" w:eastAsia="方正仿宋_GBK" w:cs="Times New Roman"/>
          <w:sz w:val="32"/>
          <w:szCs w:val="32"/>
          <w:shd w:val="clear" w:color="auto" w:fill="FFFFFF"/>
          <w:lang w:val="en-US" w:eastAsia="zh-CN"/>
        </w:rPr>
        <w:t>本单位本年度人员增加，财政拨款收入增加。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万元，与2023年度相比，增加7.91万元，增长11.88%，主要原因是主要原因是</w:t>
      </w:r>
      <w:r>
        <w:rPr>
          <w:rFonts w:hint="default" w:ascii="Times New Roman" w:hAnsi="Times New Roman" w:eastAsia="方正仿宋_GBK" w:cs="Times New Roman"/>
          <w:sz w:val="32"/>
          <w:szCs w:val="32"/>
          <w:shd w:val="clear" w:color="auto" w:fill="FFFFFF"/>
          <w:lang w:val="en-US" w:eastAsia="zh-CN"/>
        </w:rPr>
        <w:t>本单位本年度人员增加，支出增加。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w:t>
      </w:r>
      <w:r>
        <w:rPr>
          <w:rFonts w:hint="default" w:ascii="Times New Roman" w:hAnsi="Times New Roman" w:eastAsia="方正仿宋_GBK" w:cs="Times New Roman"/>
          <w:color w:val="auto"/>
          <w:sz w:val="32"/>
          <w:szCs w:val="32"/>
          <w:lang w:eastAsia="zh-CN"/>
        </w:rPr>
        <w:t>项目资金都已及时支付。</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总计74.47万元。与202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总计各增加7.91万元，增长11.88%。主要原因是</w:t>
      </w:r>
      <w:r>
        <w:rPr>
          <w:rFonts w:hint="default" w:ascii="Times New Roman" w:hAnsi="Times New Roman" w:eastAsia="方正仿宋_GBK" w:cs="Times New Roman"/>
          <w:sz w:val="32"/>
          <w:szCs w:val="32"/>
          <w:shd w:val="clear" w:color="auto" w:fill="FFFFFF"/>
          <w:lang w:val="en-US" w:eastAsia="zh-CN"/>
        </w:rPr>
        <w:t>本单位本年度人员增加，收支增加。</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万元，与2023年度相比，增加7.91万元，增长11.88%。主要原因是</w:t>
      </w:r>
      <w:r>
        <w:rPr>
          <w:rFonts w:hint="default" w:ascii="Times New Roman" w:hAnsi="Times New Roman" w:eastAsia="方正仿宋_GBK" w:cs="Times New Roman"/>
          <w:sz w:val="32"/>
          <w:szCs w:val="32"/>
          <w:shd w:val="clear" w:color="auto" w:fill="FFFFFF"/>
          <w:lang w:val="en-US" w:eastAsia="zh-CN"/>
        </w:rPr>
        <w:t>本单位本年度人员增加，财政拨款收入增加。</w:t>
      </w:r>
      <w:r>
        <w:rPr>
          <w:rFonts w:hint="default" w:ascii="Times New Roman" w:hAnsi="Times New Roman" w:eastAsia="方正仿宋_GBK" w:cs="Times New Roman"/>
          <w:sz w:val="32"/>
          <w:szCs w:val="32"/>
          <w:shd w:val="clear" w:color="auto" w:fill="FFFFFF"/>
        </w:rPr>
        <w:t>较年初预算数增加26.99万元，增长56.84%。主要原因是</w:t>
      </w:r>
      <w:r>
        <w:rPr>
          <w:rFonts w:hint="default" w:ascii="Times New Roman" w:hAnsi="Times New Roman" w:eastAsia="方正仿宋_GBK" w:cs="Times New Roman"/>
          <w:sz w:val="32"/>
          <w:szCs w:val="32"/>
          <w:shd w:val="clear" w:color="auto" w:fill="FFFFFF"/>
          <w:lang w:eastAsia="zh-CN"/>
        </w:rPr>
        <w:t>本单位收入和补助收入</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万元，与2023年度相比，增加7.91万元，增长11.88%。主要原因是</w:t>
      </w:r>
      <w:r>
        <w:rPr>
          <w:rFonts w:hint="default" w:ascii="Times New Roman" w:hAnsi="Times New Roman" w:eastAsia="方正仿宋_GBK" w:cs="Times New Roman"/>
          <w:sz w:val="32"/>
          <w:szCs w:val="32"/>
          <w:shd w:val="clear" w:color="auto" w:fill="FFFFFF"/>
          <w:lang w:val="en-US" w:eastAsia="zh-CN"/>
        </w:rPr>
        <w:t>本年度人员增加，支出增加。</w:t>
      </w:r>
      <w:r>
        <w:rPr>
          <w:rFonts w:hint="default" w:ascii="Times New Roman" w:hAnsi="Times New Roman" w:eastAsia="方正仿宋_GBK" w:cs="Times New Roman"/>
          <w:sz w:val="32"/>
          <w:szCs w:val="32"/>
          <w:shd w:val="clear" w:color="auto" w:fill="FFFFFF"/>
        </w:rPr>
        <w:t>较年初预算数增加26.99万元，增长56.84%。主要原因是</w:t>
      </w:r>
      <w:r>
        <w:rPr>
          <w:rFonts w:hint="default" w:ascii="Times New Roman" w:hAnsi="Times New Roman" w:eastAsia="方正仿宋_GBK" w:cs="Times New Roman"/>
          <w:sz w:val="32"/>
          <w:szCs w:val="32"/>
          <w:shd w:val="clear" w:color="auto" w:fill="FFFFFF"/>
          <w:lang w:eastAsia="zh-CN"/>
        </w:rPr>
        <w:t>本单位人员调资和项目支出</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各项项目资金</w:t>
      </w:r>
      <w:r>
        <w:rPr>
          <w:rFonts w:hint="default" w:ascii="Times New Roman" w:hAnsi="Times New Roman" w:eastAsia="方正仿宋_GBK" w:cs="Times New Roman"/>
          <w:color w:val="auto"/>
          <w:sz w:val="32"/>
          <w:szCs w:val="32"/>
          <w:lang w:eastAsia="zh-CN"/>
        </w:rPr>
        <w:t>都已及时支付。</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67.85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91.11</w:t>
      </w:r>
      <w:r>
        <w:rPr>
          <w:rFonts w:hint="default" w:ascii="Times New Roman" w:hAnsi="Times New Roman" w:eastAsia="方正仿宋_GBK" w:cs="Times New Roman"/>
          <w:sz w:val="32"/>
          <w:szCs w:val="32"/>
          <w:shd w:val="clear" w:color="auto" w:fill="FFFFFF"/>
        </w:rPr>
        <w:t>%，较年初预算数增加24.44万元，增长56.30%，主要原因是</w:t>
      </w:r>
      <w:r>
        <w:rPr>
          <w:rFonts w:hint="default" w:ascii="Times New Roman" w:hAnsi="Times New Roman" w:eastAsia="方正仿宋_GBK" w:cs="Times New Roman"/>
          <w:sz w:val="32"/>
          <w:szCs w:val="32"/>
          <w:shd w:val="clear" w:color="auto" w:fill="FFFFFF"/>
          <w:lang w:eastAsia="zh-CN"/>
        </w:rPr>
        <w:t>人员调整，养老保险、职业年金等基数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2.74</w:t>
      </w:r>
      <w:r>
        <w:rPr>
          <w:rFonts w:hint="default" w:ascii="Times New Roman" w:hAnsi="Times New Roman" w:eastAsia="方正仿宋_GBK" w:cs="Times New Roman"/>
          <w:sz w:val="32"/>
          <w:szCs w:val="32"/>
          <w:shd w:val="clear" w:color="auto" w:fill="FFFFFF"/>
        </w:rPr>
        <w:t>%，较年初预算数增加0.19万元，增长10.27%，主要原因是人员调整，医疗保险支出</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6.16</w:t>
      </w:r>
      <w:r>
        <w:rPr>
          <w:rFonts w:hint="default" w:ascii="Times New Roman" w:hAnsi="Times New Roman" w:eastAsia="方正仿宋_GBK" w:cs="Times New Roman"/>
          <w:sz w:val="32"/>
          <w:szCs w:val="32"/>
          <w:shd w:val="clear" w:color="auto" w:fill="FFFFFF"/>
        </w:rPr>
        <w:t>%，较年初预算数增加2.36万元，增长106.31%，主要原因是</w:t>
      </w:r>
      <w:r>
        <w:rPr>
          <w:rFonts w:hint="default" w:ascii="Times New Roman" w:hAnsi="Times New Roman" w:eastAsia="方正仿宋_GBK" w:cs="Times New Roman"/>
          <w:sz w:val="32"/>
          <w:szCs w:val="32"/>
          <w:shd w:val="clear" w:color="auto" w:fill="FFFFFF"/>
          <w:lang w:eastAsia="zh-CN"/>
        </w:rPr>
        <w:t>人员调整，住房公积金支出增加。</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74.47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71.74</w:t>
      </w:r>
      <w:r>
        <w:rPr>
          <w:rFonts w:hint="default" w:ascii="Times New Roman" w:hAnsi="Times New Roman" w:eastAsia="方正仿宋_GBK" w:cs="Times New Roman"/>
          <w:sz w:val="32"/>
          <w:szCs w:val="32"/>
          <w:shd w:val="clear" w:color="auto" w:fill="FFFFFF"/>
        </w:rPr>
        <w:t>万元，与2023年度相比，增加11.95万元，增长19.99%，主要原因是</w:t>
      </w:r>
      <w:r>
        <w:rPr>
          <w:rFonts w:hint="default" w:ascii="Times New Roman" w:hAnsi="Times New Roman" w:eastAsia="方正仿宋_GBK" w:cs="Times New Roman"/>
          <w:sz w:val="32"/>
          <w:szCs w:val="32"/>
          <w:shd w:val="clear" w:color="auto" w:fill="FFFFFF"/>
          <w:lang w:val="en-US" w:eastAsia="zh-CN"/>
        </w:rPr>
        <w:t>本单位本年度人员增加，支出增加。</w:t>
      </w:r>
      <w:r>
        <w:rPr>
          <w:rFonts w:hint="default" w:ascii="Times New Roman" w:hAnsi="Times New Roman" w:eastAsia="方正仿宋_GBK" w:cs="Times New Roman"/>
          <w:sz w:val="32"/>
          <w:szCs w:val="32"/>
          <w:shd w:val="clear" w:color="auto" w:fill="FFFFFF"/>
        </w:rPr>
        <w:t>人员经费用途主要包括基本工资、津贴补贴、奖金、社会保障缴费。公用经费</w:t>
      </w:r>
      <w:r>
        <w:rPr>
          <w:rFonts w:hint="default" w:ascii="Times New Roman" w:hAnsi="Times New Roman" w:eastAsia="方正仿宋_GBK" w:cs="Times New Roman"/>
          <w:sz w:val="32"/>
          <w:szCs w:val="32"/>
        </w:rPr>
        <w:t>2.73</w:t>
      </w:r>
      <w:r>
        <w:rPr>
          <w:rFonts w:hint="default" w:ascii="Times New Roman" w:hAnsi="Times New Roman" w:eastAsia="方正仿宋_GBK" w:cs="Times New Roman"/>
          <w:sz w:val="32"/>
          <w:szCs w:val="32"/>
          <w:shd w:val="clear" w:color="auto" w:fill="FFFFFF"/>
        </w:rPr>
        <w:t>万元，与2023年度相比，减少4.04万元，下降59.68%，主要原因是</w:t>
      </w:r>
      <w:r>
        <w:rPr>
          <w:rFonts w:hint="default" w:ascii="Times New Roman" w:hAnsi="Times New Roman" w:eastAsia="方正仿宋_GBK" w:cs="Times New Roman"/>
          <w:sz w:val="32"/>
          <w:szCs w:val="32"/>
          <w:shd w:val="clear" w:color="auto" w:fill="FFFFFF"/>
          <w:lang w:val="en-US" w:eastAsia="zh-CN"/>
        </w:rPr>
        <w:t>本年度无公用经费支出。</w:t>
      </w:r>
      <w:r>
        <w:rPr>
          <w:rFonts w:hint="default" w:ascii="Times New Roman" w:hAnsi="Times New Roman" w:eastAsia="方正仿宋_GBK" w:cs="Times New Roman"/>
          <w:sz w:val="32"/>
          <w:szCs w:val="32"/>
          <w:shd w:val="clear" w:color="auto" w:fill="FFFFFF"/>
        </w:rPr>
        <w:t>公用经费用途主要包括办公费、印刷费、咨询费、手续费、劳务费等。</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三、</w:t>
      </w:r>
      <w:r>
        <w:rPr>
          <w:rStyle w:val="11"/>
          <w:rFonts w:hint="default" w:ascii="Times New Roman" w:hAnsi="Times New Roman" w:eastAsia="方正黑体_GBK" w:cs="Times New Roman"/>
          <w:sz w:val="32"/>
          <w:szCs w:val="32"/>
          <w:shd w:val="clear" w:color="auto" w:fill="FFFFFF"/>
          <w:lang w:eastAsia="zh-CN"/>
        </w:rPr>
        <w:t>财政拨款</w:t>
      </w:r>
      <w:r>
        <w:rPr>
          <w:rStyle w:val="11"/>
          <w:rFonts w:hint="default" w:ascii="Times New Roman" w:hAnsi="Times New Roman" w:eastAsia="方正黑体_GBK" w:cs="Times New Roman"/>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 xml:space="preserve"> （一）“三公”经费支出总体情况说明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eastAsia="zh-CN"/>
        </w:rPr>
        <w:t>本单位无三公经费支出。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本单位无三公经费支出。</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万元，费用支出较年初预算数无增减，主要原因是本单位无因公出国（境）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较上年支出数无增减，主要原因是单位无因公出国（境）</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万元，费用支出较年初预算数无增减，主要原因是本单位无公务车购置。较上年支出数无增减，主要原因是本单位无公务车购置。</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万元，费用支出较年初预算数无增减，主要原因是本单位无公务车运行</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较上年支出数无增减，主要原因是本单位无公务车运行</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万元，费用支出较年初预算数无增减，主要原因是本单位无</w:t>
      </w:r>
      <w:r>
        <w:rPr>
          <w:rFonts w:hint="default" w:ascii="Times New Roman" w:hAnsi="Times New Roman" w:eastAsia="方正仿宋_GBK" w:cs="Times New Roman"/>
          <w:sz w:val="32"/>
          <w:szCs w:val="32"/>
          <w:shd w:val="clear" w:color="auto" w:fill="FFFFFF"/>
          <w:lang w:eastAsia="zh-CN"/>
        </w:rPr>
        <w:t>公务接待。</w:t>
      </w:r>
      <w:r>
        <w:rPr>
          <w:rFonts w:hint="default" w:ascii="Times New Roman" w:hAnsi="Times New Roman" w:eastAsia="方正仿宋_GBK" w:cs="Times New Roman"/>
          <w:sz w:val="32"/>
          <w:szCs w:val="32"/>
          <w:shd w:val="clear" w:color="auto" w:fill="FFFFFF"/>
        </w:rPr>
        <w:t>较上年支出数无增减，主要原因是本单位无</w:t>
      </w:r>
      <w:r>
        <w:rPr>
          <w:rFonts w:hint="default" w:ascii="Times New Roman" w:hAnsi="Times New Roman" w:eastAsia="方正仿宋_GBK" w:cs="Times New Roman"/>
          <w:sz w:val="32"/>
          <w:szCs w:val="32"/>
          <w:shd w:val="clear" w:color="auto" w:fill="FFFFFF"/>
          <w:lang w:eastAsia="zh-CN"/>
        </w:rPr>
        <w:t>公务接待。</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sz w:val="32"/>
          <w:szCs w:val="32"/>
          <w:shd w:val="clear" w:color="auto" w:fill="FFFFFF"/>
          <w:lang w:val="en-US" w:eastAsia="zh-CN"/>
        </w:rPr>
        <w:t>本年度无会议费支出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万元，与2023年度相比，减少0.20万元，下降100.00%，主要原因</w:t>
      </w:r>
      <w:r>
        <w:rPr>
          <w:rFonts w:hint="default" w:ascii="Times New Roman" w:hAnsi="Times New Roman" w:eastAsia="方正仿宋_GBK" w:cs="Times New Roman"/>
          <w:sz w:val="32"/>
          <w:szCs w:val="32"/>
          <w:shd w:val="clear" w:color="auto" w:fill="FFFFFF"/>
          <w:lang w:val="en-US" w:eastAsia="zh-CN"/>
        </w:rPr>
        <w:t>本年度无培训费支出</w:t>
      </w:r>
      <w:r>
        <w:rPr>
          <w:rFonts w:hint="default" w:ascii="Times New Roman" w:hAnsi="Times New Roman" w:eastAsia="方正仿宋_GBK" w:cs="Times New Roman"/>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万元，机关运行经费较上年支出数无增减，</w:t>
      </w:r>
      <w:r>
        <w:rPr>
          <w:rFonts w:hint="default" w:ascii="Times New Roman" w:hAnsi="Times New Roman" w:eastAsia="方正仿宋_GBK" w:cs="Times New Roman"/>
          <w:bCs/>
          <w:color w:val="auto"/>
          <w:sz w:val="32"/>
          <w:szCs w:val="32"/>
        </w:rPr>
        <w:t>主要原因是按照部门决算列报口径，我单位不在机关运行经费统计范围之内。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  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r>
        <w:rPr>
          <w:rFonts w:hint="default" w:ascii="Times New Roman" w:hAnsi="Times New Roman" w:eastAsia="方正仿宋_GBK" w:cs="Times New Roman"/>
          <w:sz w:val="32"/>
          <w:szCs w:val="32"/>
          <w:shd w:val="clear" w:color="auto" w:fill="FFFFFF"/>
          <w:lang w:eastAsia="zh-CN"/>
        </w:rPr>
        <w:t>因本单位</w:t>
      </w:r>
      <w:r>
        <w:rPr>
          <w:rFonts w:hint="eastAsia" w:ascii="Times New Roman" w:hAnsi="Times New Roman" w:eastAsia="方正仿宋_GBK" w:cs="Times New Roman"/>
          <w:sz w:val="32"/>
          <w:szCs w:val="32"/>
          <w:shd w:val="clear" w:color="auto" w:fill="FFFFFF"/>
          <w:lang w:eastAsia="zh-CN"/>
        </w:rPr>
        <w:t>属于</w:t>
      </w:r>
      <w:r>
        <w:rPr>
          <w:rFonts w:hint="default" w:ascii="Times New Roman" w:hAnsi="Times New Roman" w:eastAsia="方正仿宋_GBK" w:cs="Times New Roman"/>
          <w:sz w:val="32"/>
          <w:szCs w:val="32"/>
          <w:shd w:val="clear" w:color="auto" w:fill="FFFFFF"/>
          <w:lang w:val="en-US" w:eastAsia="zh-CN" w:bidi="ar-SA"/>
        </w:rPr>
        <w:t>长龙镇人民政府下属二级事业单位，且单位资产全部在政府本级入账，我单位资产未纳入部门决算报表。</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（一）单位自评情况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lang w:eastAsia="zh-CN" w:bidi="ar"/>
        </w:rPr>
      </w:pPr>
      <w:r>
        <w:rPr>
          <w:rFonts w:hint="default" w:ascii="Times New Roman" w:hAnsi="Times New Roman" w:eastAsia="方正仿宋_GBK" w:cs="Times New Roman"/>
          <w:sz w:val="32"/>
          <w:szCs w:val="32"/>
          <w:shd w:val="clear" w:color="auto" w:fill="FFFFFF"/>
          <w:lang w:eastAsia="zh-CN" w:bidi="ar"/>
        </w:rPr>
        <w:t>根据预算绩效管理要求，我单位对0个二级项目开展了绩效自评，涉及财政拨款项目支出资金0万元。</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（二）单位绩效评价情况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（三）财政绩效评价情况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1"/>
          <w:rFonts w:hint="default" w:ascii="Times New Roman" w:hAnsi="Times New Roman" w:eastAsia="黑体" w:cs="Times New Roman"/>
          <w:sz w:val="32"/>
          <w:szCs w:val="32"/>
          <w:shd w:val="clear" w:color="auto" w:fill="FFFFFF"/>
          <w:lang w:val="en-US" w:eastAsia="zh-CN"/>
        </w:rPr>
      </w:pPr>
      <w:r>
        <w:rPr>
          <w:rStyle w:val="11"/>
          <w:rFonts w:hint="default" w:ascii="Times New Roman" w:hAnsi="Times New Roman" w:eastAsia="黑体" w:cs="Times New Roman"/>
          <w:sz w:val="32"/>
          <w:szCs w:val="32"/>
          <w:shd w:val="clear" w:color="auto" w:fill="FFFFFF"/>
          <w:lang w:val="en-US" w:eastAsia="zh-CN"/>
        </w:rPr>
        <w:t xml:space="preserve">  </w:t>
      </w:r>
      <w:r>
        <w:rPr>
          <w:rStyle w:val="11"/>
          <w:rFonts w:hint="default" w:ascii="Times New Roman" w:hAnsi="Times New Roman" w:eastAsia="方正黑体_GBK" w:cs="Times New Roman"/>
          <w:sz w:val="32"/>
          <w:szCs w:val="32"/>
          <w:shd w:val="clear" w:color="auto" w:fill="FFFFFF"/>
          <w:lang w:val="en-US" w:eastAsia="zh-CN"/>
        </w:rPr>
        <w:t>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0" w:firstLineChars="0"/>
        <w:rPr>
          <w:rStyle w:val="11"/>
          <w:rFonts w:hint="default" w:ascii="Times New Roman" w:hAnsi="Times New Roman" w:eastAsia="方正仿宋_GBK" w:cs="Times New Roman"/>
          <w:sz w:val="32"/>
          <w:szCs w:val="32"/>
          <w:shd w:val="clear" w:color="auto" w:fill="FFFF00"/>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auto"/>
          <w:kern w:val="2"/>
          <w:sz w:val="32"/>
          <w:szCs w:val="32"/>
          <w:lang w:bidi="ar"/>
        </w:rPr>
        <w:t>垫江县</w:t>
      </w:r>
      <w:r>
        <w:rPr>
          <w:rFonts w:hint="default" w:ascii="Times New Roman" w:hAnsi="Times New Roman" w:eastAsia="方正仿宋_GBK" w:cs="Times New Roman"/>
          <w:color w:val="auto"/>
          <w:kern w:val="2"/>
          <w:sz w:val="32"/>
          <w:szCs w:val="32"/>
          <w:lang w:eastAsia="zh-CN" w:bidi="ar"/>
        </w:rPr>
        <w:t>长龙</w:t>
      </w:r>
      <w:r>
        <w:rPr>
          <w:rFonts w:hint="default" w:ascii="Times New Roman" w:hAnsi="Times New Roman" w:eastAsia="方正仿宋_GBK" w:cs="Times New Roman"/>
          <w:color w:val="auto"/>
          <w:kern w:val="2"/>
          <w:sz w:val="32"/>
          <w:szCs w:val="32"/>
          <w:lang w:bidi="ar"/>
        </w:rPr>
        <w:t>镇人民政府办公室电话</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023-74510218</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垫江县长龙镇劳动就业和社会保障服务所</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垫江县长龙镇劳动就业和社会保障服务所</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垫江县长龙镇劳动就业和社会保障服务所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垫江县长龙镇劳动就业和社会保障服务所</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垫江县长龙镇劳动就业和社会保障服务所</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垫江县长龙镇劳动就业和社会保障服务所</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71.74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垫江县长龙镇劳动就业和社会保障服务所</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垫江县长龙镇劳动就业和社会保障服务所</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垫江县长龙镇劳动就业和社会保障服务所</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912F41"/>
    <w:rsid w:val="03B87EA0"/>
    <w:rsid w:val="03E3214F"/>
    <w:rsid w:val="044C50BA"/>
    <w:rsid w:val="05BC6D49"/>
    <w:rsid w:val="06194FF1"/>
    <w:rsid w:val="06A2550B"/>
    <w:rsid w:val="06F80EE2"/>
    <w:rsid w:val="07001CCA"/>
    <w:rsid w:val="075678DB"/>
    <w:rsid w:val="077D6EB7"/>
    <w:rsid w:val="079D7CC7"/>
    <w:rsid w:val="07B630B3"/>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E255E5"/>
    <w:rsid w:val="13871C70"/>
    <w:rsid w:val="13A71CB4"/>
    <w:rsid w:val="13AF1D43"/>
    <w:rsid w:val="13CE1647"/>
    <w:rsid w:val="13FD55AB"/>
    <w:rsid w:val="14200702"/>
    <w:rsid w:val="15B14634"/>
    <w:rsid w:val="163A6CEE"/>
    <w:rsid w:val="173708E3"/>
    <w:rsid w:val="17C374FC"/>
    <w:rsid w:val="182E4AB6"/>
    <w:rsid w:val="189079DC"/>
    <w:rsid w:val="189B0D0B"/>
    <w:rsid w:val="18B43F7C"/>
    <w:rsid w:val="194A1770"/>
    <w:rsid w:val="19B906A4"/>
    <w:rsid w:val="1B6F15B6"/>
    <w:rsid w:val="1BAA2EDC"/>
    <w:rsid w:val="1CA55E64"/>
    <w:rsid w:val="1CB44094"/>
    <w:rsid w:val="1D014A01"/>
    <w:rsid w:val="1D022362"/>
    <w:rsid w:val="1D1B04B0"/>
    <w:rsid w:val="1DA52501"/>
    <w:rsid w:val="1DBD6767"/>
    <w:rsid w:val="1DC52125"/>
    <w:rsid w:val="1DD26311"/>
    <w:rsid w:val="1E374ACB"/>
    <w:rsid w:val="1ECF0A66"/>
    <w:rsid w:val="1EF67CA4"/>
    <w:rsid w:val="1EFC3418"/>
    <w:rsid w:val="1F020D3A"/>
    <w:rsid w:val="1F2C5189"/>
    <w:rsid w:val="1F4B0B02"/>
    <w:rsid w:val="1FBB35CD"/>
    <w:rsid w:val="1FCD26AF"/>
    <w:rsid w:val="20642787"/>
    <w:rsid w:val="21556F04"/>
    <w:rsid w:val="217B3A28"/>
    <w:rsid w:val="22403BD3"/>
    <w:rsid w:val="23C5241A"/>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C87244"/>
    <w:rsid w:val="2F6D382F"/>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8488F"/>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DC6B20"/>
    <w:rsid w:val="48E36915"/>
    <w:rsid w:val="48EB6572"/>
    <w:rsid w:val="495C4A24"/>
    <w:rsid w:val="497135DF"/>
    <w:rsid w:val="4A263DF2"/>
    <w:rsid w:val="4A6F6675"/>
    <w:rsid w:val="4B135857"/>
    <w:rsid w:val="4B7951CB"/>
    <w:rsid w:val="4B7C315C"/>
    <w:rsid w:val="4DAC4ACA"/>
    <w:rsid w:val="4DBE01D2"/>
    <w:rsid w:val="4E625848"/>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E232AD"/>
    <w:rsid w:val="552256E1"/>
    <w:rsid w:val="554E5773"/>
    <w:rsid w:val="555829E0"/>
    <w:rsid w:val="555A3CBC"/>
    <w:rsid w:val="5582012B"/>
    <w:rsid w:val="558E4E05"/>
    <w:rsid w:val="55BE2E85"/>
    <w:rsid w:val="56530F5D"/>
    <w:rsid w:val="567700D3"/>
    <w:rsid w:val="56FF7E9E"/>
    <w:rsid w:val="578867FC"/>
    <w:rsid w:val="57A73681"/>
    <w:rsid w:val="5842572D"/>
    <w:rsid w:val="59F352E2"/>
    <w:rsid w:val="5A3B59D6"/>
    <w:rsid w:val="5AD134D8"/>
    <w:rsid w:val="5B9A01F8"/>
    <w:rsid w:val="5C263CE4"/>
    <w:rsid w:val="5C5D2777"/>
    <w:rsid w:val="5CF66BF3"/>
    <w:rsid w:val="5D290C69"/>
    <w:rsid w:val="5DDB63E2"/>
    <w:rsid w:val="5F2D4A41"/>
    <w:rsid w:val="60C74F6C"/>
    <w:rsid w:val="61025A59"/>
    <w:rsid w:val="613D5BBC"/>
    <w:rsid w:val="61536C39"/>
    <w:rsid w:val="62944DD7"/>
    <w:rsid w:val="62994B45"/>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417BB2"/>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8332589"/>
    <w:rsid w:val="796D60A4"/>
    <w:rsid w:val="79A031D5"/>
    <w:rsid w:val="7A1525F7"/>
    <w:rsid w:val="7B420052"/>
    <w:rsid w:val="7BD06A28"/>
    <w:rsid w:val="7C3A7C0B"/>
    <w:rsid w:val="7C5248E4"/>
    <w:rsid w:val="7C566698"/>
    <w:rsid w:val="7C5866A3"/>
    <w:rsid w:val="7D7406BB"/>
    <w:rsid w:val="7DE94331"/>
    <w:rsid w:val="7EF376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Calibri" w:hAnsi="Calibri" w:eastAsia="方正仿宋_GBK"/>
      <w:kern w:val="2"/>
      <w:sz w:val="33"/>
      <w:szCs w:val="33"/>
      <w:lang w:val="en-US" w:eastAsia="zh-CN" w:bidi="ar-SA"/>
    </w:rPr>
  </w:style>
  <w:style w:type="paragraph" w:styleId="3">
    <w:name w:val="Balloon Text"/>
    <w:basedOn w:val="1"/>
    <w:link w:val="16"/>
    <w:autoRedefine/>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8136</Words>
  <Characters>10062</Characters>
  <Lines>190</Lines>
  <Paragraphs>53</Paragraphs>
  <TotalTime>3</TotalTime>
  <ScaleCrop>false</ScaleCrop>
  <LinksUpToDate>false</LinksUpToDate>
  <CharactersWithSpaces>11056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2025-09-24T03:58:38Z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6B948129F1E5430BB0095D970E38615A_13</vt:lpwstr>
  </property>
  <property fmtid="{D5CDD505-2E9C-101B-9397-08002B2CF9AE}" pid="4" name="KSOTemplateDocerSaveRecord">
    <vt:lpwstr>eyJoZGlkIjoiOWE3ZGQxMWQxY2I0ZTU0ZGQwMDkwNGRkYjk1ZDY3YmUiLCJ1c2VySWQiOiI0MjgwMDc4OTcifQ==</vt:lpwstr>
  </property>
</Properties>
</file>