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N/>
        <w:bidi w:val="0"/>
        <w:spacing w:before="0" w:beforeAutospacing="0" w:after="0" w:afterAutospacing="0" w:line="594"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垫江县长龙镇综合行政执法大队</w:t>
      </w:r>
    </w:p>
    <w:p>
      <w:pPr>
        <w:pStyle w:val="7"/>
        <w:keepNext w:val="0"/>
        <w:keepLines w:val="0"/>
        <w:pageBreakBefore w:val="0"/>
        <w:widowControl/>
        <w:kinsoku/>
        <w:wordWrap/>
        <w:overflowPunct/>
        <w:topLinePunct w:val="0"/>
        <w:autoSpaceDN/>
        <w:bidi w:val="0"/>
        <w:spacing w:before="0" w:beforeAutospacing="0" w:after="0" w:afterAutospacing="0" w:line="594" w:lineRule="exact"/>
        <w:jc w:val="center"/>
        <w:textAlignment w:val="auto"/>
        <w:rPr>
          <w:rFonts w:hint="default" w:ascii="Times New Roman" w:hAnsi="Times New Roman" w:cs="Times New Roman"/>
          <w:sz w:val="27"/>
          <w:szCs w:val="27"/>
          <w:highlight w:val="none"/>
          <w:shd w:val="clear" w:color="auto" w:fill="FFFF00"/>
        </w:rPr>
      </w:pPr>
      <w:r>
        <w:rPr>
          <w:rFonts w:hint="default" w:ascii="Times New Roman" w:hAnsi="Times New Roman" w:eastAsia="方正小标宋_GBK" w:cs="Times New Roman"/>
          <w:sz w:val="44"/>
          <w:szCs w:val="44"/>
          <w:highlight w:val="none"/>
          <w:shd w:val="clear" w:color="auto" w:fill="FFFFFF"/>
          <w:lang w:eastAsia="zh-CN"/>
        </w:rPr>
        <w:t>2024年</w:t>
      </w:r>
      <w:r>
        <w:rPr>
          <w:rFonts w:hint="default" w:ascii="Times New Roman" w:hAnsi="Times New Roman" w:eastAsia="方正小标宋_GBK" w:cs="Times New Roman"/>
          <w:sz w:val="44"/>
          <w:szCs w:val="44"/>
          <w:highlight w:val="none"/>
          <w:shd w:val="clear" w:color="auto" w:fill="FFFFFF"/>
        </w:rPr>
        <w:t>度决算公开说明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94" w:lineRule="exact"/>
        <w:ind w:firstLine="640" w:firstLineChars="200"/>
        <w:textAlignment w:val="auto"/>
        <w:rPr>
          <w:rFonts w:hint="default" w:ascii="Times New Roman" w:hAnsi="Times New Roman" w:eastAsia="方正黑体_GBK" w:cs="Times New Roman"/>
          <w:sz w:val="32"/>
          <w:szCs w:val="32"/>
          <w:highlight w:val="none"/>
        </w:rPr>
      </w:pPr>
      <w:r>
        <w:rPr>
          <w:rStyle w:val="11"/>
          <w:rFonts w:hint="default" w:ascii="Times New Roman" w:hAnsi="Times New Roman" w:eastAsia="方正黑体_GBK" w:cs="Times New Roman"/>
          <w:sz w:val="32"/>
          <w:szCs w:val="32"/>
          <w:highlight w:val="none"/>
          <w:shd w:val="clear" w:color="auto" w:fill="FFFFFF"/>
        </w:rPr>
        <w:t>一、单位基本情况</w:t>
      </w:r>
      <w:bookmarkStart w:id="0" w:name="_GoBack"/>
      <w:bookmarkEnd w:id="0"/>
    </w:p>
    <w:p>
      <w:pPr>
        <w:pStyle w:val="7"/>
        <w:keepNext w:val="0"/>
        <w:keepLines w:val="0"/>
        <w:pageBreakBefore w:val="0"/>
        <w:widowControl/>
        <w:shd w:val="clear" w:color="auto" w:fill="FFFFFF"/>
        <w:kinsoku/>
        <w:wordWrap/>
        <w:overflowPunct/>
        <w:topLinePunct w:val="0"/>
        <w:autoSpaceDN/>
        <w:bidi w:val="0"/>
        <w:spacing w:beforeAutospacing="0" w:after="0" w:afterAutospacing="0" w:line="594" w:lineRule="exact"/>
        <w:ind w:firstLine="420"/>
        <w:textAlignment w:val="auto"/>
        <w:rPr>
          <w:rStyle w:val="11"/>
          <w:rFonts w:hint="default" w:ascii="Times New Roman" w:hAnsi="Times New Roman" w:eastAsia="方正楷体_GBK" w:cs="Times New Roman"/>
          <w:sz w:val="32"/>
          <w:szCs w:val="32"/>
          <w:highlight w:val="none"/>
          <w:shd w:val="clear" w:color="auto" w:fill="FFFFFF"/>
        </w:rPr>
      </w:pPr>
      <w:r>
        <w:rPr>
          <w:rStyle w:val="11"/>
          <w:rFonts w:hint="default" w:ascii="Times New Roman" w:hAnsi="Times New Roman" w:eastAsia="方正楷体_GBK" w:cs="Times New Roman"/>
          <w:sz w:val="32"/>
          <w:szCs w:val="32"/>
          <w:highlight w:val="none"/>
          <w:shd w:val="clear" w:color="auto" w:fill="FFFFFF"/>
        </w:rPr>
        <w:t>（一）职能职责</w:t>
      </w:r>
    </w:p>
    <w:p>
      <w:pPr>
        <w:pStyle w:val="7"/>
        <w:keepNext w:val="0"/>
        <w:keepLines w:val="0"/>
        <w:pageBreakBefore w:val="0"/>
        <w:widowControl/>
        <w:shd w:val="clear" w:color="auto" w:fill="FFFFFF"/>
        <w:kinsoku/>
        <w:wordWrap/>
        <w:overflowPunct/>
        <w:topLinePunct w:val="0"/>
        <w:autoSpaceDN/>
        <w:bidi w:val="0"/>
        <w:spacing w:beforeAutospacing="0" w:after="0" w:afterAutospacing="0" w:line="594" w:lineRule="exact"/>
        <w:ind w:firstLine="640" w:firstLineChars="200"/>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负责综合行政执法方面法律、法规和规章的宣传教育工作。集中行使依法授权或委托的农林水利、规划建设、环境保护、卫生健康、市容环卫、文化旅游、民政管理、消防等领域的行政执法权。负责综合行政执法文书的制作、发放、审核、回收及案卷管理工作。配合有关县级行政主管部门做好行政执法等工作。完成党委、政府交办的其他工作。</w:t>
      </w:r>
    </w:p>
    <w:p>
      <w:pPr>
        <w:pStyle w:val="7"/>
        <w:keepNext w:val="0"/>
        <w:keepLines w:val="0"/>
        <w:pageBreakBefore w:val="0"/>
        <w:widowControl/>
        <w:shd w:val="clear" w:color="auto" w:fill="FFFFFF"/>
        <w:kinsoku/>
        <w:wordWrap/>
        <w:overflowPunct/>
        <w:topLinePunct w:val="0"/>
        <w:autoSpaceDN/>
        <w:bidi w:val="0"/>
        <w:spacing w:beforeAutospacing="0" w:after="0" w:afterAutospacing="0" w:line="594" w:lineRule="exact"/>
        <w:ind w:firstLine="320" w:firstLineChars="100"/>
        <w:textAlignment w:val="auto"/>
        <w:rPr>
          <w:rFonts w:hint="default" w:ascii="Times New Roman" w:hAnsi="Times New Roman" w:eastAsia="方正楷体_GBK" w:cs="Times New Roman"/>
          <w:sz w:val="32"/>
          <w:szCs w:val="32"/>
          <w:highlight w:val="none"/>
        </w:rPr>
      </w:pPr>
      <w:r>
        <w:rPr>
          <w:rStyle w:val="11"/>
          <w:rFonts w:hint="default" w:ascii="Times New Roman" w:hAnsi="Times New Roman" w:eastAsia="方正楷体_GBK" w:cs="Times New Roman"/>
          <w:sz w:val="32"/>
          <w:szCs w:val="32"/>
          <w:highlight w:val="none"/>
          <w:shd w:val="clear" w:color="auto" w:fill="FFFFFF"/>
        </w:rPr>
        <w:t>（二）机构设置</w:t>
      </w:r>
    </w:p>
    <w:p>
      <w:pPr>
        <w:keepNext w:val="0"/>
        <w:keepLines w:val="0"/>
        <w:pageBreakBefore w:val="0"/>
        <w:widowControl/>
        <w:kinsoku/>
        <w:wordWrap/>
        <w:overflowPunct/>
        <w:topLinePunct w:val="0"/>
        <w:autoSpaceDN/>
        <w:bidi w:val="0"/>
        <w:snapToGrid w:val="0"/>
        <w:spacing w:beforeAutospacing="0" w:afterAutospacing="0" w:line="594" w:lineRule="exact"/>
        <w:ind w:firstLine="640" w:firstLineChars="200"/>
        <w:textAlignment w:val="auto"/>
        <w:rPr>
          <w:rFonts w:hint="default" w:ascii="Times New Roman" w:hAnsi="Times New Roman" w:eastAsia="方正仿宋_GBK" w:cs="Times New Roman"/>
          <w:sz w:val="32"/>
          <w:szCs w:val="32"/>
          <w:highlight w:val="none"/>
          <w:shd w:val="clear" w:color="auto" w:fill="FFFFFF"/>
          <w:lang w:val="en-US" w:eastAsia="zh-CN" w:bidi="ar-SA"/>
        </w:rPr>
      </w:pPr>
      <w:r>
        <w:rPr>
          <w:rFonts w:hint="default" w:ascii="Times New Roman" w:hAnsi="Times New Roman" w:eastAsia="方正仿宋_GBK" w:cs="Times New Roman"/>
          <w:sz w:val="32"/>
          <w:szCs w:val="32"/>
          <w:highlight w:val="none"/>
          <w:shd w:val="clear" w:color="auto" w:fill="FFFFFF"/>
          <w:lang w:val="en-US" w:eastAsia="zh-CN" w:bidi="ar-SA"/>
        </w:rPr>
        <w:t>长龙镇综合行政执法大队属于长龙镇人民政府下属二级事业单位。现有职工7人，其中，行政人员0人、事业单位7人。</w:t>
      </w:r>
    </w:p>
    <w:p>
      <w:pPr>
        <w:pStyle w:val="12"/>
        <w:keepNext w:val="0"/>
        <w:keepLines w:val="0"/>
        <w:pageBreakBefore w:val="0"/>
        <w:widowControl/>
        <w:kinsoku/>
        <w:wordWrap/>
        <w:overflowPunct/>
        <w:topLinePunct w:val="0"/>
        <w:autoSpaceDE w:val="0"/>
        <w:autoSpaceDN/>
        <w:bidi w:val="0"/>
        <w:spacing w:beforeAutospacing="0" w:afterAutospacing="0" w:line="594" w:lineRule="exact"/>
        <w:ind w:firstLine="643"/>
        <w:textAlignment w:val="auto"/>
        <w:rPr>
          <w:rStyle w:val="11"/>
          <w:rFonts w:hint="default" w:ascii="Times New Roman" w:hAnsi="Times New Roman" w:eastAsia="方正黑体_GBK" w:cs="Times New Roman"/>
          <w:sz w:val="32"/>
          <w:szCs w:val="32"/>
          <w:highlight w:val="none"/>
          <w:shd w:val="clear" w:color="auto" w:fill="FFFFFF"/>
        </w:rPr>
      </w:pPr>
      <w:r>
        <w:rPr>
          <w:rStyle w:val="11"/>
          <w:rFonts w:hint="default" w:ascii="Times New Roman" w:hAnsi="Times New Roman" w:eastAsia="方正黑体_GBK" w:cs="Times New Roman"/>
          <w:sz w:val="32"/>
          <w:szCs w:val="32"/>
          <w:highlight w:val="none"/>
          <w:shd w:val="clear" w:color="auto" w:fill="FFFFFF"/>
        </w:rPr>
        <w:t>二、</w:t>
      </w:r>
      <w:r>
        <w:rPr>
          <w:rStyle w:val="11"/>
          <w:rFonts w:hint="default" w:ascii="Times New Roman" w:hAnsi="Times New Roman" w:eastAsia="方正黑体_GBK" w:cs="Times New Roman"/>
          <w:sz w:val="32"/>
          <w:szCs w:val="32"/>
          <w:highlight w:val="none"/>
          <w:shd w:val="clear" w:color="auto" w:fill="FFFFFF"/>
          <w:lang w:eastAsia="zh-CN"/>
        </w:rPr>
        <w:t>单位</w:t>
      </w:r>
      <w:r>
        <w:rPr>
          <w:rStyle w:val="11"/>
          <w:rFonts w:hint="default" w:ascii="Times New Roman" w:hAnsi="Times New Roman" w:eastAsia="方正黑体_GBK" w:cs="Times New Roman"/>
          <w:sz w:val="32"/>
          <w:szCs w:val="32"/>
          <w:highlight w:val="none"/>
          <w:shd w:val="clear" w:color="auto" w:fill="FFFFFF"/>
        </w:rPr>
        <w:t>决算</w:t>
      </w:r>
      <w:r>
        <w:rPr>
          <w:rStyle w:val="11"/>
          <w:rFonts w:hint="default" w:ascii="Times New Roman" w:hAnsi="Times New Roman" w:eastAsia="方正黑体_GBK" w:cs="Times New Roman"/>
          <w:sz w:val="32"/>
          <w:szCs w:val="32"/>
          <w:highlight w:val="none"/>
          <w:shd w:val="clear" w:color="auto" w:fill="FFFFFF"/>
          <w:lang w:eastAsia="zh-CN"/>
        </w:rPr>
        <w:t>收支</w:t>
      </w:r>
      <w:r>
        <w:rPr>
          <w:rStyle w:val="11"/>
          <w:rFonts w:hint="default" w:ascii="Times New Roman" w:hAnsi="Times New Roman" w:eastAsia="方正黑体_GBK" w:cs="Times New Roman"/>
          <w:sz w:val="32"/>
          <w:szCs w:val="32"/>
          <w:highlight w:val="none"/>
          <w:shd w:val="clear" w:color="auto" w:fill="FFFFFF"/>
        </w:rPr>
        <w:t>情况说明</w:t>
      </w:r>
    </w:p>
    <w:p>
      <w:pPr>
        <w:pStyle w:val="12"/>
        <w:keepNext w:val="0"/>
        <w:keepLines w:val="0"/>
        <w:pageBreakBefore w:val="0"/>
        <w:widowControl/>
        <w:kinsoku/>
        <w:wordWrap/>
        <w:overflowPunct/>
        <w:topLinePunct w:val="0"/>
        <w:autoSpaceDE w:val="0"/>
        <w:autoSpaceDN/>
        <w:bidi w:val="0"/>
        <w:spacing w:beforeAutospacing="0" w:afterAutospacing="0" w:line="594" w:lineRule="exact"/>
        <w:ind w:firstLine="643"/>
        <w:textAlignment w:val="auto"/>
        <w:rPr>
          <w:rFonts w:hint="default" w:ascii="Times New Roman" w:hAnsi="Times New Roman" w:eastAsia="方正楷体_GBK" w:cs="Times New Roman"/>
          <w:b/>
          <w:bCs/>
          <w:sz w:val="32"/>
          <w:szCs w:val="32"/>
          <w:highlight w:val="none"/>
          <w:shd w:val="clear" w:color="auto" w:fill="FFFFFF"/>
        </w:rPr>
      </w:pPr>
      <w:r>
        <w:rPr>
          <w:rFonts w:hint="default" w:ascii="Times New Roman" w:hAnsi="Times New Roman" w:eastAsia="方正楷体_GBK" w:cs="Times New Roman"/>
          <w:b/>
          <w:bCs/>
          <w:sz w:val="32"/>
          <w:szCs w:val="32"/>
          <w:highlight w:val="none"/>
          <w:shd w:val="clear" w:color="auto" w:fill="FFFFFF"/>
        </w:rPr>
        <w:t>（一）收入支出决算总体情况说明。</w:t>
      </w:r>
    </w:p>
    <w:p>
      <w:pPr>
        <w:pStyle w:val="7"/>
        <w:keepNext w:val="0"/>
        <w:keepLines w:val="0"/>
        <w:pageBreakBefore w:val="0"/>
        <w:widowControl/>
        <w:shd w:val="clear" w:color="auto" w:fill="FFFFFF"/>
        <w:kinsoku/>
        <w:wordWrap/>
        <w:overflowPunct/>
        <w:topLinePunct w:val="0"/>
        <w:autoSpaceDN/>
        <w:bidi w:val="0"/>
        <w:spacing w:beforeAutospacing="0" w:after="0" w:afterAutospacing="0" w:line="594" w:lineRule="exact"/>
        <w:ind w:firstLine="643" w:firstLineChars="200"/>
        <w:textAlignment w:val="auto"/>
        <w:rPr>
          <w:rFonts w:hint="default" w:ascii="Times New Roman" w:hAnsi="Times New Roman" w:eastAsia="方正仿宋_GBK" w:cs="Times New Roman"/>
          <w:sz w:val="32"/>
          <w:szCs w:val="32"/>
          <w:highlight w:val="none"/>
          <w:lang w:eastAsia="zh-CN"/>
        </w:rPr>
      </w:pPr>
      <w:r>
        <w:rPr>
          <w:rStyle w:val="11"/>
          <w:rFonts w:hint="default" w:ascii="Times New Roman" w:hAnsi="Times New Roman" w:eastAsia="方正仿宋_GBK" w:cs="Times New Roman"/>
          <w:sz w:val="32"/>
          <w:szCs w:val="32"/>
          <w:highlight w:val="none"/>
          <w:shd w:val="clear" w:color="auto" w:fill="FFFFFF"/>
        </w:rPr>
        <w:t>1.总体情况。</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度收入总计186.08万元，支出总计</w:t>
      </w:r>
      <w:r>
        <w:rPr>
          <w:rFonts w:hint="default" w:ascii="Times New Roman" w:hAnsi="Times New Roman" w:eastAsia="方正仿宋_GBK" w:cs="Times New Roman"/>
          <w:sz w:val="32"/>
          <w:szCs w:val="32"/>
          <w:highlight w:val="none"/>
        </w:rPr>
        <w:t>186.08</w:t>
      </w:r>
      <w:r>
        <w:rPr>
          <w:rFonts w:hint="default" w:ascii="Times New Roman" w:hAnsi="Times New Roman" w:eastAsia="方正仿宋_GBK" w:cs="Times New Roman"/>
          <w:sz w:val="32"/>
          <w:szCs w:val="32"/>
          <w:highlight w:val="none"/>
          <w:shd w:val="clear" w:color="auto" w:fill="FFFFFF"/>
        </w:rPr>
        <w:t>万元。</w:t>
      </w:r>
      <w:r>
        <w:rPr>
          <w:rFonts w:hint="default" w:ascii="Times New Roman" w:hAnsi="Times New Roman" w:eastAsia="方正仿宋_GBK" w:cs="Times New Roman"/>
          <w:sz w:val="32"/>
          <w:szCs w:val="32"/>
          <w:highlight w:val="none"/>
          <w:shd w:val="clear" w:color="auto" w:fill="FFFFFF"/>
          <w:lang w:eastAsia="zh-CN"/>
        </w:rPr>
        <w:t>收支</w:t>
      </w:r>
      <w:r>
        <w:rPr>
          <w:rFonts w:hint="default" w:ascii="Times New Roman" w:hAnsi="Times New Roman" w:eastAsia="方正仿宋_GBK" w:cs="Times New Roman"/>
          <w:sz w:val="32"/>
          <w:szCs w:val="32"/>
          <w:highlight w:val="none"/>
          <w:shd w:val="clear" w:color="auto" w:fill="FFFFFF"/>
        </w:rPr>
        <w:t>与2023年度相比，减少5.17万元，下降2.70%，主要原因是</w:t>
      </w:r>
      <w:r>
        <w:rPr>
          <w:rFonts w:hint="default" w:ascii="Times New Roman" w:hAnsi="Times New Roman" w:eastAsia="仿宋_GB2312" w:cs="Times New Roman"/>
          <w:sz w:val="32"/>
          <w:szCs w:val="32"/>
          <w:highlight w:val="none"/>
        </w:rPr>
        <w:t>本年度人员减少，</w:t>
      </w:r>
      <w:r>
        <w:rPr>
          <w:rFonts w:hint="default" w:ascii="Times New Roman" w:hAnsi="Times New Roman" w:eastAsia="仿宋_GB2312" w:cs="Times New Roman"/>
          <w:sz w:val="32"/>
          <w:szCs w:val="32"/>
          <w:highlight w:val="none"/>
          <w:lang w:val="en-US" w:eastAsia="zh-CN"/>
        </w:rPr>
        <w:t>财政拨款收入</w:t>
      </w:r>
      <w:r>
        <w:rPr>
          <w:rFonts w:hint="default" w:ascii="Times New Roman" w:hAnsi="Times New Roman" w:eastAsia="仿宋_GB2312" w:cs="Times New Roman"/>
          <w:sz w:val="32"/>
          <w:szCs w:val="32"/>
          <w:highlight w:val="none"/>
        </w:rPr>
        <w:t>减少。</w:t>
      </w:r>
    </w:p>
    <w:p>
      <w:pPr>
        <w:pStyle w:val="7"/>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highlight w:val="none"/>
          <w:shd w:val="clear" w:color="auto" w:fill="FFFFFF"/>
        </w:rPr>
      </w:pPr>
      <w:r>
        <w:rPr>
          <w:rStyle w:val="11"/>
          <w:rFonts w:hint="default" w:ascii="Times New Roman" w:hAnsi="Times New Roman" w:eastAsia="方正仿宋_GBK" w:cs="Times New Roman"/>
          <w:sz w:val="32"/>
          <w:szCs w:val="32"/>
          <w:highlight w:val="none"/>
          <w:shd w:val="clear" w:color="auto" w:fill="FFFFFF"/>
        </w:rPr>
        <w:t>2.收入情况。</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度收入合计186.08万元，与2023年度相比，减少5.17万元，下降2.70%，主要原因是本单位本年度人员减少，</w:t>
      </w:r>
      <w:r>
        <w:rPr>
          <w:rFonts w:hint="default" w:ascii="Times New Roman" w:hAnsi="Times New Roman" w:eastAsia="仿宋_GB2312" w:cs="Times New Roman"/>
          <w:sz w:val="32"/>
          <w:szCs w:val="32"/>
          <w:highlight w:val="none"/>
          <w:lang w:val="en-US" w:eastAsia="zh-CN"/>
        </w:rPr>
        <w:t>财政拨款</w:t>
      </w:r>
      <w:r>
        <w:rPr>
          <w:rFonts w:hint="default" w:ascii="Times New Roman" w:hAnsi="Times New Roman" w:eastAsia="方正仿宋_GBK" w:cs="Times New Roman"/>
          <w:sz w:val="32"/>
          <w:szCs w:val="32"/>
          <w:highlight w:val="none"/>
          <w:shd w:val="clear" w:color="auto" w:fill="FFFFFF"/>
        </w:rPr>
        <w:t>收入减少</w:t>
      </w:r>
      <w:r>
        <w:rPr>
          <w:rFonts w:hint="default" w:ascii="Times New Roman" w:hAnsi="Times New Roman" w:eastAsia="方正仿宋_GBK" w:cs="Times New Roman"/>
          <w:sz w:val="32"/>
          <w:szCs w:val="32"/>
          <w:highlight w:val="none"/>
          <w:shd w:val="clear" w:color="auto" w:fill="FFFFFF"/>
          <w:lang w:eastAsia="zh-CN"/>
        </w:rPr>
        <w:t>。</w:t>
      </w:r>
      <w:r>
        <w:rPr>
          <w:rFonts w:hint="default" w:ascii="Times New Roman" w:hAnsi="Times New Roman" w:eastAsia="方正仿宋_GBK" w:cs="Times New Roman"/>
          <w:sz w:val="32"/>
          <w:szCs w:val="32"/>
          <w:highlight w:val="none"/>
          <w:shd w:val="clear" w:color="auto" w:fill="FFFFFF"/>
        </w:rPr>
        <w:t>其中：财政拨款收入</w:t>
      </w:r>
      <w:r>
        <w:rPr>
          <w:rFonts w:hint="default" w:ascii="Times New Roman" w:hAnsi="Times New Roman" w:eastAsia="方正仿宋_GBK" w:cs="Times New Roman"/>
          <w:sz w:val="32"/>
          <w:szCs w:val="32"/>
          <w:highlight w:val="none"/>
        </w:rPr>
        <w:t>186.08</w:t>
      </w:r>
      <w:r>
        <w:rPr>
          <w:rFonts w:hint="default" w:ascii="Times New Roman" w:hAnsi="Times New Roman" w:eastAsia="方正仿宋_GBK" w:cs="Times New Roman"/>
          <w:sz w:val="32"/>
          <w:szCs w:val="32"/>
          <w:highlight w:val="none"/>
          <w:shd w:val="clear" w:color="auto" w:fill="FFFFFF"/>
        </w:rPr>
        <w:t>万元，占</w:t>
      </w:r>
      <w:r>
        <w:rPr>
          <w:rFonts w:hint="default" w:ascii="Times New Roman" w:hAnsi="Times New Roman" w:eastAsia="方正仿宋_GBK" w:cs="Times New Roman"/>
          <w:sz w:val="32"/>
          <w:szCs w:val="32"/>
          <w:highlight w:val="none"/>
        </w:rPr>
        <w:t>100.00</w:t>
      </w:r>
      <w:r>
        <w:rPr>
          <w:rFonts w:hint="default" w:ascii="Times New Roman" w:hAnsi="Times New Roman" w:eastAsia="方正仿宋_GBK" w:cs="Times New Roman"/>
          <w:sz w:val="32"/>
          <w:szCs w:val="32"/>
          <w:highlight w:val="none"/>
          <w:shd w:val="clear" w:color="auto" w:fill="FFFFFF"/>
        </w:rPr>
        <w:t>%；事业收入</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万元，占0.00%；经营收入</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万元，占0.00%；其他收入</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万元，占0.00%。此外，使用非财政拨款结余和专用结余</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万元，年初结转和结余</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w:t>
      </w:r>
    </w:p>
    <w:p>
      <w:pPr>
        <w:pStyle w:val="7"/>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highlight w:val="none"/>
          <w:shd w:val="clear" w:color="auto" w:fill="FFFFFF"/>
        </w:rPr>
      </w:pPr>
      <w:r>
        <w:rPr>
          <w:rStyle w:val="11"/>
          <w:rFonts w:hint="default" w:ascii="Times New Roman" w:hAnsi="Times New Roman" w:eastAsia="方正仿宋_GBK" w:cs="Times New Roman"/>
          <w:sz w:val="32"/>
          <w:szCs w:val="32"/>
          <w:highlight w:val="none"/>
          <w:shd w:val="clear" w:color="auto" w:fill="FFFFFF"/>
        </w:rPr>
        <w:t>3.支出情况。</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度支出合计</w:t>
      </w:r>
      <w:r>
        <w:rPr>
          <w:rFonts w:hint="default" w:ascii="Times New Roman" w:hAnsi="Times New Roman" w:eastAsia="方正仿宋_GBK" w:cs="Times New Roman"/>
          <w:sz w:val="32"/>
          <w:szCs w:val="32"/>
          <w:highlight w:val="none"/>
        </w:rPr>
        <w:t>186.08</w:t>
      </w:r>
      <w:r>
        <w:rPr>
          <w:rFonts w:hint="default" w:ascii="Times New Roman" w:hAnsi="Times New Roman" w:eastAsia="方正仿宋_GBK" w:cs="Times New Roman"/>
          <w:sz w:val="32"/>
          <w:szCs w:val="32"/>
          <w:highlight w:val="none"/>
          <w:shd w:val="clear" w:color="auto" w:fill="FFFFFF"/>
        </w:rPr>
        <w:t>万元，与2023年度相比，减少5.17万元，下降2.70%，主要原因是本单位本年度人员减少，</w:t>
      </w:r>
      <w:r>
        <w:rPr>
          <w:rFonts w:hint="default" w:ascii="Times New Roman" w:hAnsi="Times New Roman" w:eastAsia="方正仿宋_GBK" w:cs="Times New Roman"/>
          <w:sz w:val="32"/>
          <w:szCs w:val="32"/>
          <w:highlight w:val="none"/>
          <w:shd w:val="clear" w:color="auto" w:fill="FFFFFF"/>
          <w:lang w:val="en-US" w:eastAsia="zh-CN"/>
        </w:rPr>
        <w:t>支出</w:t>
      </w:r>
      <w:r>
        <w:rPr>
          <w:rFonts w:hint="default" w:ascii="Times New Roman" w:hAnsi="Times New Roman" w:eastAsia="方正仿宋_GBK" w:cs="Times New Roman"/>
          <w:sz w:val="32"/>
          <w:szCs w:val="32"/>
          <w:highlight w:val="none"/>
          <w:shd w:val="clear" w:color="auto" w:fill="FFFFFF"/>
        </w:rPr>
        <w:t>减少</w:t>
      </w:r>
      <w:r>
        <w:rPr>
          <w:rFonts w:hint="default" w:ascii="Times New Roman" w:hAnsi="Times New Roman" w:eastAsia="方正仿宋_GBK" w:cs="Times New Roman"/>
          <w:sz w:val="32"/>
          <w:szCs w:val="32"/>
          <w:highlight w:val="none"/>
          <w:shd w:val="clear" w:color="auto" w:fill="FFFFFF"/>
          <w:lang w:eastAsia="zh-CN"/>
        </w:rPr>
        <w:t>。</w:t>
      </w:r>
      <w:r>
        <w:rPr>
          <w:rFonts w:hint="default" w:ascii="Times New Roman" w:hAnsi="Times New Roman" w:eastAsia="方正仿宋_GBK" w:cs="Times New Roman"/>
          <w:sz w:val="32"/>
          <w:szCs w:val="32"/>
          <w:highlight w:val="none"/>
          <w:shd w:val="clear" w:color="auto" w:fill="FFFFFF"/>
        </w:rPr>
        <w:t>其中：基本支出</w:t>
      </w:r>
      <w:r>
        <w:rPr>
          <w:rFonts w:hint="default" w:ascii="Times New Roman" w:hAnsi="Times New Roman" w:eastAsia="方正仿宋_GBK" w:cs="Times New Roman"/>
          <w:sz w:val="32"/>
          <w:szCs w:val="32"/>
          <w:highlight w:val="none"/>
        </w:rPr>
        <w:t>186.08</w:t>
      </w:r>
      <w:r>
        <w:rPr>
          <w:rFonts w:hint="default" w:ascii="Times New Roman" w:hAnsi="Times New Roman" w:eastAsia="方正仿宋_GBK" w:cs="Times New Roman"/>
          <w:sz w:val="32"/>
          <w:szCs w:val="32"/>
          <w:highlight w:val="none"/>
          <w:shd w:val="clear" w:color="auto" w:fill="FFFFFF"/>
        </w:rPr>
        <w:t>万元，占100.00%；项目支出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万元，占0.00%；经营支出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万元，占0.00%。此外，结余分配</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w:t>
      </w:r>
    </w:p>
    <w:p>
      <w:pPr>
        <w:pStyle w:val="7"/>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highlight w:val="none"/>
        </w:rPr>
      </w:pPr>
      <w:r>
        <w:rPr>
          <w:rStyle w:val="11"/>
          <w:rFonts w:hint="default" w:ascii="Times New Roman" w:hAnsi="Times New Roman" w:eastAsia="方正仿宋_GBK" w:cs="Times New Roman"/>
          <w:sz w:val="32"/>
          <w:szCs w:val="32"/>
          <w:highlight w:val="none"/>
          <w:shd w:val="clear" w:color="auto" w:fill="FFFFFF"/>
        </w:rPr>
        <w:t>4.结转结余情况。</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度年末结转和结余</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万元，与2023年度相比，无增减，主要原因是</w:t>
      </w:r>
      <w:r>
        <w:rPr>
          <w:rFonts w:hint="default" w:ascii="Times New Roman" w:hAnsi="Times New Roman" w:eastAsia="方正仿宋_GBK" w:cs="Times New Roman"/>
          <w:sz w:val="32"/>
          <w:szCs w:val="32"/>
          <w:highlight w:val="none"/>
          <w:shd w:val="clear" w:color="auto" w:fill="FFFFFF"/>
          <w:lang w:eastAsia="zh-CN"/>
        </w:rPr>
        <w:t>各项</w:t>
      </w:r>
      <w:r>
        <w:rPr>
          <w:rFonts w:hint="default" w:ascii="Times New Roman" w:hAnsi="Times New Roman" w:eastAsia="方正仿宋_GBK" w:cs="Times New Roman"/>
          <w:color w:val="auto"/>
          <w:sz w:val="32"/>
          <w:szCs w:val="32"/>
          <w:highlight w:val="none"/>
          <w:lang w:eastAsia="zh-CN"/>
        </w:rPr>
        <w:t>项目资金都已及时支付。</w:t>
      </w:r>
    </w:p>
    <w:p>
      <w:pPr>
        <w:pStyle w:val="12"/>
        <w:keepNext w:val="0"/>
        <w:keepLines w:val="0"/>
        <w:pageBreakBefore w:val="0"/>
        <w:widowControl/>
        <w:kinsoku/>
        <w:wordWrap/>
        <w:overflowPunct/>
        <w:topLinePunct w:val="0"/>
        <w:autoSpaceDE w:val="0"/>
        <w:autoSpaceDN/>
        <w:bidi w:val="0"/>
        <w:spacing w:beforeAutospacing="0" w:afterAutospacing="0" w:line="594" w:lineRule="exact"/>
        <w:ind w:firstLine="643"/>
        <w:textAlignment w:val="auto"/>
        <w:rPr>
          <w:rFonts w:hint="default" w:ascii="Times New Roman" w:hAnsi="Times New Roman" w:eastAsia="方正楷体_GBK" w:cs="Times New Roman"/>
          <w:b/>
          <w:bCs/>
          <w:sz w:val="32"/>
          <w:szCs w:val="32"/>
          <w:highlight w:val="none"/>
          <w:shd w:val="clear" w:color="auto" w:fill="FFFFFF"/>
        </w:rPr>
      </w:pPr>
      <w:r>
        <w:rPr>
          <w:rFonts w:hint="default" w:ascii="Times New Roman" w:hAnsi="Times New Roman" w:eastAsia="方正楷体_GBK" w:cs="Times New Roman"/>
          <w:b/>
          <w:bCs/>
          <w:sz w:val="32"/>
          <w:szCs w:val="32"/>
          <w:highlight w:val="none"/>
          <w:shd w:val="clear" w:color="auto" w:fill="FFFFFF"/>
        </w:rPr>
        <w:t>（二）财政拨款收入支出决算总体情况说明</w:t>
      </w:r>
    </w:p>
    <w:p>
      <w:pPr>
        <w:pStyle w:val="7"/>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度财政拨款</w:t>
      </w:r>
      <w:r>
        <w:rPr>
          <w:rFonts w:hint="default" w:ascii="Times New Roman" w:hAnsi="Times New Roman" w:eastAsia="方正仿宋_GBK" w:cs="Times New Roman"/>
          <w:sz w:val="32"/>
          <w:szCs w:val="32"/>
          <w:highlight w:val="none"/>
          <w:shd w:val="clear" w:color="auto" w:fill="FFFFFF"/>
          <w:lang w:eastAsia="zh-CN"/>
        </w:rPr>
        <w:t>收支</w:t>
      </w:r>
      <w:r>
        <w:rPr>
          <w:rFonts w:hint="default" w:ascii="Times New Roman" w:hAnsi="Times New Roman" w:eastAsia="方正仿宋_GBK" w:cs="Times New Roman"/>
          <w:sz w:val="32"/>
          <w:szCs w:val="32"/>
          <w:highlight w:val="none"/>
          <w:shd w:val="clear" w:color="auto" w:fill="FFFFFF"/>
        </w:rPr>
        <w:t>总计186.08万元。与202</w:t>
      </w:r>
      <w:r>
        <w:rPr>
          <w:rFonts w:hint="default" w:ascii="Times New Roman" w:hAnsi="Times New Roman" w:eastAsia="方正仿宋_GBK" w:cs="Times New Roman"/>
          <w:sz w:val="32"/>
          <w:szCs w:val="32"/>
          <w:highlight w:val="none"/>
          <w:shd w:val="clear" w:color="auto" w:fill="FFFFFF"/>
          <w:lang w:val="en-US" w:eastAsia="zh-CN"/>
        </w:rPr>
        <w:t>3</w:t>
      </w:r>
      <w:r>
        <w:rPr>
          <w:rFonts w:hint="default" w:ascii="Times New Roman" w:hAnsi="Times New Roman" w:eastAsia="方正仿宋_GBK" w:cs="Times New Roman"/>
          <w:sz w:val="32"/>
          <w:szCs w:val="32"/>
          <w:highlight w:val="none"/>
          <w:shd w:val="clear" w:color="auto" w:fill="FFFFFF"/>
        </w:rPr>
        <w:t>年相比，财政拨款</w:t>
      </w:r>
      <w:r>
        <w:rPr>
          <w:rFonts w:hint="default" w:ascii="Times New Roman" w:hAnsi="Times New Roman" w:eastAsia="方正仿宋_GBK" w:cs="Times New Roman"/>
          <w:sz w:val="32"/>
          <w:szCs w:val="32"/>
          <w:highlight w:val="none"/>
          <w:shd w:val="clear" w:color="auto" w:fill="FFFFFF"/>
          <w:lang w:eastAsia="zh-CN"/>
        </w:rPr>
        <w:t>收支</w:t>
      </w:r>
      <w:r>
        <w:rPr>
          <w:rFonts w:hint="default" w:ascii="Times New Roman" w:hAnsi="Times New Roman" w:eastAsia="方正仿宋_GBK" w:cs="Times New Roman"/>
          <w:sz w:val="32"/>
          <w:szCs w:val="32"/>
          <w:highlight w:val="none"/>
          <w:shd w:val="clear" w:color="auto" w:fill="FFFFFF"/>
        </w:rPr>
        <w:t>总计各减少5.17万元，下降2.70%。主要原因是本单位本年度人员减少，</w:t>
      </w:r>
      <w:r>
        <w:rPr>
          <w:rFonts w:hint="default" w:ascii="Times New Roman" w:hAnsi="Times New Roman" w:eastAsia="方正仿宋_GBK" w:cs="Times New Roman"/>
          <w:sz w:val="32"/>
          <w:szCs w:val="32"/>
          <w:highlight w:val="none"/>
          <w:shd w:val="clear" w:color="auto" w:fill="FFFFFF"/>
          <w:lang w:val="en-US" w:eastAsia="zh-CN"/>
        </w:rPr>
        <w:t>收支</w:t>
      </w:r>
      <w:r>
        <w:rPr>
          <w:rFonts w:hint="default" w:ascii="Times New Roman" w:hAnsi="Times New Roman" w:eastAsia="方正仿宋_GBK" w:cs="Times New Roman"/>
          <w:sz w:val="32"/>
          <w:szCs w:val="32"/>
          <w:highlight w:val="none"/>
          <w:shd w:val="clear" w:color="auto" w:fill="FFFFFF"/>
        </w:rPr>
        <w:t>减少</w:t>
      </w:r>
      <w:r>
        <w:rPr>
          <w:rFonts w:hint="default" w:ascii="Times New Roman" w:hAnsi="Times New Roman" w:eastAsia="方正仿宋_GBK" w:cs="Times New Roman"/>
          <w:sz w:val="32"/>
          <w:szCs w:val="32"/>
          <w:highlight w:val="none"/>
          <w:shd w:val="clear" w:color="auto" w:fill="FFFFFF"/>
          <w:lang w:eastAsia="zh-CN"/>
        </w:rPr>
        <w:t>。</w:t>
      </w:r>
    </w:p>
    <w:p>
      <w:pPr>
        <w:pStyle w:val="12"/>
        <w:keepNext w:val="0"/>
        <w:keepLines w:val="0"/>
        <w:pageBreakBefore w:val="0"/>
        <w:widowControl/>
        <w:kinsoku/>
        <w:wordWrap/>
        <w:overflowPunct/>
        <w:topLinePunct w:val="0"/>
        <w:autoSpaceDE w:val="0"/>
        <w:autoSpaceDN/>
        <w:bidi w:val="0"/>
        <w:spacing w:beforeAutospacing="0" w:afterAutospacing="0" w:line="594" w:lineRule="exact"/>
        <w:ind w:firstLine="643"/>
        <w:textAlignment w:val="auto"/>
        <w:rPr>
          <w:rFonts w:hint="default" w:ascii="Times New Roman" w:hAnsi="Times New Roman" w:eastAsia="方正楷体_GBK" w:cs="Times New Roman"/>
          <w:b/>
          <w:bCs/>
          <w:sz w:val="32"/>
          <w:szCs w:val="32"/>
          <w:highlight w:val="none"/>
          <w:shd w:val="clear" w:color="auto" w:fill="FFFFFF"/>
        </w:rPr>
      </w:pPr>
      <w:r>
        <w:rPr>
          <w:rFonts w:hint="default" w:ascii="Times New Roman" w:hAnsi="Times New Roman" w:eastAsia="方正楷体_GBK" w:cs="Times New Roman"/>
          <w:b/>
          <w:bCs/>
          <w:sz w:val="32"/>
          <w:szCs w:val="32"/>
          <w:highlight w:val="none"/>
          <w:shd w:val="clear" w:color="auto" w:fill="FFFFFF"/>
        </w:rPr>
        <w:t>（三）一般公共预算财政拨款收入支出决算情况说明</w:t>
      </w:r>
    </w:p>
    <w:p>
      <w:pPr>
        <w:pStyle w:val="7"/>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highlight w:val="none"/>
        </w:rPr>
      </w:pPr>
      <w:r>
        <w:rPr>
          <w:rStyle w:val="11"/>
          <w:rFonts w:hint="default" w:ascii="Times New Roman" w:hAnsi="Times New Roman" w:eastAsia="方正仿宋_GBK" w:cs="Times New Roman"/>
          <w:sz w:val="32"/>
          <w:szCs w:val="32"/>
          <w:highlight w:val="none"/>
          <w:shd w:val="clear" w:color="auto" w:fill="FFFFFF"/>
        </w:rPr>
        <w:t>1.收入情况。</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度一般公共预算财政拨款收入</w:t>
      </w:r>
      <w:r>
        <w:rPr>
          <w:rFonts w:hint="default" w:ascii="Times New Roman" w:hAnsi="Times New Roman" w:eastAsia="方正仿宋_GBK" w:cs="Times New Roman"/>
          <w:sz w:val="32"/>
          <w:szCs w:val="32"/>
          <w:highlight w:val="none"/>
        </w:rPr>
        <w:t>186.08</w:t>
      </w:r>
      <w:r>
        <w:rPr>
          <w:rFonts w:hint="default" w:ascii="Times New Roman" w:hAnsi="Times New Roman" w:eastAsia="方正仿宋_GBK" w:cs="Times New Roman"/>
          <w:sz w:val="32"/>
          <w:szCs w:val="32"/>
          <w:highlight w:val="none"/>
          <w:shd w:val="clear" w:color="auto" w:fill="FFFFFF"/>
        </w:rPr>
        <w:t>万元，与2023年度相比，减少5.17万元，下降2.70%。主要原因是本单位本年度人员减少，</w:t>
      </w:r>
      <w:r>
        <w:rPr>
          <w:rFonts w:hint="default" w:ascii="Times New Roman" w:hAnsi="Times New Roman" w:eastAsia="方正仿宋_GBK" w:cs="Times New Roman"/>
          <w:sz w:val="32"/>
          <w:szCs w:val="32"/>
          <w:highlight w:val="none"/>
          <w:shd w:val="clear" w:color="auto" w:fill="FFFFFF"/>
          <w:lang w:val="en-US" w:eastAsia="zh-CN"/>
        </w:rPr>
        <w:t>收入</w:t>
      </w:r>
      <w:r>
        <w:rPr>
          <w:rFonts w:hint="default" w:ascii="Times New Roman" w:hAnsi="Times New Roman" w:eastAsia="方正仿宋_GBK" w:cs="Times New Roman"/>
          <w:sz w:val="32"/>
          <w:szCs w:val="32"/>
          <w:highlight w:val="none"/>
          <w:shd w:val="clear" w:color="auto" w:fill="FFFFFF"/>
        </w:rPr>
        <w:t>减少</w:t>
      </w:r>
      <w:r>
        <w:rPr>
          <w:rFonts w:hint="default" w:ascii="Times New Roman" w:hAnsi="Times New Roman" w:eastAsia="方正仿宋_GBK" w:cs="Times New Roman"/>
          <w:sz w:val="32"/>
          <w:szCs w:val="32"/>
          <w:highlight w:val="none"/>
          <w:shd w:val="clear" w:color="auto" w:fill="FFFFFF"/>
          <w:lang w:eastAsia="zh-CN"/>
        </w:rPr>
        <w:t>。</w:t>
      </w:r>
      <w:r>
        <w:rPr>
          <w:rFonts w:hint="default" w:ascii="Times New Roman" w:hAnsi="Times New Roman" w:eastAsia="方正仿宋_GBK" w:cs="Times New Roman"/>
          <w:sz w:val="32"/>
          <w:szCs w:val="32"/>
          <w:highlight w:val="none"/>
          <w:shd w:val="clear" w:color="auto" w:fill="FFFFFF"/>
        </w:rPr>
        <w:t>较年初预算数增加19.61万元，增长11.78%。主要原因是</w:t>
      </w:r>
      <w:r>
        <w:rPr>
          <w:rFonts w:hint="default" w:ascii="Times New Roman" w:hAnsi="Times New Roman" w:eastAsia="方正仿宋_GBK" w:cs="Times New Roman"/>
          <w:sz w:val="32"/>
          <w:szCs w:val="32"/>
          <w:highlight w:val="none"/>
          <w:shd w:val="clear" w:color="auto" w:fill="FFFFFF"/>
          <w:lang w:eastAsia="zh-CN"/>
        </w:rPr>
        <w:t>本单位收入和补助收入增加。</w:t>
      </w:r>
      <w:r>
        <w:rPr>
          <w:rFonts w:hint="default" w:ascii="Times New Roman" w:hAnsi="Times New Roman" w:eastAsia="方正仿宋_GBK" w:cs="Times New Roman"/>
          <w:sz w:val="32"/>
          <w:szCs w:val="32"/>
          <w:highlight w:val="none"/>
          <w:shd w:val="clear" w:color="auto" w:fill="FFFFFF"/>
        </w:rPr>
        <w:t>此外，年初财政拨款结转和结余</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w:t>
      </w:r>
    </w:p>
    <w:p>
      <w:pPr>
        <w:pStyle w:val="7"/>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highlight w:val="none"/>
        </w:rPr>
      </w:pPr>
      <w:r>
        <w:rPr>
          <w:rStyle w:val="11"/>
          <w:rFonts w:hint="default" w:ascii="Times New Roman" w:hAnsi="Times New Roman" w:eastAsia="方正仿宋_GBK" w:cs="Times New Roman"/>
          <w:sz w:val="32"/>
          <w:szCs w:val="32"/>
          <w:highlight w:val="none"/>
          <w:shd w:val="clear" w:color="auto" w:fill="FFFFFF"/>
        </w:rPr>
        <w:t>2.支出情况。</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度一般公共预算财政拨款支出</w:t>
      </w:r>
      <w:r>
        <w:rPr>
          <w:rFonts w:hint="default" w:ascii="Times New Roman" w:hAnsi="Times New Roman" w:eastAsia="方正仿宋_GBK" w:cs="Times New Roman"/>
          <w:sz w:val="32"/>
          <w:szCs w:val="32"/>
          <w:highlight w:val="none"/>
        </w:rPr>
        <w:t>186.08</w:t>
      </w:r>
      <w:r>
        <w:rPr>
          <w:rFonts w:hint="default" w:ascii="Times New Roman" w:hAnsi="Times New Roman" w:eastAsia="方正仿宋_GBK" w:cs="Times New Roman"/>
          <w:sz w:val="32"/>
          <w:szCs w:val="32"/>
          <w:highlight w:val="none"/>
          <w:shd w:val="clear" w:color="auto" w:fill="FFFFFF"/>
        </w:rPr>
        <w:t>万元，与2023年度相比，减少5.17万元，下降2.70%。主要原因是本单位本年度人员减少，</w:t>
      </w:r>
      <w:r>
        <w:rPr>
          <w:rFonts w:hint="default" w:ascii="Times New Roman" w:hAnsi="Times New Roman" w:eastAsia="方正仿宋_GBK" w:cs="Times New Roman"/>
          <w:sz w:val="32"/>
          <w:szCs w:val="32"/>
          <w:highlight w:val="none"/>
          <w:shd w:val="clear" w:color="auto" w:fill="FFFFFF"/>
          <w:lang w:val="en-US" w:eastAsia="zh-CN"/>
        </w:rPr>
        <w:t>收入</w:t>
      </w:r>
      <w:r>
        <w:rPr>
          <w:rFonts w:hint="default" w:ascii="Times New Roman" w:hAnsi="Times New Roman" w:eastAsia="方正仿宋_GBK" w:cs="Times New Roman"/>
          <w:sz w:val="32"/>
          <w:szCs w:val="32"/>
          <w:highlight w:val="none"/>
          <w:shd w:val="clear" w:color="auto" w:fill="FFFFFF"/>
        </w:rPr>
        <w:t>减少</w:t>
      </w:r>
      <w:r>
        <w:rPr>
          <w:rFonts w:hint="default" w:ascii="Times New Roman" w:hAnsi="Times New Roman" w:eastAsia="方正仿宋_GBK" w:cs="Times New Roman"/>
          <w:sz w:val="32"/>
          <w:szCs w:val="32"/>
          <w:highlight w:val="none"/>
          <w:shd w:val="clear" w:color="auto" w:fill="FFFFFF"/>
          <w:lang w:eastAsia="zh-CN"/>
        </w:rPr>
        <w:t>。</w:t>
      </w:r>
      <w:r>
        <w:rPr>
          <w:rFonts w:hint="default" w:ascii="Times New Roman" w:hAnsi="Times New Roman" w:eastAsia="方正仿宋_GBK" w:cs="Times New Roman"/>
          <w:sz w:val="32"/>
          <w:szCs w:val="32"/>
          <w:highlight w:val="none"/>
          <w:shd w:val="clear" w:color="auto" w:fill="FFFFFF"/>
        </w:rPr>
        <w:t>较年初预算数增加19.61万元，增长11.78%。主要原因是</w:t>
      </w:r>
      <w:r>
        <w:rPr>
          <w:rFonts w:hint="default" w:ascii="Times New Roman" w:hAnsi="Times New Roman" w:eastAsia="方正仿宋_GBK" w:cs="Times New Roman"/>
          <w:sz w:val="32"/>
          <w:szCs w:val="32"/>
          <w:highlight w:val="none"/>
          <w:shd w:val="clear" w:color="auto" w:fill="FFFFFF"/>
          <w:lang w:eastAsia="zh-CN"/>
        </w:rPr>
        <w:t>本单位人员调资和项目支出增加。</w:t>
      </w:r>
    </w:p>
    <w:p>
      <w:pPr>
        <w:pStyle w:val="7"/>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highlight w:val="none"/>
        </w:rPr>
      </w:pPr>
      <w:r>
        <w:rPr>
          <w:rStyle w:val="11"/>
          <w:rFonts w:hint="default" w:ascii="Times New Roman" w:hAnsi="Times New Roman" w:eastAsia="方正仿宋_GBK" w:cs="Times New Roman"/>
          <w:sz w:val="32"/>
          <w:szCs w:val="32"/>
          <w:highlight w:val="none"/>
          <w:shd w:val="clear" w:color="auto" w:fill="FFFFFF"/>
        </w:rPr>
        <w:t>3.结转结余情况。</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度年末一般公共预算财政拨款结转和结余</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万元，与2023年度相比，无增减，主要原因是</w:t>
      </w:r>
      <w:r>
        <w:rPr>
          <w:rFonts w:hint="default" w:ascii="Times New Roman" w:hAnsi="Times New Roman" w:eastAsia="方正仿宋_GBK" w:cs="Times New Roman"/>
          <w:sz w:val="32"/>
          <w:szCs w:val="32"/>
          <w:highlight w:val="none"/>
          <w:shd w:val="clear" w:color="auto" w:fill="FFFFFF"/>
          <w:lang w:eastAsia="zh-CN"/>
        </w:rPr>
        <w:t>各项项目资金</w:t>
      </w:r>
      <w:r>
        <w:rPr>
          <w:rFonts w:hint="default" w:ascii="Times New Roman" w:hAnsi="Times New Roman" w:eastAsia="方正仿宋_GBK" w:cs="Times New Roman"/>
          <w:color w:val="auto"/>
          <w:sz w:val="32"/>
          <w:szCs w:val="32"/>
          <w:highlight w:val="none"/>
          <w:lang w:eastAsia="zh-CN"/>
        </w:rPr>
        <w:t>都已及时支付。</w:t>
      </w:r>
    </w:p>
    <w:p>
      <w:pPr>
        <w:pStyle w:val="7"/>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FF0000"/>
          <w:sz w:val="32"/>
          <w:szCs w:val="32"/>
          <w:highlight w:val="none"/>
          <w:shd w:val="clear" w:color="auto" w:fill="FFFFFF"/>
        </w:rPr>
      </w:pPr>
      <w:r>
        <w:rPr>
          <w:rStyle w:val="11"/>
          <w:rFonts w:hint="default" w:ascii="Times New Roman" w:hAnsi="Times New Roman" w:eastAsia="方正仿宋_GBK" w:cs="Times New Roman"/>
          <w:sz w:val="32"/>
          <w:szCs w:val="32"/>
          <w:highlight w:val="none"/>
          <w:shd w:val="clear" w:color="auto" w:fill="FFFFFF"/>
        </w:rPr>
        <w:t xml:space="preserve"> 4.比较情况。</w:t>
      </w:r>
      <w:r>
        <w:rPr>
          <w:rFonts w:hint="default" w:ascii="Times New Roman" w:hAnsi="Times New Roman" w:eastAsia="方正仿宋_GBK" w:cs="Times New Roman"/>
          <w:sz w:val="32"/>
          <w:szCs w:val="32"/>
          <w:highlight w:val="none"/>
          <w:shd w:val="clear" w:color="auto" w:fill="FFFFFF"/>
        </w:rPr>
        <w:t>本单位</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度一般公共预算财政拨款支出主要用于以下几个方面：</w:t>
      </w:r>
    </w:p>
    <w:p>
      <w:pPr>
        <w:pStyle w:val="7"/>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lang w:val="en-US" w:eastAsia="zh-CN"/>
        </w:rPr>
        <w:t>1</w:t>
      </w:r>
      <w:r>
        <w:rPr>
          <w:rFonts w:hint="default" w:ascii="Times New Roman" w:hAnsi="Times New Roman" w:eastAsia="方正仿宋_GBK" w:cs="Times New Roman"/>
          <w:sz w:val="32"/>
          <w:szCs w:val="32"/>
          <w:highlight w:val="none"/>
          <w:shd w:val="clear" w:color="auto" w:fill="FFFFFF"/>
        </w:rPr>
        <w:t>）社会保障与就业支出</w:t>
      </w:r>
      <w:r>
        <w:rPr>
          <w:rFonts w:hint="default" w:ascii="Times New Roman" w:hAnsi="Times New Roman" w:eastAsia="方正仿宋_GBK" w:cs="Times New Roman"/>
          <w:sz w:val="32"/>
          <w:szCs w:val="32"/>
          <w:highlight w:val="none"/>
        </w:rPr>
        <w:t>34.96</w:t>
      </w:r>
      <w:r>
        <w:rPr>
          <w:rFonts w:hint="default" w:ascii="Times New Roman" w:hAnsi="Times New Roman" w:eastAsia="方正仿宋_GBK" w:cs="Times New Roman"/>
          <w:sz w:val="32"/>
          <w:szCs w:val="32"/>
          <w:highlight w:val="none"/>
          <w:shd w:val="clear" w:color="auto" w:fill="FFFFFF"/>
        </w:rPr>
        <w:t>万元，占</w:t>
      </w:r>
      <w:r>
        <w:rPr>
          <w:rFonts w:hint="default" w:ascii="Times New Roman" w:hAnsi="Times New Roman" w:eastAsia="方正仿宋_GBK" w:cs="Times New Roman"/>
          <w:sz w:val="32"/>
          <w:szCs w:val="32"/>
          <w:highlight w:val="none"/>
        </w:rPr>
        <w:t>18.79</w:t>
      </w:r>
      <w:r>
        <w:rPr>
          <w:rFonts w:hint="default" w:ascii="Times New Roman" w:hAnsi="Times New Roman" w:eastAsia="方正仿宋_GBK" w:cs="Times New Roman"/>
          <w:sz w:val="32"/>
          <w:szCs w:val="32"/>
          <w:highlight w:val="none"/>
          <w:shd w:val="clear" w:color="auto" w:fill="FFFFFF"/>
        </w:rPr>
        <w:t>%，较年初预算数增加19.00万元，增长119.05%，主要原因是</w:t>
      </w:r>
      <w:r>
        <w:rPr>
          <w:rFonts w:hint="default" w:ascii="Times New Roman" w:hAnsi="Times New Roman" w:eastAsia="方正仿宋_GBK" w:cs="Times New Roman"/>
          <w:sz w:val="32"/>
          <w:szCs w:val="32"/>
          <w:highlight w:val="none"/>
          <w:shd w:val="clear" w:color="auto" w:fill="FFFFFF"/>
          <w:lang w:eastAsia="zh-CN"/>
        </w:rPr>
        <w:t>人员调整，</w:t>
      </w:r>
      <w:r>
        <w:rPr>
          <w:rFonts w:hint="default" w:ascii="Times New Roman" w:hAnsi="Times New Roman" w:eastAsia="方正仿宋_GBK" w:cs="Times New Roman"/>
          <w:sz w:val="32"/>
          <w:szCs w:val="32"/>
          <w:highlight w:val="none"/>
          <w:shd w:val="clear" w:color="auto" w:fill="FFFFFF"/>
        </w:rPr>
        <w:t>养老保险、职业年金等基数增大。</w:t>
      </w:r>
    </w:p>
    <w:p>
      <w:pPr>
        <w:pStyle w:val="7"/>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lang w:val="en-US" w:eastAsia="zh-CN"/>
        </w:rPr>
        <w:t>2</w:t>
      </w:r>
      <w:r>
        <w:rPr>
          <w:rFonts w:hint="default" w:ascii="Times New Roman" w:hAnsi="Times New Roman" w:eastAsia="方正仿宋_GBK" w:cs="Times New Roman"/>
          <w:sz w:val="32"/>
          <w:szCs w:val="32"/>
          <w:highlight w:val="none"/>
          <w:shd w:val="clear" w:color="auto" w:fill="FFFFFF"/>
        </w:rPr>
        <w:t>）卫生健康支出</w:t>
      </w:r>
      <w:r>
        <w:rPr>
          <w:rFonts w:hint="default" w:ascii="Times New Roman" w:hAnsi="Times New Roman" w:eastAsia="方正仿宋_GBK" w:cs="Times New Roman"/>
          <w:sz w:val="32"/>
          <w:szCs w:val="32"/>
          <w:highlight w:val="none"/>
        </w:rPr>
        <w:t>5.47</w:t>
      </w:r>
      <w:r>
        <w:rPr>
          <w:rFonts w:hint="default" w:ascii="Times New Roman" w:hAnsi="Times New Roman" w:eastAsia="方正仿宋_GBK" w:cs="Times New Roman"/>
          <w:sz w:val="32"/>
          <w:szCs w:val="32"/>
          <w:highlight w:val="none"/>
          <w:shd w:val="clear" w:color="auto" w:fill="FFFFFF"/>
        </w:rPr>
        <w:t>万元，占</w:t>
      </w:r>
      <w:r>
        <w:rPr>
          <w:rFonts w:hint="default" w:ascii="Times New Roman" w:hAnsi="Times New Roman" w:eastAsia="方正仿宋_GBK" w:cs="Times New Roman"/>
          <w:sz w:val="32"/>
          <w:szCs w:val="32"/>
          <w:highlight w:val="none"/>
        </w:rPr>
        <w:t>2.94</w:t>
      </w:r>
      <w:r>
        <w:rPr>
          <w:rFonts w:hint="default" w:ascii="Times New Roman" w:hAnsi="Times New Roman" w:eastAsia="方正仿宋_GBK" w:cs="Times New Roman"/>
          <w:sz w:val="32"/>
          <w:szCs w:val="32"/>
          <w:highlight w:val="none"/>
          <w:shd w:val="clear" w:color="auto" w:fill="FFFFFF"/>
        </w:rPr>
        <w:t>%，较年初预算数减少1.18万元，下降17.74%，主要原因是人员调整，医疗保险支出</w:t>
      </w:r>
      <w:r>
        <w:rPr>
          <w:rFonts w:hint="default" w:ascii="Times New Roman" w:hAnsi="Times New Roman" w:eastAsia="方正仿宋_GBK" w:cs="Times New Roman"/>
          <w:sz w:val="32"/>
          <w:szCs w:val="32"/>
          <w:highlight w:val="none"/>
          <w:shd w:val="clear" w:color="auto" w:fill="FFFFFF"/>
          <w:lang w:val="en-US" w:eastAsia="zh-CN"/>
        </w:rPr>
        <w:t>减少</w:t>
      </w:r>
      <w:r>
        <w:rPr>
          <w:rFonts w:hint="default" w:ascii="Times New Roman" w:hAnsi="Times New Roman" w:eastAsia="方正仿宋_GBK" w:cs="Times New Roman"/>
          <w:sz w:val="32"/>
          <w:szCs w:val="32"/>
          <w:highlight w:val="none"/>
          <w:shd w:val="clear" w:color="auto" w:fill="FFFFFF"/>
        </w:rPr>
        <w:t>。</w:t>
      </w:r>
    </w:p>
    <w:p>
      <w:pPr>
        <w:pStyle w:val="7"/>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lang w:val="en-US" w:eastAsia="zh-CN"/>
        </w:rPr>
        <w:t>3</w:t>
      </w:r>
      <w:r>
        <w:rPr>
          <w:rFonts w:hint="default" w:ascii="Times New Roman" w:hAnsi="Times New Roman" w:eastAsia="方正仿宋_GBK" w:cs="Times New Roman"/>
          <w:sz w:val="32"/>
          <w:szCs w:val="32"/>
          <w:highlight w:val="none"/>
          <w:shd w:val="clear" w:color="auto" w:fill="FFFFFF"/>
        </w:rPr>
        <w:t>）城乡社区支出</w:t>
      </w:r>
      <w:r>
        <w:rPr>
          <w:rFonts w:hint="default" w:ascii="Times New Roman" w:hAnsi="Times New Roman" w:eastAsia="方正仿宋_GBK" w:cs="Times New Roman"/>
          <w:sz w:val="32"/>
          <w:szCs w:val="32"/>
          <w:highlight w:val="none"/>
        </w:rPr>
        <w:t>131.95</w:t>
      </w:r>
      <w:r>
        <w:rPr>
          <w:rFonts w:hint="default" w:ascii="Times New Roman" w:hAnsi="Times New Roman" w:eastAsia="方正仿宋_GBK" w:cs="Times New Roman"/>
          <w:sz w:val="32"/>
          <w:szCs w:val="32"/>
          <w:highlight w:val="none"/>
          <w:shd w:val="clear" w:color="auto" w:fill="FFFFFF"/>
        </w:rPr>
        <w:t>万元，占</w:t>
      </w:r>
      <w:r>
        <w:rPr>
          <w:rFonts w:hint="default" w:ascii="Times New Roman" w:hAnsi="Times New Roman" w:eastAsia="方正仿宋_GBK" w:cs="Times New Roman"/>
          <w:sz w:val="32"/>
          <w:szCs w:val="32"/>
          <w:highlight w:val="none"/>
        </w:rPr>
        <w:t>70.91</w:t>
      </w:r>
      <w:r>
        <w:rPr>
          <w:rFonts w:hint="default" w:ascii="Times New Roman" w:hAnsi="Times New Roman" w:eastAsia="方正仿宋_GBK" w:cs="Times New Roman"/>
          <w:sz w:val="32"/>
          <w:szCs w:val="32"/>
          <w:highlight w:val="none"/>
          <w:shd w:val="clear" w:color="auto" w:fill="FFFFFF"/>
        </w:rPr>
        <w:t>%，较年初预算数减少3.93万元，下降2.89%，主要原因是人员</w:t>
      </w:r>
      <w:r>
        <w:rPr>
          <w:rFonts w:hint="default" w:ascii="Times New Roman" w:hAnsi="Times New Roman" w:eastAsia="方正仿宋_GBK" w:cs="Times New Roman"/>
          <w:sz w:val="32"/>
          <w:szCs w:val="32"/>
          <w:highlight w:val="none"/>
          <w:shd w:val="clear" w:color="auto" w:fill="FFFFFF"/>
          <w:lang w:val="en-US" w:eastAsia="zh-CN"/>
        </w:rPr>
        <w:t>减少</w:t>
      </w:r>
      <w:r>
        <w:rPr>
          <w:rFonts w:hint="default" w:ascii="Times New Roman" w:hAnsi="Times New Roman" w:eastAsia="方正仿宋_GBK" w:cs="Times New Roman"/>
          <w:sz w:val="32"/>
          <w:szCs w:val="32"/>
          <w:highlight w:val="none"/>
          <w:shd w:val="clear" w:color="auto" w:fill="FFFFFF"/>
        </w:rPr>
        <w:t>、环境卫生支出</w:t>
      </w:r>
      <w:r>
        <w:rPr>
          <w:rFonts w:hint="default" w:ascii="Times New Roman" w:hAnsi="Times New Roman" w:eastAsia="方正仿宋_GBK" w:cs="Times New Roman"/>
          <w:sz w:val="32"/>
          <w:szCs w:val="32"/>
          <w:highlight w:val="none"/>
          <w:shd w:val="clear" w:color="auto" w:fill="FFFFFF"/>
          <w:lang w:val="en-US" w:eastAsia="zh-CN"/>
        </w:rPr>
        <w:t>减少</w:t>
      </w:r>
      <w:r>
        <w:rPr>
          <w:rFonts w:hint="default" w:ascii="Times New Roman" w:hAnsi="Times New Roman" w:eastAsia="方正仿宋_GBK" w:cs="Times New Roman"/>
          <w:sz w:val="32"/>
          <w:szCs w:val="32"/>
          <w:highlight w:val="none"/>
          <w:shd w:val="clear" w:color="auto" w:fill="FFFFFF"/>
        </w:rPr>
        <w:t>。</w:t>
      </w:r>
    </w:p>
    <w:p>
      <w:pPr>
        <w:keepNext w:val="0"/>
        <w:keepLines w:val="0"/>
        <w:pageBreakBefore w:val="0"/>
        <w:widowControl/>
        <w:kinsoku/>
        <w:wordWrap/>
        <w:overflowPunct/>
        <w:topLinePunct w:val="0"/>
        <w:autoSpaceDN/>
        <w:bidi w:val="0"/>
        <w:spacing w:beforeAutospacing="0" w:afterAutospacing="0" w:line="594" w:lineRule="exact"/>
        <w:ind w:firstLine="640" w:firstLineChars="200"/>
        <w:textAlignment w:val="auto"/>
        <w:rPr>
          <w:rFonts w:hint="default" w:ascii="Times New Roman" w:hAnsi="Times New Roman" w:eastAsia="方正仿宋_GBK" w:cs="Times New Roman"/>
          <w:color w:val="FF0000"/>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lang w:val="en-US" w:eastAsia="zh-CN"/>
        </w:rPr>
        <w:t>4</w:t>
      </w: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rPr>
        <w:t>住房保障支出13.70</w:t>
      </w:r>
      <w:r>
        <w:rPr>
          <w:rFonts w:hint="default" w:ascii="Times New Roman" w:hAnsi="Times New Roman" w:eastAsia="方正仿宋_GBK" w:cs="Times New Roman"/>
          <w:sz w:val="32"/>
          <w:szCs w:val="32"/>
          <w:highlight w:val="none"/>
          <w:shd w:val="clear" w:color="auto" w:fill="FFFFFF"/>
        </w:rPr>
        <w:t>万元，占</w:t>
      </w:r>
      <w:r>
        <w:rPr>
          <w:rFonts w:hint="default" w:ascii="Times New Roman" w:hAnsi="Times New Roman" w:eastAsia="方正仿宋_GBK" w:cs="Times New Roman"/>
          <w:sz w:val="32"/>
          <w:szCs w:val="32"/>
          <w:highlight w:val="none"/>
        </w:rPr>
        <w:t>7.36</w:t>
      </w:r>
      <w:r>
        <w:rPr>
          <w:rFonts w:hint="default" w:ascii="Times New Roman" w:hAnsi="Times New Roman" w:eastAsia="方正仿宋_GBK" w:cs="Times New Roman"/>
          <w:sz w:val="32"/>
          <w:szCs w:val="32"/>
          <w:highlight w:val="none"/>
          <w:shd w:val="clear" w:color="auto" w:fill="FFFFFF"/>
        </w:rPr>
        <w:t>%，较年初预算数增加5.72万元，增长71.68%，主要原因是</w:t>
      </w:r>
      <w:r>
        <w:rPr>
          <w:rFonts w:hint="default" w:ascii="Times New Roman" w:hAnsi="Times New Roman" w:eastAsia="方正仿宋_GBK" w:cs="Times New Roman"/>
          <w:sz w:val="32"/>
          <w:szCs w:val="32"/>
          <w:highlight w:val="none"/>
          <w:shd w:val="clear" w:color="auto" w:fill="FFFFFF"/>
          <w:lang w:eastAsia="zh-CN"/>
        </w:rPr>
        <w:t>住房公积金</w:t>
      </w:r>
      <w:r>
        <w:rPr>
          <w:rFonts w:hint="default" w:ascii="Times New Roman" w:hAnsi="Times New Roman" w:eastAsia="方正仿宋_GBK" w:cs="Times New Roman"/>
          <w:sz w:val="32"/>
          <w:szCs w:val="32"/>
          <w:highlight w:val="none"/>
          <w:shd w:val="clear" w:color="auto" w:fill="FFFFFF"/>
          <w:lang w:val="en-US" w:eastAsia="zh-CN"/>
        </w:rPr>
        <w:t>基数调整、</w:t>
      </w:r>
      <w:r>
        <w:rPr>
          <w:rFonts w:hint="default" w:ascii="Times New Roman" w:hAnsi="Times New Roman" w:eastAsia="方正仿宋_GBK" w:cs="Times New Roman"/>
          <w:sz w:val="32"/>
          <w:szCs w:val="32"/>
          <w:highlight w:val="none"/>
          <w:shd w:val="clear" w:color="auto" w:fill="FFFFFF"/>
          <w:lang w:eastAsia="zh-CN"/>
        </w:rPr>
        <w:t>支出增加。</w:t>
      </w:r>
    </w:p>
    <w:p>
      <w:pPr>
        <w:pStyle w:val="12"/>
        <w:keepNext w:val="0"/>
        <w:keepLines w:val="0"/>
        <w:pageBreakBefore w:val="0"/>
        <w:widowControl/>
        <w:kinsoku/>
        <w:wordWrap/>
        <w:overflowPunct/>
        <w:topLinePunct w:val="0"/>
        <w:autoSpaceDE w:val="0"/>
        <w:autoSpaceDN/>
        <w:bidi w:val="0"/>
        <w:spacing w:beforeAutospacing="0" w:afterAutospacing="0" w:line="594" w:lineRule="exact"/>
        <w:ind w:firstLine="643"/>
        <w:textAlignment w:val="auto"/>
        <w:rPr>
          <w:rFonts w:hint="default" w:ascii="Times New Roman" w:hAnsi="Times New Roman" w:eastAsia="方正楷体_GBK" w:cs="Times New Roman"/>
          <w:b/>
          <w:bCs/>
          <w:sz w:val="32"/>
          <w:szCs w:val="32"/>
          <w:highlight w:val="none"/>
          <w:shd w:val="clear" w:color="auto" w:fill="FFFFFF"/>
        </w:rPr>
      </w:pPr>
      <w:r>
        <w:rPr>
          <w:rFonts w:hint="default" w:ascii="Times New Roman" w:hAnsi="Times New Roman" w:eastAsia="方正楷体_GBK" w:cs="Times New Roman"/>
          <w:b/>
          <w:bCs/>
          <w:sz w:val="32"/>
          <w:szCs w:val="32"/>
          <w:highlight w:val="none"/>
          <w:shd w:val="clear" w:color="auto" w:fill="FFFFFF"/>
        </w:rPr>
        <w:t>（四）一般公共预算财政拨款基本支出决算情况说明</w:t>
      </w:r>
    </w:p>
    <w:p>
      <w:pPr>
        <w:pStyle w:val="7"/>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shd w:val="clear" w:color="auto" w:fill="FFFFFF"/>
        </w:rPr>
        <w:t> </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度一般公共财政拨款基本支出</w:t>
      </w:r>
      <w:r>
        <w:rPr>
          <w:rFonts w:hint="default" w:ascii="Times New Roman" w:hAnsi="Times New Roman" w:eastAsia="方正仿宋_GBK" w:cs="Times New Roman"/>
          <w:sz w:val="32"/>
          <w:szCs w:val="32"/>
          <w:highlight w:val="none"/>
        </w:rPr>
        <w:t>186.08</w:t>
      </w:r>
      <w:r>
        <w:rPr>
          <w:rFonts w:hint="default" w:ascii="Times New Roman" w:hAnsi="Times New Roman" w:eastAsia="方正仿宋_GBK" w:cs="Times New Roman"/>
          <w:sz w:val="32"/>
          <w:szCs w:val="32"/>
          <w:highlight w:val="none"/>
          <w:shd w:val="clear" w:color="auto" w:fill="FFFFFF"/>
        </w:rPr>
        <w:t>万元。其中：人员经费</w:t>
      </w:r>
      <w:r>
        <w:rPr>
          <w:rFonts w:hint="default" w:ascii="Times New Roman" w:hAnsi="Times New Roman" w:eastAsia="方正仿宋_GBK" w:cs="Times New Roman"/>
          <w:sz w:val="32"/>
          <w:szCs w:val="32"/>
          <w:highlight w:val="none"/>
        </w:rPr>
        <w:t>182.16</w:t>
      </w:r>
      <w:r>
        <w:rPr>
          <w:rFonts w:hint="default" w:ascii="Times New Roman" w:hAnsi="Times New Roman" w:eastAsia="方正仿宋_GBK" w:cs="Times New Roman"/>
          <w:sz w:val="32"/>
          <w:szCs w:val="32"/>
          <w:highlight w:val="none"/>
          <w:shd w:val="clear" w:color="auto" w:fill="FFFFFF"/>
        </w:rPr>
        <w:t>万元，与2023年度相比，增加8.99万元，增长5.19%，主要原因是</w:t>
      </w:r>
      <w:r>
        <w:rPr>
          <w:rFonts w:hint="default" w:ascii="Times New Roman" w:hAnsi="Times New Roman" w:eastAsia="方正仿宋_GBK" w:cs="Times New Roman"/>
          <w:sz w:val="32"/>
          <w:szCs w:val="32"/>
          <w:highlight w:val="none"/>
          <w:shd w:val="clear" w:color="auto" w:fill="FFFFFF"/>
          <w:lang w:val="en-US" w:eastAsia="zh-CN"/>
        </w:rPr>
        <w:t>财政拨款收入增加，</w:t>
      </w:r>
      <w:r>
        <w:rPr>
          <w:rFonts w:hint="default" w:ascii="Times New Roman" w:hAnsi="Times New Roman" w:eastAsia="方正仿宋_GBK" w:cs="Times New Roman"/>
          <w:color w:val="000000" w:themeColor="text1"/>
          <w:sz w:val="32"/>
          <w:szCs w:val="32"/>
          <w:highlight w:val="none"/>
          <w:shd w:val="clear" w:color="auto" w:fill="FFFFFF"/>
          <w:lang w:val="en-US" w:eastAsia="zh-CN"/>
          <w14:textFill>
            <w14:solidFill>
              <w14:schemeClr w14:val="tx1"/>
            </w14:solidFill>
          </w14:textFill>
        </w:rPr>
        <w:t>人员工资增加</w:t>
      </w:r>
      <w:r>
        <w:rPr>
          <w:rFonts w:hint="default"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w:t>
      </w:r>
      <w:r>
        <w:rPr>
          <w:rFonts w:hint="default" w:ascii="Times New Roman" w:hAnsi="Times New Roman" w:eastAsia="方正仿宋_GBK" w:cs="Times New Roman"/>
          <w:sz w:val="32"/>
          <w:szCs w:val="32"/>
          <w:highlight w:val="none"/>
          <w:shd w:val="clear" w:color="auto" w:fill="FFFFFF"/>
        </w:rPr>
        <w:t>人员经费用途主要包括基本工资、津贴补贴、奖金、社会保障缴费</w:t>
      </w:r>
      <w:r>
        <w:rPr>
          <w:rFonts w:hint="default"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w:t>
      </w:r>
      <w:r>
        <w:rPr>
          <w:rFonts w:hint="default" w:ascii="Times New Roman" w:hAnsi="Times New Roman" w:eastAsia="方正仿宋_GBK" w:cs="Times New Roman"/>
          <w:sz w:val="32"/>
          <w:szCs w:val="32"/>
          <w:highlight w:val="none"/>
          <w:shd w:val="clear" w:color="auto" w:fill="FFFFFF"/>
        </w:rPr>
        <w:t>公用经费</w:t>
      </w:r>
      <w:r>
        <w:rPr>
          <w:rFonts w:hint="default" w:ascii="Times New Roman" w:hAnsi="Times New Roman" w:eastAsia="方正仿宋_GBK" w:cs="Times New Roman"/>
          <w:sz w:val="32"/>
          <w:szCs w:val="32"/>
          <w:highlight w:val="none"/>
        </w:rPr>
        <w:t>3.92</w:t>
      </w:r>
      <w:r>
        <w:rPr>
          <w:rFonts w:hint="default" w:ascii="Times New Roman" w:hAnsi="Times New Roman" w:eastAsia="方正仿宋_GBK" w:cs="Times New Roman"/>
          <w:sz w:val="32"/>
          <w:szCs w:val="32"/>
          <w:highlight w:val="none"/>
          <w:shd w:val="clear" w:color="auto" w:fill="FFFFFF"/>
        </w:rPr>
        <w:t>万元，与2023年度相比，减少14.15万元，下降78.31%，主要原因是</w:t>
      </w:r>
      <w:r>
        <w:rPr>
          <w:rFonts w:hint="default" w:ascii="Times New Roman" w:hAnsi="Times New Roman" w:eastAsia="方正仿宋_GBK" w:cs="Times New Roman"/>
          <w:sz w:val="32"/>
          <w:szCs w:val="32"/>
          <w:highlight w:val="none"/>
          <w:shd w:val="clear" w:color="auto" w:fill="FFFFFF"/>
          <w:lang w:val="en-US" w:eastAsia="zh-CN"/>
        </w:rPr>
        <w:t>厉行节约，严控</w:t>
      </w:r>
      <w:r>
        <w:rPr>
          <w:rFonts w:hint="default" w:ascii="Times New Roman" w:hAnsi="Times New Roman" w:eastAsia="方正仿宋_GBK" w:cs="Times New Roman"/>
          <w:color w:val="000000" w:themeColor="text1"/>
          <w:sz w:val="32"/>
          <w:szCs w:val="32"/>
          <w:highlight w:val="none"/>
          <w:shd w:val="clear" w:color="auto" w:fill="FFFFFF"/>
          <w:lang w:val="en-US" w:eastAsia="zh-CN"/>
          <w14:textFill>
            <w14:solidFill>
              <w14:schemeClr w14:val="tx1"/>
            </w14:solidFill>
          </w14:textFill>
        </w:rPr>
        <w:t>公用经费支出。</w:t>
      </w:r>
      <w:r>
        <w:rPr>
          <w:rFonts w:hint="default" w:ascii="Times New Roman" w:hAnsi="Times New Roman" w:eastAsia="方正仿宋_GBK" w:cs="Times New Roman"/>
          <w:sz w:val="32"/>
          <w:szCs w:val="32"/>
          <w:highlight w:val="none"/>
          <w:shd w:val="clear" w:color="auto" w:fill="FFFFFF"/>
        </w:rPr>
        <w:t>公用经费用途主要包括办公费、印刷费、咨询费、手续费、劳务费等。</w:t>
      </w:r>
    </w:p>
    <w:p>
      <w:pPr>
        <w:pStyle w:val="12"/>
        <w:keepNext w:val="0"/>
        <w:keepLines w:val="0"/>
        <w:pageBreakBefore w:val="0"/>
        <w:widowControl/>
        <w:kinsoku/>
        <w:wordWrap/>
        <w:overflowPunct/>
        <w:topLinePunct w:val="0"/>
        <w:autoSpaceDE w:val="0"/>
        <w:autoSpaceDN/>
        <w:bidi w:val="0"/>
        <w:spacing w:beforeAutospacing="0" w:afterAutospacing="0" w:line="594" w:lineRule="exact"/>
        <w:ind w:firstLine="643"/>
        <w:textAlignment w:val="auto"/>
        <w:rPr>
          <w:rFonts w:hint="default" w:ascii="Times New Roman" w:hAnsi="Times New Roman" w:eastAsia="方正楷体_GBK" w:cs="Times New Roman"/>
          <w:b/>
          <w:bCs/>
          <w:sz w:val="32"/>
          <w:szCs w:val="32"/>
          <w:highlight w:val="none"/>
          <w:shd w:val="clear" w:color="auto" w:fill="FFFFFF"/>
        </w:rPr>
      </w:pPr>
      <w:r>
        <w:rPr>
          <w:rFonts w:hint="default" w:ascii="Times New Roman" w:hAnsi="Times New Roman" w:eastAsia="方正楷体_GBK" w:cs="Times New Roman"/>
          <w:b/>
          <w:bCs/>
          <w:sz w:val="32"/>
          <w:szCs w:val="32"/>
          <w:highlight w:val="none"/>
          <w:shd w:val="clear" w:color="auto" w:fill="FFFFFF"/>
        </w:rPr>
        <w:t>（五）政府性基金预算收支决算情况说明</w:t>
      </w:r>
    </w:p>
    <w:p>
      <w:pPr>
        <w:pStyle w:val="7"/>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shd w:val="clear" w:color="auto" w:fill="FFFFFF"/>
        </w:rPr>
        <w:t>2024年度政府性基金预算财政拨款年初结转结余</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万元，年末结转结余</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万元。本年收入</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万元，与2023年度相比，无增减，主要原因是</w:t>
      </w:r>
      <w:r>
        <w:rPr>
          <w:rFonts w:hint="default"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本年度无政府性基金预算财政拨款收入。</w:t>
      </w:r>
      <w:r>
        <w:rPr>
          <w:rFonts w:hint="default" w:ascii="Times New Roman" w:hAnsi="Times New Roman" w:eastAsia="方正仿宋_GBK" w:cs="Times New Roman"/>
          <w:sz w:val="32"/>
          <w:szCs w:val="32"/>
          <w:highlight w:val="none"/>
          <w:shd w:val="clear" w:color="auto" w:fill="FFFFFF"/>
        </w:rPr>
        <w:t>本年支出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万元，与2023年度相比，无增减，主要原因是</w:t>
      </w:r>
      <w:r>
        <w:rPr>
          <w:rFonts w:hint="default"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本年度无政府性基金预算财政拨款支出。本单位2024年度无政府性基金预算财政拨款收支。</w:t>
      </w:r>
    </w:p>
    <w:p>
      <w:pPr>
        <w:pStyle w:val="12"/>
        <w:keepNext w:val="0"/>
        <w:keepLines w:val="0"/>
        <w:pageBreakBefore w:val="0"/>
        <w:widowControl/>
        <w:kinsoku/>
        <w:wordWrap/>
        <w:overflowPunct/>
        <w:topLinePunct w:val="0"/>
        <w:autoSpaceDE w:val="0"/>
        <w:autoSpaceDN/>
        <w:bidi w:val="0"/>
        <w:spacing w:beforeAutospacing="0" w:afterAutospacing="0" w:line="594" w:lineRule="exact"/>
        <w:ind w:firstLine="643"/>
        <w:textAlignment w:val="auto"/>
        <w:rPr>
          <w:rFonts w:hint="default" w:ascii="Times New Roman" w:hAnsi="Times New Roman" w:eastAsia="方正楷体_GBK" w:cs="Times New Roman"/>
          <w:b/>
          <w:bCs/>
          <w:sz w:val="32"/>
          <w:szCs w:val="32"/>
          <w:highlight w:val="none"/>
          <w:shd w:val="clear" w:color="auto" w:fill="FFFFFF"/>
        </w:rPr>
      </w:pPr>
      <w:r>
        <w:rPr>
          <w:rFonts w:hint="default" w:ascii="Times New Roman" w:hAnsi="Times New Roman" w:eastAsia="方正楷体_GBK" w:cs="Times New Roman"/>
          <w:b/>
          <w:bCs/>
          <w:sz w:val="32"/>
          <w:szCs w:val="32"/>
          <w:highlight w:val="none"/>
          <w:shd w:val="clear" w:color="auto" w:fill="FFFFFF"/>
        </w:rPr>
        <w:t>（六）国有资本经营预算财政拨款支出决算情况说明</w:t>
      </w:r>
    </w:p>
    <w:p>
      <w:pPr>
        <w:pStyle w:val="7"/>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shd w:val="clear" w:color="auto" w:fill="FFFFFF"/>
        </w:rPr>
        <w:t> 2024年度国有资本经营预算财政拨本年支出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万元，基本支出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万元，项目支出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万元。本单位2024年度无国有资本经营预算财政拨款支出。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94" w:lineRule="exact"/>
        <w:ind w:firstLine="640" w:firstLineChars="200"/>
        <w:textAlignment w:val="auto"/>
        <w:rPr>
          <w:rStyle w:val="11"/>
          <w:rFonts w:hint="default" w:ascii="Times New Roman" w:hAnsi="Times New Roman" w:eastAsia="方正黑体_GBK" w:cs="Times New Roman"/>
          <w:sz w:val="32"/>
          <w:szCs w:val="32"/>
          <w:highlight w:val="none"/>
          <w:shd w:val="clear" w:color="auto" w:fill="FFFFFF"/>
        </w:rPr>
      </w:pPr>
      <w:r>
        <w:rPr>
          <w:rStyle w:val="11"/>
          <w:rFonts w:hint="default" w:ascii="Times New Roman" w:hAnsi="Times New Roman" w:eastAsia="方正黑体_GBK" w:cs="Times New Roman"/>
          <w:sz w:val="32"/>
          <w:szCs w:val="32"/>
          <w:highlight w:val="none"/>
          <w:shd w:val="clear" w:color="auto" w:fill="FFFFFF"/>
        </w:rPr>
        <w:t>三、</w:t>
      </w:r>
      <w:r>
        <w:rPr>
          <w:rStyle w:val="11"/>
          <w:rFonts w:hint="default" w:ascii="Times New Roman" w:hAnsi="Times New Roman" w:eastAsia="方正黑体_GBK" w:cs="Times New Roman"/>
          <w:sz w:val="32"/>
          <w:szCs w:val="32"/>
          <w:highlight w:val="none"/>
          <w:shd w:val="clear" w:color="auto" w:fill="FFFFFF"/>
          <w:lang w:eastAsia="zh-CN"/>
        </w:rPr>
        <w:t>财政拨款</w:t>
      </w:r>
      <w:r>
        <w:rPr>
          <w:rStyle w:val="11"/>
          <w:rFonts w:hint="default" w:ascii="Times New Roman" w:hAnsi="Times New Roman" w:eastAsia="方正黑体_GBK" w:cs="Times New Roman"/>
          <w:sz w:val="32"/>
          <w:szCs w:val="32"/>
          <w:highlight w:val="none"/>
          <w:shd w:val="clear" w:color="auto" w:fill="FFFFFF"/>
        </w:rPr>
        <w:t>“三公”经费情况说明</w:t>
      </w:r>
    </w:p>
    <w:p>
      <w:pPr>
        <w:pStyle w:val="12"/>
        <w:keepNext w:val="0"/>
        <w:keepLines w:val="0"/>
        <w:pageBreakBefore w:val="0"/>
        <w:widowControl/>
        <w:kinsoku/>
        <w:wordWrap/>
        <w:overflowPunct/>
        <w:topLinePunct w:val="0"/>
        <w:autoSpaceDE w:val="0"/>
        <w:autoSpaceDN/>
        <w:bidi w:val="0"/>
        <w:spacing w:beforeAutospacing="0" w:afterAutospacing="0" w:line="594" w:lineRule="exact"/>
        <w:ind w:firstLine="643"/>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 xml:space="preserve"> </w:t>
      </w:r>
      <w:r>
        <w:rPr>
          <w:rFonts w:hint="default" w:ascii="Times New Roman" w:hAnsi="Times New Roman" w:eastAsia="方正楷体_GBK" w:cs="Times New Roman"/>
          <w:b/>
          <w:bCs/>
          <w:sz w:val="32"/>
          <w:szCs w:val="32"/>
          <w:highlight w:val="none"/>
          <w:shd w:val="clear" w:color="auto" w:fill="FFFFFF"/>
        </w:rPr>
        <w:t>（一）“三公”经费支出总体情况说明</w:t>
      </w:r>
    </w:p>
    <w:p>
      <w:pPr>
        <w:pStyle w:val="7"/>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shd w:val="clear" w:color="auto" w:fill="FFFFFF"/>
        </w:rPr>
        <w:t>2024年度“三公”经费支出共计0.00万元，较年初预算数无增减，主要原因是我单位2024年未发生“三公”经费支出。较上年支出数无增减，主要原因是我单位本年及上年均未发生“三公”经费支出。</w:t>
      </w:r>
    </w:p>
    <w:p>
      <w:pPr>
        <w:pStyle w:val="12"/>
        <w:keepNext w:val="0"/>
        <w:keepLines w:val="0"/>
        <w:pageBreakBefore w:val="0"/>
        <w:widowControl/>
        <w:kinsoku/>
        <w:wordWrap/>
        <w:overflowPunct/>
        <w:topLinePunct w:val="0"/>
        <w:autoSpaceDE w:val="0"/>
        <w:autoSpaceDN/>
        <w:bidi w:val="0"/>
        <w:spacing w:beforeAutospacing="0" w:afterAutospacing="0" w:line="594" w:lineRule="exact"/>
        <w:ind w:firstLine="643"/>
        <w:textAlignment w:val="auto"/>
        <w:rPr>
          <w:rFonts w:hint="default" w:ascii="Times New Roman" w:hAnsi="Times New Roman" w:eastAsia="方正楷体_GBK" w:cs="Times New Roman"/>
          <w:b/>
          <w:bCs/>
          <w:sz w:val="32"/>
          <w:szCs w:val="32"/>
          <w:highlight w:val="none"/>
          <w:shd w:val="clear" w:color="auto" w:fill="FFFFFF"/>
        </w:rPr>
      </w:pPr>
      <w:r>
        <w:rPr>
          <w:rFonts w:hint="default" w:ascii="Times New Roman" w:hAnsi="Times New Roman" w:eastAsia="方正楷体_GBK" w:cs="Times New Roman"/>
          <w:b/>
          <w:bCs/>
          <w:sz w:val="32"/>
          <w:szCs w:val="32"/>
          <w:highlight w:val="none"/>
          <w:shd w:val="clear" w:color="auto" w:fill="FFFFFF"/>
        </w:rPr>
        <w:t>（二）“三公”经费分项支出情况</w:t>
      </w:r>
    </w:p>
    <w:p>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textAlignment w:val="auto"/>
        <w:rPr>
          <w:rFonts w:hint="default" w:ascii="Times New Roman" w:hAnsi="Times New Roman" w:eastAsia="方正仿宋_GBK" w:cs="Times New Roman"/>
          <w:kern w:val="0"/>
          <w:sz w:val="32"/>
          <w:szCs w:val="32"/>
          <w:highlight w:val="none"/>
          <w:shd w:val="clear" w:color="auto" w:fill="FFFFFF"/>
        </w:rPr>
      </w:pPr>
      <w:r>
        <w:rPr>
          <w:rFonts w:hint="default" w:ascii="Times New Roman" w:hAnsi="Times New Roman" w:eastAsia="方正仿宋_GBK" w:cs="Times New Roman"/>
          <w:kern w:val="0"/>
          <w:sz w:val="32"/>
          <w:szCs w:val="32"/>
          <w:highlight w:val="none"/>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textAlignment w:val="auto"/>
        <w:rPr>
          <w:rFonts w:hint="default" w:ascii="Times New Roman" w:hAnsi="Times New Roman" w:eastAsia="方正仿宋_GBK" w:cs="Times New Roman"/>
          <w:kern w:val="0"/>
          <w:sz w:val="32"/>
          <w:szCs w:val="32"/>
          <w:highlight w:val="none"/>
          <w:shd w:val="clear" w:color="auto" w:fill="FFFFFF"/>
        </w:rPr>
      </w:pPr>
      <w:r>
        <w:rPr>
          <w:rFonts w:hint="default" w:ascii="Times New Roman" w:hAnsi="Times New Roman" w:eastAsia="方正仿宋_GBK" w:cs="Times New Roman"/>
          <w:kern w:val="0"/>
          <w:sz w:val="32"/>
          <w:szCs w:val="32"/>
          <w:highlight w:val="none"/>
          <w:shd w:val="clear" w:color="auto" w:fill="FFFFFF"/>
        </w:rPr>
        <w:t xml:space="preserve"> 公务车购置费0.00万元。费用支出较年初预算数无增减，主要原因是年初预算未安排且本年未发生公务车购置费用。较上年支出数无增减，主要原因是上年和本年均未发生公务车购置费用。</w:t>
      </w:r>
    </w:p>
    <w:p>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textAlignment w:val="auto"/>
        <w:rPr>
          <w:rFonts w:hint="default" w:ascii="Times New Roman" w:hAnsi="Times New Roman" w:eastAsia="方正仿宋_GBK" w:cs="Times New Roman"/>
          <w:kern w:val="0"/>
          <w:sz w:val="32"/>
          <w:szCs w:val="32"/>
          <w:highlight w:val="none"/>
          <w:shd w:val="clear" w:color="auto" w:fill="FFFFFF"/>
        </w:rPr>
      </w:pPr>
      <w:r>
        <w:rPr>
          <w:rFonts w:hint="default" w:ascii="Times New Roman" w:hAnsi="Times New Roman" w:eastAsia="方正仿宋_GBK" w:cs="Times New Roman"/>
          <w:kern w:val="0"/>
          <w:sz w:val="32"/>
          <w:szCs w:val="32"/>
          <w:highlight w:val="none"/>
          <w:shd w:val="clear" w:color="auto" w:fill="FFFFFF"/>
        </w:rPr>
        <w:t xml:space="preserve"> 公务车运行维护费0.00万元。费用支出较年初预算数无增减，主要原因是年初预算未安排且本年未发生公务车运行维护费用。较上年支出数无增减，主要原因是上年和本年均未发生公务车运行维护费用。</w:t>
      </w:r>
    </w:p>
    <w:p>
      <w:pPr>
        <w:pStyle w:val="7"/>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shd w:val="clear" w:color="auto" w:fill="FFFFFF"/>
        </w:rPr>
        <w:t>公务接待费</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万元。费用支出较年初预算数无增减，</w:t>
      </w:r>
      <w:r>
        <w:rPr>
          <w:rFonts w:hint="default" w:ascii="Times New Roman" w:hAnsi="Times New Roman" w:eastAsia="方正仿宋_GBK" w:cs="Times New Roman"/>
          <w:sz w:val="32"/>
          <w:szCs w:val="32"/>
          <w:highlight w:val="none"/>
        </w:rPr>
        <w:t>主要原因是年初预算未安排且本年未发生公务接待费用</w:t>
      </w:r>
      <w:r>
        <w:rPr>
          <w:rFonts w:hint="default" w:ascii="Times New Roman" w:hAnsi="Times New Roman" w:eastAsia="方正仿宋_GBK" w:cs="Times New Roman"/>
          <w:sz w:val="32"/>
          <w:szCs w:val="32"/>
          <w:highlight w:val="none"/>
          <w:shd w:val="clear" w:color="auto" w:fill="FFFFFF"/>
        </w:rPr>
        <w:t>。较上年支出数无增减，</w:t>
      </w:r>
      <w:r>
        <w:rPr>
          <w:rFonts w:hint="default" w:ascii="Times New Roman" w:hAnsi="Times New Roman" w:eastAsia="方正仿宋_GBK" w:cs="Times New Roman"/>
          <w:sz w:val="32"/>
          <w:szCs w:val="32"/>
          <w:highlight w:val="none"/>
        </w:rPr>
        <w:t>主要原因是上年和本年均未发生公务接待费用。</w:t>
      </w:r>
    </w:p>
    <w:p>
      <w:pPr>
        <w:pStyle w:val="12"/>
        <w:keepNext w:val="0"/>
        <w:keepLines w:val="0"/>
        <w:pageBreakBefore w:val="0"/>
        <w:widowControl/>
        <w:kinsoku/>
        <w:wordWrap/>
        <w:overflowPunct/>
        <w:topLinePunct w:val="0"/>
        <w:autoSpaceDE w:val="0"/>
        <w:autoSpaceDN/>
        <w:bidi w:val="0"/>
        <w:spacing w:beforeAutospacing="0" w:afterAutospacing="0" w:line="594" w:lineRule="exact"/>
        <w:ind w:firstLine="643"/>
        <w:textAlignment w:val="auto"/>
        <w:rPr>
          <w:rFonts w:hint="default" w:ascii="Times New Roman" w:hAnsi="Times New Roman" w:eastAsia="方正楷体_GBK" w:cs="Times New Roman"/>
          <w:b/>
          <w:bCs/>
          <w:sz w:val="32"/>
          <w:szCs w:val="32"/>
          <w:highlight w:val="none"/>
          <w:shd w:val="clear" w:color="auto" w:fill="FFFFFF"/>
        </w:rPr>
      </w:pPr>
      <w:r>
        <w:rPr>
          <w:rFonts w:hint="default" w:ascii="Times New Roman" w:hAnsi="Times New Roman" w:eastAsia="方正楷体_GBK" w:cs="Times New Roman"/>
          <w:b/>
          <w:bCs/>
          <w:sz w:val="32"/>
          <w:szCs w:val="32"/>
          <w:highlight w:val="none"/>
          <w:shd w:val="clear" w:color="auto" w:fill="FFFFFF"/>
        </w:rPr>
        <w:t>（三）“三公”经费实物量情况</w:t>
      </w:r>
    </w:p>
    <w:p>
      <w:pPr>
        <w:pStyle w:val="7"/>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shd w:val="clear" w:color="auto" w:fill="FFFFFF"/>
        </w:rPr>
        <w:t xml:space="preserve">  </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度本单位因公出国（境）共计</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个团组，</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人；公务用车购置</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辆，公务车保有量为</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辆；国内公务接待</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批次</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人，其中：国内外事接待</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批次，</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人；国（境）外公务接待</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批次，</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人。</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本单位人均接待费</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元，车均购置费</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万元，车均维护费</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万元。</w:t>
      </w:r>
    </w:p>
    <w:p>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94" w:lineRule="exact"/>
        <w:ind w:firstLine="640" w:firstLineChars="200"/>
        <w:textAlignment w:val="auto"/>
        <w:rPr>
          <w:rStyle w:val="11"/>
          <w:rFonts w:hint="default" w:ascii="Times New Roman" w:hAnsi="Times New Roman" w:eastAsia="方正黑体_GBK" w:cs="Times New Roman"/>
          <w:sz w:val="32"/>
          <w:szCs w:val="32"/>
          <w:highlight w:val="none"/>
          <w:shd w:val="clear" w:color="auto" w:fill="FFFFFF"/>
        </w:rPr>
      </w:pPr>
      <w:r>
        <w:rPr>
          <w:rStyle w:val="11"/>
          <w:rFonts w:hint="default" w:ascii="Times New Roman" w:hAnsi="Times New Roman" w:eastAsia="方正黑体_GBK" w:cs="Times New Roman"/>
          <w:sz w:val="32"/>
          <w:szCs w:val="32"/>
          <w:highlight w:val="none"/>
          <w:shd w:val="clear" w:color="auto" w:fill="FFFFFF"/>
        </w:rPr>
        <w:t>四、其他需要说明的事项</w:t>
      </w:r>
    </w:p>
    <w:p>
      <w:pPr>
        <w:pStyle w:val="12"/>
        <w:keepNext w:val="0"/>
        <w:keepLines w:val="0"/>
        <w:pageBreakBefore w:val="0"/>
        <w:widowControl/>
        <w:kinsoku/>
        <w:wordWrap/>
        <w:overflowPunct/>
        <w:topLinePunct w:val="0"/>
        <w:autoSpaceDE w:val="0"/>
        <w:autoSpaceDN/>
        <w:bidi w:val="0"/>
        <w:spacing w:beforeAutospacing="0" w:afterAutospacing="0" w:line="594" w:lineRule="exact"/>
        <w:ind w:firstLine="643"/>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 xml:space="preserve">  </w:t>
      </w:r>
      <w:r>
        <w:rPr>
          <w:rFonts w:hint="default" w:ascii="Times New Roman" w:hAnsi="Times New Roman" w:eastAsia="方正楷体_GBK" w:cs="Times New Roman"/>
          <w:b/>
          <w:bCs/>
          <w:sz w:val="32"/>
          <w:szCs w:val="32"/>
          <w:highlight w:val="none"/>
          <w:shd w:val="clear" w:color="auto" w:fill="FFFFFF"/>
        </w:rPr>
        <w:t>（一）财政拨款会议费和培训费情况说明</w:t>
      </w:r>
    </w:p>
    <w:p>
      <w:pPr>
        <w:pStyle w:val="7"/>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shd w:val="clear" w:color="auto" w:fill="FFFFFF"/>
        </w:rPr>
        <w:t>  本年度会议费支出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万元，与2023年度相比，无增减，主要原因是</w:t>
      </w:r>
      <w:r>
        <w:rPr>
          <w:rFonts w:hint="default" w:ascii="Times New Roman" w:hAnsi="Times New Roman" w:eastAsia="方正仿宋_GBK" w:cs="Times New Roman"/>
          <w:sz w:val="32"/>
          <w:szCs w:val="32"/>
          <w:highlight w:val="none"/>
          <w:shd w:val="clear" w:color="auto" w:fill="FFFFFF"/>
          <w:lang w:val="en-US" w:eastAsia="zh-CN"/>
        </w:rPr>
        <w:t>本年度无会议费支出</w:t>
      </w:r>
      <w:r>
        <w:rPr>
          <w:rFonts w:hint="default" w:ascii="Times New Roman" w:hAnsi="Times New Roman" w:eastAsia="方正仿宋_GBK" w:cs="Times New Roman"/>
          <w:sz w:val="32"/>
          <w:szCs w:val="32"/>
          <w:highlight w:val="none"/>
          <w:shd w:val="clear" w:color="auto" w:fill="FFFFFF"/>
        </w:rPr>
        <w:t>。本年度培训费支出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万元，与2023年度相比，无变化，主要原因是</w:t>
      </w:r>
      <w:r>
        <w:rPr>
          <w:rFonts w:hint="default" w:ascii="Times New Roman" w:hAnsi="Times New Roman" w:eastAsia="方正仿宋_GBK" w:cs="Times New Roman"/>
          <w:sz w:val="32"/>
          <w:szCs w:val="32"/>
          <w:highlight w:val="none"/>
          <w:shd w:val="clear" w:color="auto" w:fill="FFFFFF"/>
          <w:lang w:val="en-US" w:eastAsia="zh-CN"/>
        </w:rPr>
        <w:t>本年度无培训费支出</w:t>
      </w:r>
      <w:r>
        <w:rPr>
          <w:rFonts w:hint="default" w:ascii="Times New Roman" w:hAnsi="Times New Roman" w:eastAsia="方正仿宋_GBK" w:cs="Times New Roman"/>
          <w:sz w:val="32"/>
          <w:szCs w:val="32"/>
          <w:highlight w:val="none"/>
          <w:shd w:val="clear" w:color="auto" w:fill="FFFFFF"/>
        </w:rPr>
        <w:t>。</w:t>
      </w:r>
    </w:p>
    <w:p>
      <w:pPr>
        <w:pStyle w:val="12"/>
        <w:keepNext w:val="0"/>
        <w:keepLines w:val="0"/>
        <w:pageBreakBefore w:val="0"/>
        <w:widowControl/>
        <w:kinsoku/>
        <w:wordWrap/>
        <w:overflowPunct/>
        <w:topLinePunct w:val="0"/>
        <w:autoSpaceDE w:val="0"/>
        <w:autoSpaceDN/>
        <w:bidi w:val="0"/>
        <w:spacing w:beforeAutospacing="0" w:afterAutospacing="0" w:line="594" w:lineRule="exact"/>
        <w:ind w:firstLine="643"/>
        <w:textAlignment w:val="auto"/>
        <w:rPr>
          <w:rFonts w:hint="default" w:ascii="Times New Roman" w:hAnsi="Times New Roman" w:eastAsia="方正楷体_GBK" w:cs="Times New Roman"/>
          <w:b/>
          <w:bCs/>
          <w:sz w:val="32"/>
          <w:szCs w:val="32"/>
          <w:highlight w:val="none"/>
          <w:shd w:val="clear" w:color="auto" w:fill="FFFFFF"/>
        </w:rPr>
      </w:pPr>
      <w:r>
        <w:rPr>
          <w:rFonts w:hint="default" w:ascii="Times New Roman" w:hAnsi="Times New Roman" w:eastAsia="方正楷体_GBK" w:cs="Times New Roman"/>
          <w:b/>
          <w:bCs/>
          <w:sz w:val="32"/>
          <w:szCs w:val="32"/>
          <w:highlight w:val="none"/>
          <w:shd w:val="clear" w:color="auto" w:fill="FFFFFF"/>
        </w:rPr>
        <w:t>（二）机关运行经费情况说明</w:t>
      </w:r>
    </w:p>
    <w:p>
      <w:pPr>
        <w:pStyle w:val="7"/>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lang w:eastAsia="zh-CN"/>
        </w:rPr>
        <w:t>2024年</w:t>
      </w:r>
      <w:r>
        <w:rPr>
          <w:rFonts w:hint="default" w:ascii="Times New Roman" w:hAnsi="Times New Roman" w:eastAsia="方正仿宋_GBK" w:cs="Times New Roman"/>
          <w:color w:val="auto"/>
          <w:sz w:val="32"/>
          <w:szCs w:val="32"/>
          <w:highlight w:val="none"/>
          <w:shd w:val="clear" w:color="auto" w:fill="FFFFFF"/>
        </w:rPr>
        <w:t>度本单位机关运行经费支出</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万元，机关运行经费较上年支出数无增减，</w:t>
      </w:r>
      <w:r>
        <w:rPr>
          <w:rFonts w:hint="default" w:ascii="Times New Roman" w:hAnsi="Times New Roman" w:eastAsia="方正仿宋_GBK" w:cs="Times New Roman"/>
          <w:bCs/>
          <w:color w:val="auto"/>
          <w:sz w:val="32"/>
          <w:szCs w:val="32"/>
          <w:highlight w:val="none"/>
        </w:rPr>
        <w:t>主要原因是按照部门决算列报口径，我单位不在机关运行经费统计范围之内。</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94" w:lineRule="exact"/>
        <w:ind w:left="0" w:leftChars="0" w:firstLine="640" w:firstLineChars="200"/>
        <w:textAlignment w:val="auto"/>
        <w:rPr>
          <w:rFonts w:hint="default" w:ascii="Times New Roman" w:hAnsi="Times New Roman" w:eastAsia="方正楷体_GBK" w:cs="Times New Roman"/>
          <w:b/>
          <w:bCs/>
          <w:sz w:val="32"/>
          <w:szCs w:val="32"/>
          <w:highlight w:val="none"/>
          <w:shd w:val="clear" w:color="auto" w:fill="FFFFFF"/>
        </w:rPr>
      </w:pPr>
      <w:r>
        <w:rPr>
          <w:rFonts w:hint="default" w:ascii="Times New Roman" w:hAnsi="Times New Roman" w:eastAsia="方正楷体_GBK" w:cs="Times New Roman"/>
          <w:b/>
          <w:bCs/>
          <w:sz w:val="32"/>
          <w:szCs w:val="32"/>
          <w:highlight w:val="none"/>
          <w:shd w:val="clear" w:color="auto" w:fill="FFFFFF"/>
        </w:rPr>
        <w:t>（三）国有资产占用情况说明</w:t>
      </w:r>
    </w:p>
    <w:p>
      <w:pPr>
        <w:pStyle w:val="7"/>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shd w:val="clear" w:color="auto" w:fill="FFFFFF"/>
        </w:rPr>
        <w:t>  截至</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12月31日，本单位共有车辆</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辆，其中，副部（省）级及以上领导用车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辆、主要负责人用车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辆、机要通信用车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辆、应急保障用车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辆、执法执勤用车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辆，特种专业技术用车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辆，离退休干部用车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辆。单价100万元（含）以上专用设备</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台（套）。</w:t>
      </w:r>
      <w:r>
        <w:rPr>
          <w:rFonts w:hint="default" w:ascii="Times New Roman" w:hAnsi="Times New Roman" w:eastAsia="方正仿宋_GBK" w:cs="Times New Roman"/>
          <w:sz w:val="32"/>
          <w:szCs w:val="32"/>
          <w:highlight w:val="none"/>
          <w:shd w:val="clear" w:color="auto" w:fill="FFFFFF"/>
          <w:lang w:eastAsia="zh-CN"/>
        </w:rPr>
        <w:t>因本单位</w:t>
      </w:r>
      <w:r>
        <w:rPr>
          <w:rFonts w:hint="eastAsia" w:ascii="Times New Roman" w:hAnsi="Times New Roman" w:eastAsia="方正仿宋_GBK" w:cs="Times New Roman"/>
          <w:sz w:val="32"/>
          <w:szCs w:val="32"/>
          <w:highlight w:val="none"/>
          <w:shd w:val="clear" w:color="auto" w:fill="FFFFFF"/>
          <w:lang w:eastAsia="zh-CN"/>
        </w:rPr>
        <w:t>属于</w:t>
      </w:r>
      <w:r>
        <w:rPr>
          <w:rFonts w:hint="default" w:ascii="Times New Roman" w:hAnsi="Times New Roman" w:eastAsia="方正仿宋_GBK" w:cs="Times New Roman"/>
          <w:sz w:val="32"/>
          <w:szCs w:val="32"/>
          <w:highlight w:val="none"/>
          <w:shd w:val="clear" w:color="auto" w:fill="FFFFFF"/>
          <w:lang w:val="en-US" w:eastAsia="zh-CN" w:bidi="ar-SA"/>
        </w:rPr>
        <w:t>长龙镇人民政府下属二级事业单位，且单位资产全部在政府本级入账，我单位资产未纳入部门决算报表。</w:t>
      </w:r>
    </w:p>
    <w:p>
      <w:pPr>
        <w:pStyle w:val="12"/>
        <w:keepNext w:val="0"/>
        <w:keepLines w:val="0"/>
        <w:pageBreakBefore w:val="0"/>
        <w:widowControl/>
        <w:kinsoku/>
        <w:wordWrap/>
        <w:overflowPunct/>
        <w:topLinePunct w:val="0"/>
        <w:autoSpaceDE w:val="0"/>
        <w:autoSpaceDN/>
        <w:bidi w:val="0"/>
        <w:spacing w:beforeAutospacing="0" w:afterAutospacing="0" w:line="594" w:lineRule="exact"/>
        <w:ind w:firstLine="643"/>
        <w:textAlignment w:val="auto"/>
        <w:rPr>
          <w:rFonts w:hint="default" w:ascii="Times New Roman" w:hAnsi="Times New Roman" w:eastAsia="方正楷体_GBK" w:cs="Times New Roman"/>
          <w:b/>
          <w:bCs/>
          <w:sz w:val="32"/>
          <w:szCs w:val="32"/>
          <w:highlight w:val="none"/>
          <w:shd w:val="clear" w:color="auto" w:fill="FFFFFF"/>
        </w:rPr>
      </w:pPr>
      <w:r>
        <w:rPr>
          <w:rFonts w:hint="default" w:ascii="Times New Roman" w:hAnsi="Times New Roman" w:eastAsia="方正楷体_GBK" w:cs="Times New Roman"/>
          <w:b/>
          <w:bCs/>
          <w:sz w:val="32"/>
          <w:szCs w:val="32"/>
          <w:highlight w:val="none"/>
          <w:shd w:val="clear" w:color="auto" w:fill="FFFFFF"/>
        </w:rPr>
        <w:t>（四）政府采购支出情况说明</w:t>
      </w:r>
    </w:p>
    <w:p>
      <w:pPr>
        <w:pStyle w:val="7"/>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pPr>
      <w:r>
        <w:rPr>
          <w:rFonts w:hint="default" w:ascii="Times New Roman" w:hAnsi="Times New Roman" w:eastAsia="方正仿宋_GBK" w:cs="Times New Roman"/>
          <w:sz w:val="32"/>
          <w:szCs w:val="32"/>
          <w:highlight w:val="none"/>
          <w:shd w:val="clear" w:color="auto" w:fill="FFFFFF"/>
        </w:rPr>
        <w:t>2024年度本单位政府采购支出总额</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万元，其中：政府采购货物支出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万元、政府采购工程支出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万元、政府采购服务支出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万元。授予中小企业合同金额</w:t>
      </w:r>
      <w:r>
        <w:rPr>
          <w:rFonts w:hint="default" w:ascii="Times New Roman" w:hAnsi="Times New Roman" w:eastAsia="方正仿宋_GBK" w:cs="Times New Roman"/>
          <w:sz w:val="32"/>
          <w:szCs w:val="32"/>
          <w:highlight w:val="none"/>
        </w:rPr>
        <w:t>0.00万</w:t>
      </w:r>
      <w:r>
        <w:rPr>
          <w:rFonts w:hint="default" w:ascii="Times New Roman" w:hAnsi="Times New Roman" w:eastAsia="方正仿宋_GBK" w:cs="Times New Roman"/>
          <w:sz w:val="32"/>
          <w:szCs w:val="32"/>
          <w:highlight w:val="none"/>
          <w:shd w:val="clear" w:color="auto" w:fill="FFFFFF"/>
        </w:rPr>
        <w:t>元，占政府采购支出总额的</w:t>
      </w:r>
      <w:r>
        <w:rPr>
          <w:rFonts w:hint="default" w:ascii="Times New Roman" w:hAnsi="Times New Roman" w:eastAsia="方正仿宋_GBK" w:cs="Times New Roman"/>
          <w:sz w:val="32"/>
          <w:szCs w:val="32"/>
          <w:highlight w:val="none"/>
        </w:rPr>
        <w:t>0.0</w:t>
      </w:r>
      <w:r>
        <w:rPr>
          <w:rFonts w:hint="default" w:ascii="Times New Roman" w:hAnsi="Times New Roman" w:eastAsia="方正仿宋_GBK" w:cs="Times New Roman"/>
          <w:sz w:val="32"/>
          <w:szCs w:val="32"/>
          <w:highlight w:val="none"/>
          <w:shd w:val="clear" w:color="auto" w:fill="FFFFFF"/>
        </w:rPr>
        <w:t>%，其中：授予小微企业合同金额</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万元，占政府采购支出总额的</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lang w:val="en-US" w:eastAsia="zh-CN"/>
        </w:rPr>
        <w:t>.</w:t>
      </w:r>
      <w:r>
        <w:rPr>
          <w:rFonts w:hint="default" w:ascii="Times New Roman" w:hAnsi="Times New Roman" w:eastAsia="方正仿宋_GBK" w:cs="Times New Roman"/>
          <w:sz w:val="32"/>
          <w:szCs w:val="32"/>
          <w:highlight w:val="none"/>
          <w:shd w:val="clear" w:color="auto" w:fill="FFFFFF"/>
        </w:rPr>
        <w:t>0%。2024年度我单位未发生政府采购事项，无相关经费支出。</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default" w:ascii="Times New Roman" w:hAnsi="Times New Roman" w:eastAsia="方正黑体_GBK" w:cs="Times New Roman"/>
          <w:sz w:val="32"/>
          <w:szCs w:val="32"/>
          <w:highlight w:val="none"/>
          <w:shd w:val="clear" w:color="auto" w:fill="FFFFFF"/>
        </w:rPr>
      </w:pPr>
      <w:r>
        <w:rPr>
          <w:rStyle w:val="11"/>
          <w:rFonts w:hint="default" w:ascii="Times New Roman" w:hAnsi="Times New Roman" w:eastAsia="方正黑体_GBK" w:cs="Times New Roman"/>
          <w:sz w:val="32"/>
          <w:szCs w:val="32"/>
          <w:highlight w:val="none"/>
          <w:shd w:val="clear" w:color="auto" w:fill="FFFFFF"/>
          <w:lang w:val="en-US" w:eastAsia="zh-CN" w:bidi="ar-SA"/>
        </w:rPr>
        <w:t>五、2024年度预算绩效管理情况说明</w:t>
      </w:r>
    </w:p>
    <w:p>
      <w:pPr>
        <w:pStyle w:val="12"/>
        <w:keepNext w:val="0"/>
        <w:keepLines w:val="0"/>
        <w:pageBreakBefore w:val="0"/>
        <w:widowControl/>
        <w:kinsoku/>
        <w:wordWrap/>
        <w:overflowPunct/>
        <w:topLinePunct w:val="0"/>
        <w:autoSpaceDE w:val="0"/>
        <w:autoSpaceDN/>
        <w:bidi w:val="0"/>
        <w:spacing w:beforeAutospacing="0" w:afterAutospacing="0" w:line="594" w:lineRule="exact"/>
        <w:ind w:firstLine="643"/>
        <w:textAlignment w:val="auto"/>
        <w:rPr>
          <w:rFonts w:hint="default" w:ascii="Times New Roman" w:hAnsi="Times New Roman" w:eastAsia="方正楷体_GBK" w:cs="Times New Roman"/>
          <w:b/>
          <w:bCs/>
          <w:sz w:val="32"/>
          <w:szCs w:val="32"/>
          <w:highlight w:val="none"/>
          <w:shd w:val="clear" w:color="auto" w:fill="FFFFFF"/>
        </w:rPr>
      </w:pPr>
      <w:r>
        <w:rPr>
          <w:rFonts w:hint="default" w:ascii="Times New Roman" w:hAnsi="Times New Roman" w:eastAsia="方正楷体_GBK" w:cs="Times New Roman"/>
          <w:b/>
          <w:bCs/>
          <w:sz w:val="32"/>
          <w:szCs w:val="32"/>
          <w:highlight w:val="none"/>
          <w:shd w:val="clear" w:color="auto" w:fill="FFFFFF"/>
        </w:rPr>
        <w:t>（一）单位自评情况</w:t>
      </w:r>
    </w:p>
    <w:p>
      <w:pPr>
        <w:pStyle w:val="13"/>
        <w:keepNext w:val="0"/>
        <w:keepLines w:val="0"/>
        <w:pageBreakBefore w:val="0"/>
        <w:widowControl/>
        <w:kinsoku/>
        <w:wordWrap/>
        <w:overflowPunct/>
        <w:topLinePunct w:val="0"/>
        <w:autoSpaceDE w:val="0"/>
        <w:autoSpaceDN/>
        <w:bidi w:val="0"/>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rPr>
        <w:t>根据预算绩效管理要求，我单位</w:t>
      </w:r>
      <w:r>
        <w:rPr>
          <w:rFonts w:hint="default" w:ascii="Times New Roman" w:hAnsi="Times New Roman" w:eastAsia="方正仿宋_GBK" w:cs="Times New Roman"/>
          <w:sz w:val="32"/>
          <w:szCs w:val="32"/>
          <w:highlight w:val="none"/>
          <w:shd w:val="clear" w:color="auto" w:fill="FFFFFF"/>
          <w:lang w:val="en-US" w:eastAsia="zh-CN"/>
        </w:rPr>
        <w:t>0</w:t>
      </w:r>
      <w:r>
        <w:rPr>
          <w:rFonts w:hint="default" w:ascii="Times New Roman" w:hAnsi="Times New Roman" w:eastAsia="方正仿宋_GBK" w:cs="Times New Roman"/>
          <w:sz w:val="32"/>
          <w:szCs w:val="32"/>
          <w:highlight w:val="none"/>
          <w:shd w:val="clear" w:color="auto" w:fill="FFFFFF"/>
        </w:rPr>
        <w:t>个二级项目开展了绩效自评，涉及财政拨款项目支出资金</w:t>
      </w:r>
      <w:r>
        <w:rPr>
          <w:rFonts w:hint="default" w:ascii="Times New Roman" w:hAnsi="Times New Roman" w:eastAsia="方正仿宋_GBK" w:cs="Times New Roman"/>
          <w:sz w:val="32"/>
          <w:szCs w:val="32"/>
          <w:highlight w:val="none"/>
          <w:shd w:val="clear" w:color="auto" w:fill="FFFFFF"/>
          <w:lang w:val="en-US" w:eastAsia="zh-CN"/>
        </w:rPr>
        <w:t>0</w:t>
      </w:r>
      <w:r>
        <w:rPr>
          <w:rFonts w:hint="default" w:ascii="Times New Roman" w:hAnsi="Times New Roman" w:eastAsia="方正仿宋_GBK" w:cs="Times New Roman"/>
          <w:sz w:val="32"/>
          <w:szCs w:val="32"/>
          <w:highlight w:val="none"/>
          <w:shd w:val="clear" w:color="auto" w:fill="FFFFFF"/>
        </w:rPr>
        <w:t>万元</w:t>
      </w:r>
      <w:r>
        <w:rPr>
          <w:rFonts w:hint="default" w:ascii="Times New Roman" w:hAnsi="Times New Roman" w:eastAsia="方正仿宋_GBK" w:cs="Times New Roman"/>
          <w:sz w:val="32"/>
          <w:szCs w:val="32"/>
          <w:highlight w:val="none"/>
          <w:shd w:val="clear" w:color="auto" w:fill="FFFFFF"/>
          <w:lang w:eastAsia="zh-CN"/>
        </w:rPr>
        <w:t>。</w:t>
      </w:r>
    </w:p>
    <w:p>
      <w:pPr>
        <w:pStyle w:val="12"/>
        <w:keepNext w:val="0"/>
        <w:keepLines w:val="0"/>
        <w:pageBreakBefore w:val="0"/>
        <w:widowControl/>
        <w:kinsoku/>
        <w:wordWrap/>
        <w:overflowPunct/>
        <w:topLinePunct w:val="0"/>
        <w:autoSpaceDE w:val="0"/>
        <w:autoSpaceDN/>
        <w:bidi w:val="0"/>
        <w:spacing w:beforeAutospacing="0" w:afterAutospacing="0" w:line="594" w:lineRule="exact"/>
        <w:ind w:firstLine="643"/>
        <w:textAlignment w:val="auto"/>
        <w:rPr>
          <w:rFonts w:hint="default" w:ascii="Times New Roman" w:hAnsi="Times New Roman" w:eastAsia="方正楷体_GBK" w:cs="Times New Roman"/>
          <w:b/>
          <w:bCs/>
          <w:sz w:val="32"/>
          <w:szCs w:val="32"/>
          <w:highlight w:val="none"/>
          <w:shd w:val="clear" w:color="auto" w:fill="FFFFFF"/>
        </w:rPr>
      </w:pPr>
      <w:r>
        <w:rPr>
          <w:rFonts w:hint="default" w:ascii="Times New Roman" w:hAnsi="Times New Roman" w:eastAsia="方正楷体_GBK" w:cs="Times New Roman"/>
          <w:b/>
          <w:bCs/>
          <w:sz w:val="32"/>
          <w:szCs w:val="32"/>
          <w:highlight w:val="none"/>
          <w:shd w:val="clear" w:color="auto" w:fill="FFFFFF"/>
        </w:rPr>
        <w:t>（二）单位绩效评价情况</w:t>
      </w:r>
    </w:p>
    <w:p>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textAlignment w:val="auto"/>
        <w:rPr>
          <w:rFonts w:hint="default" w:ascii="Times New Roman" w:hAnsi="Times New Roman" w:eastAsia="方正仿宋_GBK" w:cs="Times New Roman"/>
          <w:sz w:val="32"/>
          <w:szCs w:val="32"/>
          <w:highlight w:val="none"/>
          <w:shd w:val="clear" w:color="auto" w:fill="FFFFFF"/>
          <w:lang w:bidi="ar"/>
        </w:rPr>
      </w:pPr>
      <w:r>
        <w:rPr>
          <w:rFonts w:hint="default" w:ascii="Times New Roman" w:hAnsi="Times New Roman" w:eastAsia="方正仿宋_GBK" w:cs="Times New Roman"/>
          <w:sz w:val="32"/>
          <w:szCs w:val="32"/>
          <w:highlight w:val="none"/>
          <w:shd w:val="clear" w:color="auto" w:fill="FFFFFF"/>
          <w:lang w:val="en-US" w:eastAsia="zh-CN" w:bidi="ar-SA"/>
        </w:rPr>
        <w:t>我单位未组织开展绩效评价。</w:t>
      </w:r>
    </w:p>
    <w:p>
      <w:pPr>
        <w:pStyle w:val="12"/>
        <w:keepNext w:val="0"/>
        <w:keepLines w:val="0"/>
        <w:pageBreakBefore w:val="0"/>
        <w:widowControl/>
        <w:kinsoku/>
        <w:wordWrap/>
        <w:overflowPunct/>
        <w:topLinePunct w:val="0"/>
        <w:autoSpaceDE w:val="0"/>
        <w:autoSpaceDN/>
        <w:bidi w:val="0"/>
        <w:spacing w:beforeAutospacing="0" w:afterAutospacing="0" w:line="594" w:lineRule="exact"/>
        <w:ind w:firstLine="643"/>
        <w:textAlignment w:val="auto"/>
        <w:rPr>
          <w:rFonts w:hint="default" w:ascii="Times New Roman" w:hAnsi="Times New Roman" w:eastAsia="方正楷体_GBK" w:cs="Times New Roman"/>
          <w:b/>
          <w:bCs/>
          <w:sz w:val="32"/>
          <w:szCs w:val="32"/>
          <w:highlight w:val="none"/>
          <w:shd w:val="clear" w:color="auto" w:fill="FFFFFF"/>
        </w:rPr>
      </w:pPr>
      <w:r>
        <w:rPr>
          <w:rFonts w:hint="default" w:ascii="Times New Roman" w:hAnsi="Times New Roman" w:eastAsia="方正楷体_GBK" w:cs="Times New Roman"/>
          <w:b/>
          <w:bCs/>
          <w:sz w:val="32"/>
          <w:szCs w:val="32"/>
          <w:highlight w:val="none"/>
          <w:shd w:val="clear" w:color="auto" w:fill="FFFFFF"/>
        </w:rPr>
        <w:t>（三）财政绩效评价情况</w:t>
      </w:r>
    </w:p>
    <w:p>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textAlignment w:val="auto"/>
        <w:rPr>
          <w:rFonts w:hint="default" w:ascii="Times New Roman" w:hAnsi="Times New Roman" w:eastAsia="方正仿宋_GBK" w:cs="Times New Roman"/>
          <w:sz w:val="32"/>
          <w:szCs w:val="32"/>
          <w:highlight w:val="none"/>
          <w:shd w:val="clear" w:color="auto" w:fill="FFFFFF"/>
          <w:lang w:val="en-US" w:eastAsia="zh-CN" w:bidi="ar-SA"/>
        </w:rPr>
      </w:pPr>
      <w:r>
        <w:rPr>
          <w:rFonts w:hint="default" w:ascii="Times New Roman" w:hAnsi="Times New Roman" w:eastAsia="方正仿宋_GBK" w:cs="Times New Roman"/>
          <w:sz w:val="32"/>
          <w:szCs w:val="32"/>
          <w:highlight w:val="none"/>
          <w:shd w:val="clear" w:color="auto" w:fill="FFFFFF"/>
          <w:lang w:val="en-US" w:eastAsia="zh-CN" w:bidi="ar-SA"/>
        </w:rPr>
        <w:t>县财政局未委托第三方对我单位开展绩效评价。</w:t>
      </w:r>
    </w:p>
    <w:p>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94" w:lineRule="exact"/>
        <w:ind w:firstLine="643" w:firstLineChars="200"/>
        <w:textAlignment w:val="auto"/>
        <w:rPr>
          <w:rStyle w:val="11"/>
          <w:rFonts w:hint="default" w:ascii="Times New Roman" w:hAnsi="Times New Roman" w:eastAsia="黑体" w:cs="Times New Roman"/>
          <w:sz w:val="32"/>
          <w:szCs w:val="32"/>
          <w:highlight w:val="none"/>
          <w:shd w:val="clear" w:color="auto" w:fill="FFFFFF"/>
          <w:lang w:val="en-US" w:eastAsia="zh-CN"/>
        </w:rPr>
      </w:pPr>
      <w:r>
        <w:rPr>
          <w:rStyle w:val="11"/>
          <w:rFonts w:hint="default" w:ascii="Times New Roman" w:hAnsi="Times New Roman" w:eastAsia="黑体" w:cs="Times New Roman"/>
          <w:sz w:val="32"/>
          <w:szCs w:val="32"/>
          <w:highlight w:val="none"/>
          <w:shd w:val="clear" w:color="auto" w:fill="FFFFFF"/>
          <w:lang w:val="en-US" w:eastAsia="zh-CN"/>
        </w:rPr>
        <w:t> </w:t>
      </w:r>
      <w:r>
        <w:rPr>
          <w:rStyle w:val="11"/>
          <w:rFonts w:hint="default" w:ascii="Times New Roman" w:hAnsi="Times New Roman" w:eastAsia="方正黑体_GBK" w:cs="Times New Roman"/>
          <w:sz w:val="32"/>
          <w:szCs w:val="32"/>
          <w:highlight w:val="none"/>
          <w:shd w:val="clear" w:color="auto" w:fill="FFFFFF"/>
          <w:lang w:val="en-US" w:eastAsia="zh-CN"/>
        </w:rPr>
        <w:t xml:space="preserve"> 六、专业名词解释</w:t>
      </w:r>
    </w:p>
    <w:p>
      <w:pPr>
        <w:pStyle w:val="7"/>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shd w:val="clear" w:color="auto" w:fill="FFFFFF"/>
        </w:rPr>
        <w:t> </w:t>
      </w:r>
      <w:r>
        <w:rPr>
          <w:rFonts w:hint="default" w:ascii="Times New Roman" w:hAnsi="Times New Roman" w:eastAsia="楷体" w:cs="Times New Roman"/>
          <w:b/>
          <w:bCs/>
          <w:sz w:val="32"/>
          <w:szCs w:val="32"/>
          <w:highlight w:val="none"/>
          <w:shd w:val="clear" w:color="auto" w:fill="FFFFFF"/>
        </w:rPr>
        <w:t>（一）财政拨款收入：</w:t>
      </w:r>
      <w:r>
        <w:rPr>
          <w:rFonts w:hint="default" w:ascii="Times New Roman" w:hAnsi="Times New Roman" w:eastAsia="方正仿宋_GBK" w:cs="Times New Roman"/>
          <w:sz w:val="32"/>
          <w:szCs w:val="32"/>
          <w:highlight w:val="none"/>
          <w:shd w:val="clear" w:color="auto" w:fill="FFFFFF"/>
        </w:rPr>
        <w:t>指本年度从本级财政部门取得的财政拨款，包括一般公共预算财政拨款和政府性基金预算财政拨款。</w:t>
      </w:r>
    </w:p>
    <w:p>
      <w:pPr>
        <w:pStyle w:val="7"/>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highlight w:val="none"/>
        </w:rPr>
      </w:pPr>
      <w:r>
        <w:rPr>
          <w:rStyle w:val="11"/>
          <w:rFonts w:hint="default" w:ascii="Times New Roman" w:hAnsi="Times New Roman" w:eastAsia="方正仿宋_GBK" w:cs="Times New Roman"/>
          <w:sz w:val="32"/>
          <w:szCs w:val="32"/>
          <w:highlight w:val="none"/>
          <w:shd w:val="clear" w:color="auto" w:fill="FFFFFF"/>
        </w:rPr>
        <w:t> </w:t>
      </w:r>
      <w:r>
        <w:rPr>
          <w:rStyle w:val="11"/>
          <w:rFonts w:hint="default" w:ascii="Times New Roman" w:hAnsi="Times New Roman" w:eastAsia="楷体" w:cs="Times New Roman"/>
          <w:sz w:val="32"/>
          <w:szCs w:val="32"/>
          <w:highlight w:val="none"/>
          <w:shd w:val="clear" w:color="auto" w:fill="FFFFFF"/>
        </w:rPr>
        <w:t>（二）事业收入</w:t>
      </w:r>
      <w:r>
        <w:rPr>
          <w:rFonts w:hint="default" w:ascii="Times New Roman" w:hAnsi="Times New Roman" w:eastAsia="楷体"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rPr>
        <w:t>指事业单位开展专业业务活动及其辅助活动取得的现金流入；事业单位收到的财政专户实际核拨的教育收费等资金在此反映。</w:t>
      </w:r>
    </w:p>
    <w:p>
      <w:pPr>
        <w:pStyle w:val="7"/>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highlight w:val="none"/>
        </w:rPr>
      </w:pPr>
      <w:r>
        <w:rPr>
          <w:rStyle w:val="11"/>
          <w:rFonts w:hint="default" w:ascii="Times New Roman" w:hAnsi="Times New Roman" w:eastAsia="方正仿宋_GBK" w:cs="Times New Roman"/>
          <w:sz w:val="32"/>
          <w:szCs w:val="32"/>
          <w:highlight w:val="none"/>
          <w:shd w:val="clear" w:color="auto" w:fill="FFFFFF"/>
        </w:rPr>
        <w:t> </w:t>
      </w:r>
      <w:r>
        <w:rPr>
          <w:rStyle w:val="11"/>
          <w:rFonts w:hint="default" w:ascii="Times New Roman" w:hAnsi="Times New Roman" w:eastAsia="楷体" w:cs="Times New Roman"/>
          <w:sz w:val="32"/>
          <w:szCs w:val="32"/>
          <w:highlight w:val="none"/>
          <w:shd w:val="clear" w:color="auto" w:fill="FFFFFF"/>
        </w:rPr>
        <w:t>（三）经营收入</w:t>
      </w:r>
      <w:r>
        <w:rPr>
          <w:rFonts w:hint="default" w:ascii="Times New Roman" w:hAnsi="Times New Roman" w:eastAsia="楷体"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rPr>
        <w:t>指事业单位在专业业务活动及其辅助活动之外开展非独立核算经营活动取得的现金流入。</w:t>
      </w:r>
    </w:p>
    <w:p>
      <w:pPr>
        <w:pStyle w:val="7"/>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highlight w:val="none"/>
        </w:rPr>
      </w:pPr>
      <w:r>
        <w:rPr>
          <w:rStyle w:val="11"/>
          <w:rFonts w:hint="default" w:ascii="Times New Roman" w:hAnsi="Times New Roman" w:eastAsia="方正仿宋_GBK" w:cs="Times New Roman"/>
          <w:sz w:val="32"/>
          <w:szCs w:val="32"/>
          <w:highlight w:val="none"/>
          <w:shd w:val="clear" w:color="auto" w:fill="FFFFFF"/>
        </w:rPr>
        <w:t> </w:t>
      </w:r>
      <w:r>
        <w:rPr>
          <w:rStyle w:val="11"/>
          <w:rFonts w:hint="default" w:ascii="Times New Roman" w:hAnsi="Times New Roman" w:eastAsia="楷体" w:cs="Times New Roman"/>
          <w:sz w:val="32"/>
          <w:szCs w:val="32"/>
          <w:highlight w:val="none"/>
          <w:shd w:val="clear" w:color="auto" w:fill="FFFFFF"/>
        </w:rPr>
        <w:t>（四）其他收入</w:t>
      </w:r>
      <w:r>
        <w:rPr>
          <w:rFonts w:hint="default" w:ascii="Times New Roman" w:hAnsi="Times New Roman" w:eastAsia="楷体"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highlight w:val="none"/>
        </w:rPr>
      </w:pPr>
      <w:r>
        <w:rPr>
          <w:rStyle w:val="11"/>
          <w:rFonts w:hint="default" w:ascii="Times New Roman" w:hAnsi="Times New Roman" w:eastAsia="楷体" w:cs="Times New Roman"/>
          <w:sz w:val="32"/>
          <w:szCs w:val="32"/>
          <w:highlight w:val="none"/>
          <w:shd w:val="clear" w:color="auto" w:fill="FFFFFF"/>
        </w:rPr>
        <w:t>（五）使用非财政拨款结余</w:t>
      </w:r>
      <w:r>
        <w:rPr>
          <w:rFonts w:hint="default" w:ascii="Times New Roman" w:hAnsi="Times New Roman" w:eastAsia="楷体"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rPr>
        <w:t>指单位在当年的“财政拨款收入”、“事业收入”、“经营收入”、“其他收入”等不足以安排当年支出的情况下，使用以前年度积累的非财政拨款结余弥补本年度收支缺口的资金。</w:t>
      </w:r>
    </w:p>
    <w:p>
      <w:pPr>
        <w:pStyle w:val="7"/>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highlight w:val="none"/>
        </w:rPr>
      </w:pPr>
      <w:r>
        <w:rPr>
          <w:rStyle w:val="11"/>
          <w:rFonts w:hint="default" w:ascii="Times New Roman" w:hAnsi="Times New Roman" w:eastAsia="方正仿宋_GBK" w:cs="Times New Roman"/>
          <w:sz w:val="32"/>
          <w:szCs w:val="32"/>
          <w:highlight w:val="none"/>
          <w:shd w:val="clear" w:color="auto" w:fill="FFFFFF"/>
        </w:rPr>
        <w:t> </w:t>
      </w:r>
      <w:r>
        <w:rPr>
          <w:rStyle w:val="11"/>
          <w:rFonts w:hint="default" w:ascii="Times New Roman" w:hAnsi="Times New Roman" w:eastAsia="楷体" w:cs="Times New Roman"/>
          <w:sz w:val="32"/>
          <w:szCs w:val="32"/>
          <w:highlight w:val="none"/>
          <w:shd w:val="clear" w:color="auto" w:fill="FFFFFF"/>
        </w:rPr>
        <w:t>（六）年初结转和结余</w:t>
      </w:r>
      <w:r>
        <w:rPr>
          <w:rFonts w:hint="default" w:ascii="Times New Roman" w:hAnsi="Times New Roman" w:eastAsia="楷体"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rPr>
        <w:t>指单位上年结转本年使用的基本支出结转、项目支出结转和结余、经营结余。</w:t>
      </w:r>
    </w:p>
    <w:p>
      <w:pPr>
        <w:pStyle w:val="7"/>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highlight w:val="none"/>
        </w:rPr>
      </w:pPr>
      <w:r>
        <w:rPr>
          <w:rStyle w:val="11"/>
          <w:rFonts w:hint="default" w:ascii="Times New Roman" w:hAnsi="Times New Roman" w:eastAsia="方正仿宋_GBK" w:cs="Times New Roman"/>
          <w:sz w:val="32"/>
          <w:szCs w:val="32"/>
          <w:highlight w:val="none"/>
          <w:shd w:val="clear" w:color="auto" w:fill="FFFFFF"/>
        </w:rPr>
        <w:t> </w:t>
      </w:r>
      <w:r>
        <w:rPr>
          <w:rStyle w:val="11"/>
          <w:rFonts w:hint="default" w:ascii="Times New Roman" w:hAnsi="Times New Roman" w:eastAsia="楷体" w:cs="Times New Roman"/>
          <w:sz w:val="32"/>
          <w:szCs w:val="32"/>
          <w:highlight w:val="none"/>
          <w:shd w:val="clear" w:color="auto" w:fill="FFFFFF"/>
        </w:rPr>
        <w:t>（七）结余分配</w:t>
      </w:r>
      <w:r>
        <w:rPr>
          <w:rFonts w:hint="default" w:ascii="Times New Roman" w:hAnsi="Times New Roman" w:eastAsia="楷体"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rPr>
        <w:t>指单位按照国家有关规定，缴纳所得税、提取专用基金、转入非财政拨款结余等当年结余的分配情况。</w:t>
      </w:r>
    </w:p>
    <w:p>
      <w:pPr>
        <w:pStyle w:val="7"/>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highlight w:val="none"/>
        </w:rPr>
      </w:pPr>
      <w:r>
        <w:rPr>
          <w:rStyle w:val="11"/>
          <w:rFonts w:hint="default" w:ascii="Times New Roman" w:hAnsi="Times New Roman" w:eastAsia="方正仿宋_GBK" w:cs="Times New Roman"/>
          <w:sz w:val="32"/>
          <w:szCs w:val="32"/>
          <w:highlight w:val="none"/>
          <w:shd w:val="clear" w:color="auto" w:fill="FFFFFF"/>
        </w:rPr>
        <w:t> </w:t>
      </w:r>
      <w:r>
        <w:rPr>
          <w:rStyle w:val="11"/>
          <w:rFonts w:hint="default" w:ascii="Times New Roman" w:hAnsi="Times New Roman" w:eastAsia="楷体" w:cs="Times New Roman"/>
          <w:sz w:val="32"/>
          <w:szCs w:val="32"/>
          <w:highlight w:val="none"/>
          <w:shd w:val="clear" w:color="auto" w:fill="FFFFFF"/>
        </w:rPr>
        <w:t>（八）年末结转和结余</w:t>
      </w:r>
      <w:r>
        <w:rPr>
          <w:rFonts w:hint="default" w:ascii="Times New Roman" w:hAnsi="Times New Roman" w:eastAsia="楷体"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rPr>
        <w:t>指单位结转下年的基本支出结转、项目支出结转和结余、经营结余。</w:t>
      </w:r>
    </w:p>
    <w:p>
      <w:pPr>
        <w:pStyle w:val="7"/>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highlight w:val="none"/>
        </w:rPr>
      </w:pPr>
      <w:r>
        <w:rPr>
          <w:rStyle w:val="11"/>
          <w:rFonts w:hint="default" w:ascii="Times New Roman" w:hAnsi="Times New Roman" w:eastAsia="方正仿宋_GBK" w:cs="Times New Roman"/>
          <w:sz w:val="32"/>
          <w:szCs w:val="32"/>
          <w:highlight w:val="none"/>
          <w:shd w:val="clear" w:color="auto" w:fill="FFFFFF"/>
        </w:rPr>
        <w:t> </w:t>
      </w:r>
      <w:r>
        <w:rPr>
          <w:rStyle w:val="11"/>
          <w:rFonts w:hint="default" w:ascii="Times New Roman" w:hAnsi="Times New Roman" w:eastAsia="楷体" w:cs="Times New Roman"/>
          <w:sz w:val="32"/>
          <w:szCs w:val="32"/>
          <w:highlight w:val="none"/>
          <w:shd w:val="clear" w:color="auto" w:fill="FFFFFF"/>
        </w:rPr>
        <w:t>（九）基本支出</w:t>
      </w:r>
      <w:r>
        <w:rPr>
          <w:rFonts w:hint="default" w:ascii="Times New Roman" w:hAnsi="Times New Roman" w:eastAsia="楷体"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highlight w:val="none"/>
        </w:rPr>
      </w:pPr>
      <w:r>
        <w:rPr>
          <w:rStyle w:val="11"/>
          <w:rFonts w:hint="default" w:ascii="Times New Roman" w:hAnsi="Times New Roman" w:eastAsia="方正仿宋_GBK" w:cs="Times New Roman"/>
          <w:sz w:val="32"/>
          <w:szCs w:val="32"/>
          <w:highlight w:val="none"/>
          <w:shd w:val="clear" w:color="auto" w:fill="FFFFFF"/>
        </w:rPr>
        <w:t> </w:t>
      </w:r>
      <w:r>
        <w:rPr>
          <w:rStyle w:val="11"/>
          <w:rFonts w:hint="default" w:ascii="Times New Roman" w:hAnsi="Times New Roman" w:eastAsia="楷体" w:cs="Times New Roman"/>
          <w:sz w:val="32"/>
          <w:szCs w:val="32"/>
          <w:highlight w:val="none"/>
          <w:shd w:val="clear" w:color="auto" w:fill="FFFFFF"/>
        </w:rPr>
        <w:t>（十）项目支出</w:t>
      </w:r>
      <w:r>
        <w:rPr>
          <w:rFonts w:hint="default" w:ascii="Times New Roman" w:hAnsi="Times New Roman" w:eastAsia="楷体"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rPr>
        <w:t>指在基本支出之外为完成特定行政任务和事业发展目标所发生的支出。</w:t>
      </w:r>
    </w:p>
    <w:p>
      <w:pPr>
        <w:pStyle w:val="7"/>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highlight w:val="none"/>
        </w:rPr>
      </w:pPr>
      <w:r>
        <w:rPr>
          <w:rStyle w:val="11"/>
          <w:rFonts w:hint="default" w:ascii="Times New Roman" w:hAnsi="Times New Roman" w:eastAsia="方正仿宋_GBK" w:cs="Times New Roman"/>
          <w:sz w:val="32"/>
          <w:szCs w:val="32"/>
          <w:highlight w:val="none"/>
          <w:shd w:val="clear" w:color="auto" w:fill="FFFFFF"/>
        </w:rPr>
        <w:t> </w:t>
      </w:r>
      <w:r>
        <w:rPr>
          <w:rStyle w:val="11"/>
          <w:rFonts w:hint="default" w:ascii="Times New Roman" w:hAnsi="Times New Roman" w:eastAsia="楷体" w:cs="Times New Roman"/>
          <w:sz w:val="32"/>
          <w:szCs w:val="32"/>
          <w:highlight w:val="none"/>
          <w:shd w:val="clear" w:color="auto" w:fill="FFFFFF"/>
        </w:rPr>
        <w:t>（十一）经营支出</w:t>
      </w:r>
      <w:r>
        <w:rPr>
          <w:rFonts w:hint="default" w:ascii="Times New Roman" w:hAnsi="Times New Roman" w:eastAsia="楷体"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rPr>
        <w:t>指事业单位在专业业务活动及其辅助活动之外开展非独立核算经营活动发生的支出。</w:t>
      </w:r>
    </w:p>
    <w:p>
      <w:pPr>
        <w:pStyle w:val="7"/>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highlight w:val="none"/>
        </w:rPr>
      </w:pPr>
      <w:r>
        <w:rPr>
          <w:rStyle w:val="11"/>
          <w:rFonts w:hint="default" w:ascii="Times New Roman" w:hAnsi="Times New Roman" w:eastAsia="方正仿宋_GBK" w:cs="Times New Roman"/>
          <w:sz w:val="32"/>
          <w:szCs w:val="32"/>
          <w:highlight w:val="none"/>
          <w:shd w:val="clear" w:color="auto" w:fill="FFFFFF"/>
        </w:rPr>
        <w:t> </w:t>
      </w:r>
      <w:r>
        <w:rPr>
          <w:rStyle w:val="11"/>
          <w:rFonts w:hint="default" w:ascii="Times New Roman" w:hAnsi="Times New Roman" w:eastAsia="楷体" w:cs="Times New Roman"/>
          <w:sz w:val="32"/>
          <w:szCs w:val="32"/>
          <w:highlight w:val="none"/>
          <w:shd w:val="clear" w:color="auto" w:fill="FFFFFF"/>
        </w:rPr>
        <w:t>（十二）“三公”经费</w:t>
      </w:r>
      <w:r>
        <w:rPr>
          <w:rFonts w:hint="default" w:ascii="Times New Roman" w:hAnsi="Times New Roman" w:eastAsia="楷体"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highlight w:val="none"/>
        </w:rPr>
      </w:pPr>
      <w:r>
        <w:rPr>
          <w:rStyle w:val="11"/>
          <w:rFonts w:hint="default" w:ascii="Times New Roman" w:hAnsi="Times New Roman" w:eastAsia="楷体" w:cs="Times New Roman"/>
          <w:sz w:val="32"/>
          <w:szCs w:val="32"/>
          <w:highlight w:val="none"/>
          <w:shd w:val="clear" w:color="auto" w:fill="FFFFFF"/>
        </w:rPr>
        <w:t>（十三）机关运行经费</w:t>
      </w:r>
      <w:r>
        <w:rPr>
          <w:rFonts w:hint="default" w:ascii="Times New Roman" w:hAnsi="Times New Roman" w:eastAsia="楷体"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highlight w:val="none"/>
        </w:rPr>
      </w:pPr>
      <w:r>
        <w:rPr>
          <w:rStyle w:val="11"/>
          <w:rFonts w:hint="default" w:ascii="Times New Roman" w:hAnsi="Times New Roman" w:eastAsia="楷体" w:cs="Times New Roman"/>
          <w:sz w:val="32"/>
          <w:szCs w:val="32"/>
          <w:highlight w:val="none"/>
          <w:shd w:val="clear" w:color="auto" w:fill="FFFFFF"/>
        </w:rPr>
        <w:t>（十四）工资福利支出（支出经济分类科目类级）</w:t>
      </w:r>
      <w:r>
        <w:rPr>
          <w:rFonts w:hint="default" w:ascii="Times New Roman" w:hAnsi="Times New Roman" w:eastAsia="楷体"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rPr>
        <w:t>反映单位开支的在职职工和编制外长期聘用人员的各类劳动报酬，以及为上述人员缴纳的各项社会保险费等。</w:t>
      </w:r>
    </w:p>
    <w:p>
      <w:pPr>
        <w:pStyle w:val="7"/>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highlight w:val="none"/>
        </w:rPr>
      </w:pPr>
      <w:r>
        <w:rPr>
          <w:rStyle w:val="11"/>
          <w:rFonts w:hint="default" w:ascii="Times New Roman" w:hAnsi="Times New Roman" w:eastAsia="楷体" w:cs="Times New Roman"/>
          <w:sz w:val="32"/>
          <w:szCs w:val="32"/>
          <w:highlight w:val="none"/>
          <w:shd w:val="clear" w:color="auto" w:fill="FFFFFF"/>
        </w:rPr>
        <w:t>（十五）商品和服务支出（支出经济分类科目类级）</w:t>
      </w:r>
      <w:r>
        <w:rPr>
          <w:rFonts w:hint="default" w:ascii="Times New Roman" w:hAnsi="Times New Roman" w:eastAsia="楷体"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rPr>
        <w:t>反映单位购买商品和服务的支出（不包括用于购置固定资产的支出、战略性和应急储备支出）。</w:t>
      </w:r>
    </w:p>
    <w:p>
      <w:pPr>
        <w:pStyle w:val="7"/>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highlight w:val="none"/>
        </w:rPr>
      </w:pPr>
      <w:r>
        <w:rPr>
          <w:rStyle w:val="11"/>
          <w:rFonts w:hint="default" w:ascii="Times New Roman" w:hAnsi="Times New Roman" w:eastAsia="楷体" w:cs="Times New Roman"/>
          <w:sz w:val="32"/>
          <w:szCs w:val="32"/>
          <w:highlight w:val="none"/>
          <w:shd w:val="clear" w:color="auto" w:fill="FFFFFF"/>
        </w:rPr>
        <w:t>（十六）对个人和家庭的补助（支出经济分类科目类级）</w:t>
      </w:r>
      <w:r>
        <w:rPr>
          <w:rFonts w:hint="default" w:ascii="Times New Roman" w:hAnsi="Times New Roman" w:eastAsia="楷体"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rPr>
        <w:t>反映用于对个人和家庭的补助支出。</w:t>
      </w:r>
    </w:p>
    <w:p>
      <w:pPr>
        <w:pStyle w:val="7"/>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highlight w:val="none"/>
        </w:rPr>
      </w:pPr>
      <w:r>
        <w:rPr>
          <w:rStyle w:val="11"/>
          <w:rFonts w:hint="default" w:ascii="Times New Roman" w:hAnsi="Times New Roman" w:eastAsia="楷体" w:cs="Times New Roman"/>
          <w:sz w:val="32"/>
          <w:szCs w:val="32"/>
          <w:highlight w:val="none"/>
          <w:shd w:val="clear" w:color="auto" w:fill="FFFFFF"/>
        </w:rPr>
        <w:t>（十七）其他资本性支出（支出经济分类科目类级）</w:t>
      </w:r>
      <w:r>
        <w:rPr>
          <w:rFonts w:hint="default" w:ascii="Times New Roman" w:hAnsi="Times New Roman" w:eastAsia="楷体"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94" w:lineRule="exact"/>
        <w:ind w:firstLine="640" w:firstLineChars="200"/>
        <w:textAlignment w:val="auto"/>
        <w:rPr>
          <w:rStyle w:val="11"/>
          <w:rFonts w:hint="default" w:ascii="Times New Roman" w:hAnsi="Times New Roman" w:eastAsia="方正黑体_GBK" w:cs="Times New Roman"/>
          <w:sz w:val="32"/>
          <w:szCs w:val="32"/>
          <w:highlight w:val="none"/>
          <w:shd w:val="clear" w:color="auto" w:fill="FFFFFF"/>
        </w:rPr>
      </w:pPr>
      <w:r>
        <w:rPr>
          <w:rStyle w:val="11"/>
          <w:rFonts w:hint="default" w:ascii="Times New Roman" w:hAnsi="Times New Roman" w:eastAsia="方正黑体_GBK" w:cs="Times New Roman"/>
          <w:sz w:val="32"/>
          <w:szCs w:val="32"/>
          <w:highlight w:val="none"/>
          <w:shd w:val="clear" w:color="auto" w:fill="FFFFFF"/>
        </w:rPr>
        <w:t>七、决算公开联系方式及信息反馈渠道</w:t>
      </w:r>
    </w:p>
    <w:p>
      <w:pPr>
        <w:pStyle w:val="7"/>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000000" w:themeColor="text1"/>
          <w:sz w:val="32"/>
          <w:szCs w:val="32"/>
          <w:highlight w:val="none"/>
          <w:shd w:val="clear" w:color="auto" w:fill="FFFFFF"/>
          <w:lang w:val="en-US" w:eastAsia="zh-CN"/>
          <w14:textFill>
            <w14:solidFill>
              <w14:schemeClr w14:val="tx1"/>
            </w14:solidFill>
          </w14:textFill>
        </w:rPr>
      </w:pPr>
      <w:r>
        <w:rPr>
          <w:rFonts w:hint="default" w:ascii="Times New Roman" w:hAnsi="Times New Roman" w:eastAsia="方正仿宋_GBK" w:cs="Times New Roman"/>
          <w:color w:val="auto"/>
          <w:sz w:val="32"/>
          <w:szCs w:val="32"/>
          <w:highlight w:val="none"/>
          <w:shd w:val="clear" w:color="auto" w:fill="FFFFFF"/>
        </w:rPr>
        <w:t>本单位决算公开信息反馈和联系方式：</w:t>
      </w:r>
      <w:r>
        <w:rPr>
          <w:rFonts w:hint="default" w:ascii="Times New Roman" w:hAnsi="Times New Roman" w:eastAsia="方正仿宋_GBK" w:cs="Times New Roman"/>
          <w:color w:val="auto"/>
          <w:kern w:val="2"/>
          <w:sz w:val="32"/>
          <w:szCs w:val="32"/>
          <w:highlight w:val="none"/>
          <w:lang w:bidi="ar"/>
        </w:rPr>
        <w:t>垫江县</w:t>
      </w:r>
      <w:r>
        <w:rPr>
          <w:rFonts w:hint="default" w:ascii="Times New Roman" w:hAnsi="Times New Roman" w:eastAsia="方正仿宋_GBK" w:cs="Times New Roman"/>
          <w:color w:val="auto"/>
          <w:kern w:val="2"/>
          <w:sz w:val="32"/>
          <w:szCs w:val="32"/>
          <w:highlight w:val="none"/>
          <w:lang w:eastAsia="zh-CN" w:bidi="ar"/>
        </w:rPr>
        <w:t>长龙</w:t>
      </w:r>
      <w:r>
        <w:rPr>
          <w:rFonts w:hint="default" w:ascii="Times New Roman" w:hAnsi="Times New Roman" w:eastAsia="方正仿宋_GBK" w:cs="Times New Roman"/>
          <w:color w:val="auto"/>
          <w:kern w:val="2"/>
          <w:sz w:val="32"/>
          <w:szCs w:val="32"/>
          <w:highlight w:val="none"/>
          <w:lang w:bidi="ar"/>
        </w:rPr>
        <w:t>镇人民政府办公室电话</w:t>
      </w: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023-</w:t>
      </w:r>
      <w:r>
        <w:rPr>
          <w:rFonts w:hint="default" w:ascii="Times New Roman" w:hAnsi="Times New Roman" w:eastAsia="方正仿宋_GBK" w:cs="Times New Roman"/>
          <w:color w:val="000000" w:themeColor="text1"/>
          <w:sz w:val="32"/>
          <w:szCs w:val="32"/>
          <w:highlight w:val="none"/>
          <w:shd w:val="clear" w:color="auto" w:fill="FFFFFF"/>
          <w:lang w:val="en-US" w:eastAsia="zh-CN"/>
          <w14:textFill>
            <w14:solidFill>
              <w14:schemeClr w14:val="tx1"/>
            </w14:solidFill>
          </w14:textFill>
        </w:rPr>
        <w:t>74510218</w:t>
      </w:r>
    </w:p>
    <w:p>
      <w:pPr>
        <w:pStyle w:val="7"/>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000000" w:themeColor="text1"/>
          <w:sz w:val="32"/>
          <w:szCs w:val="32"/>
          <w:highlight w:val="none"/>
          <w:shd w:val="clear" w:color="auto" w:fill="FFFFFF"/>
          <w:lang w:val="en-US" w:eastAsia="zh-CN"/>
          <w14:textFill>
            <w14:solidFill>
              <w14:schemeClr w14:val="tx1"/>
            </w14:solidFill>
          </w14:textFill>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Chars="0" w:right="0" w:rightChars="0" w:firstLine="640" w:firstLineChars="200"/>
        <w:jc w:val="left"/>
        <w:rPr>
          <w:rFonts w:hint="default" w:ascii="方正仿宋_GBK" w:hAnsi="方正仿宋_GBK" w:eastAsia="方正仿宋_GBK" w:cs="方正仿宋_GBK"/>
          <w:sz w:val="32"/>
          <w:szCs w:val="32"/>
          <w:highlight w:val="none"/>
          <w:shd w:val="clear" w:color="auto" w:fill="FFFFFF"/>
          <w:lang w:val="en-US" w:eastAsia="zh-CN" w:bidi="ar-SA"/>
        </w:rPr>
      </w:pPr>
    </w:p>
    <w:p>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000000" w:themeColor="text1"/>
          <w:sz w:val="32"/>
          <w:szCs w:val="32"/>
          <w:highlight w:val="none"/>
          <w:shd w:val="clear" w:color="auto" w:fill="FFFFFF"/>
          <w:lang w:val="en-US" w:eastAsia="zh-CN"/>
          <w14:textFill>
            <w14:solidFill>
              <w14:schemeClr w14:val="tx1"/>
            </w14:solidFill>
          </w14:textFill>
        </w:rPr>
      </w:pPr>
    </w:p>
    <w:p>
      <w:pPr>
        <w:pStyle w:val="7"/>
        <w:snapToGrid w:val="0"/>
        <w:spacing w:before="0" w:beforeAutospacing="0" w:after="0" w:afterAutospacing="0" w:line="600" w:lineRule="exact"/>
        <w:jc w:val="both"/>
        <w:rPr>
          <w:rFonts w:hint="default" w:ascii="方正仿宋_GBK" w:hAnsi="方正仿宋_GBK" w:eastAsia="方正仿宋_GBK" w:cs="方正仿宋_GBK"/>
          <w:color w:val="000000" w:themeColor="text1"/>
          <w:sz w:val="32"/>
          <w:szCs w:val="32"/>
          <w:highlight w:val="none"/>
          <w:shd w:val="clear" w:color="auto" w:fill="FFFFFF"/>
          <w:lang w:val="en-US" w:eastAsia="zh-CN"/>
          <w14:textFill>
            <w14:solidFill>
              <w14:schemeClr w14:val="tx1"/>
            </w14:solidFill>
          </w14:textFill>
        </w:rPr>
        <w:sectPr>
          <w:headerReference r:id="rId3" w:type="default"/>
          <w:footerReference r:id="rId4" w:type="default"/>
          <w:pgSz w:w="11907" w:h="16839"/>
          <w:pgMar w:top="1984" w:right="1446" w:bottom="1644" w:left="1446" w:header="0" w:footer="283" w:gutter="0"/>
          <w:pgNumType w:fmt="numberInDash"/>
          <w:cols w:space="720" w:num="1"/>
          <w:docGrid w:type="lines" w:linePitch="326" w:charSpace="0"/>
        </w:sectPr>
      </w:pPr>
    </w:p>
    <w:p>
      <w:pPr>
        <w:pStyle w:val="7"/>
        <w:snapToGrid w:val="0"/>
        <w:spacing w:before="0" w:beforeAutospacing="0" w:after="0" w:afterAutospacing="0" w:line="600" w:lineRule="exact"/>
        <w:jc w:val="both"/>
        <w:rPr>
          <w:rFonts w:hint="default" w:ascii="方正仿宋_GBK" w:hAnsi="方正仿宋_GBK" w:eastAsia="方正仿宋_GBK" w:cs="方正仿宋_GBK"/>
          <w:color w:val="000000" w:themeColor="text1"/>
          <w:sz w:val="32"/>
          <w:szCs w:val="32"/>
          <w:highlight w:val="none"/>
          <w:shd w:val="clear" w:color="auto" w:fill="FFFFFF"/>
          <w:lang w:val="en-US" w:eastAsia="zh-CN"/>
          <w14:textFill>
            <w14:solidFill>
              <w14:schemeClr w14:val="tx1"/>
            </w14:solidFill>
          </w14:textFill>
        </w:rPr>
      </w:pPr>
    </w:p>
    <w:tbl>
      <w:tblPr>
        <w:tblStyle w:val="8"/>
        <w:tblpPr w:leftFromText="180" w:rightFromText="180" w:vertAnchor="text" w:horzAnchor="page" w:tblpX="1058" w:tblpY="22"/>
        <w:tblOverlap w:val="never"/>
        <w:tblW w:w="14839" w:type="dxa"/>
        <w:tblInd w:w="0" w:type="dxa"/>
        <w:tblLayout w:type="fixed"/>
        <w:tblCellMar>
          <w:top w:w="0" w:type="dxa"/>
          <w:left w:w="0" w:type="dxa"/>
          <w:bottom w:w="0" w:type="dxa"/>
          <w:right w:w="0" w:type="dxa"/>
        </w:tblCellMar>
      </w:tblPr>
      <w:tblGrid>
        <w:gridCol w:w="4324"/>
        <w:gridCol w:w="3582"/>
        <w:gridCol w:w="4072"/>
        <w:gridCol w:w="2861"/>
      </w:tblGrid>
      <w:tr>
        <w:tblPrEx>
          <w:tblCellMar>
            <w:top w:w="0" w:type="dxa"/>
            <w:left w:w="0" w:type="dxa"/>
            <w:bottom w:w="0" w:type="dxa"/>
            <w:right w:w="0" w:type="dxa"/>
          </w:tblCellMar>
        </w:tblPrEx>
        <w:trPr>
          <w:trHeight w:val="232" w:hRule="atLeast"/>
        </w:trPr>
        <w:tc>
          <w:tcPr>
            <w:tcW w:w="14839"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highlight w:val="none"/>
              </w:rPr>
            </w:pPr>
            <w:r>
              <w:rPr>
                <w:rFonts w:cs="宋体"/>
                <w:b/>
                <w:color w:val="000000"/>
                <w:sz w:val="32"/>
                <w:szCs w:val="32"/>
                <w:highlight w:val="none"/>
              </w:rPr>
              <w:t>收入支出决算总表</w:t>
            </w:r>
          </w:p>
        </w:tc>
      </w:tr>
      <w:tr>
        <w:tblPrEx>
          <w:tblCellMar>
            <w:top w:w="0" w:type="dxa"/>
            <w:left w:w="0" w:type="dxa"/>
            <w:bottom w:w="0" w:type="dxa"/>
            <w:right w:w="0" w:type="dxa"/>
          </w:tblCellMar>
        </w:tblPrEx>
        <w:trPr>
          <w:trHeight w:val="232" w:hRule="atLeast"/>
        </w:trPr>
        <w:tc>
          <w:tcPr>
            <w:tcW w:w="432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highlight w:val="none"/>
              </w:rPr>
            </w:pPr>
          </w:p>
        </w:tc>
        <w:tc>
          <w:tcPr>
            <w:tcW w:w="3582"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highlight w:val="none"/>
              </w:rPr>
            </w:pPr>
          </w:p>
        </w:tc>
        <w:tc>
          <w:tcPr>
            <w:tcW w:w="40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highlight w:val="none"/>
              </w:rPr>
            </w:pPr>
          </w:p>
        </w:tc>
        <w:tc>
          <w:tcPr>
            <w:tcW w:w="286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01</w:t>
            </w:r>
            <w:r>
              <w:rPr>
                <w:rFonts w:cs="宋体"/>
                <w:color w:val="000000"/>
                <w:sz w:val="20"/>
                <w:szCs w:val="20"/>
                <w:highlight w:val="none"/>
              </w:rPr>
              <w:t>表</w:t>
            </w:r>
          </w:p>
        </w:tc>
      </w:tr>
      <w:tr>
        <w:tblPrEx>
          <w:tblCellMar>
            <w:top w:w="0" w:type="dxa"/>
            <w:left w:w="0" w:type="dxa"/>
            <w:bottom w:w="0" w:type="dxa"/>
            <w:right w:w="0" w:type="dxa"/>
          </w:tblCellMar>
        </w:tblPrEx>
        <w:trPr>
          <w:trHeight w:val="232" w:hRule="atLeast"/>
        </w:trPr>
        <w:tc>
          <w:tcPr>
            <w:tcW w:w="7906"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highlight w:val="none"/>
              </w:rPr>
            </w:pPr>
            <w:r>
              <w:rPr>
                <w:rFonts w:cs="宋体"/>
                <w:sz w:val="20"/>
                <w:szCs w:val="20"/>
                <w:highlight w:val="none"/>
              </w:rPr>
              <w:t>单位：</w:t>
            </w:r>
            <w:r>
              <w:rPr>
                <w:sz w:val="20"/>
                <w:highlight w:val="none"/>
                <w:u w:color="auto"/>
              </w:rPr>
              <w:t>垫江县长龙镇综合行政执法大队</w:t>
            </w:r>
          </w:p>
        </w:tc>
        <w:tc>
          <w:tcPr>
            <w:tcW w:w="40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highlight w:val="none"/>
              </w:rPr>
            </w:pPr>
          </w:p>
        </w:tc>
        <w:tc>
          <w:tcPr>
            <w:tcW w:w="286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CellMar>
            <w:top w:w="0" w:type="dxa"/>
            <w:left w:w="0" w:type="dxa"/>
            <w:bottom w:w="0" w:type="dxa"/>
            <w:right w:w="0" w:type="dxa"/>
          </w:tblCellMar>
        </w:tblPrEx>
        <w:trPr>
          <w:trHeight w:val="243" w:hRule="atLeast"/>
        </w:trPr>
        <w:tc>
          <w:tcPr>
            <w:tcW w:w="790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收入</w:t>
            </w:r>
          </w:p>
        </w:tc>
        <w:tc>
          <w:tcPr>
            <w:tcW w:w="6933"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支出</w:t>
            </w:r>
          </w:p>
        </w:tc>
      </w:tr>
      <w:tr>
        <w:tblPrEx>
          <w:tblCellMar>
            <w:top w:w="0" w:type="dxa"/>
            <w:left w:w="0" w:type="dxa"/>
            <w:bottom w:w="0" w:type="dxa"/>
            <w:right w:w="0" w:type="dxa"/>
          </w:tblCellMar>
        </w:tblPrEx>
        <w:trPr>
          <w:trHeight w:val="243" w:hRule="atLeast"/>
        </w:trPr>
        <w:tc>
          <w:tcPr>
            <w:tcW w:w="432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项目</w:t>
            </w:r>
          </w:p>
        </w:tc>
        <w:tc>
          <w:tcPr>
            <w:tcW w:w="3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决算数</w:t>
            </w:r>
          </w:p>
        </w:tc>
        <w:tc>
          <w:tcPr>
            <w:tcW w:w="40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功能分类科目</w:t>
            </w:r>
          </w:p>
        </w:tc>
        <w:tc>
          <w:tcPr>
            <w:tcW w:w="2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决算数</w:t>
            </w:r>
          </w:p>
        </w:tc>
      </w:tr>
      <w:tr>
        <w:tblPrEx>
          <w:tblCellMar>
            <w:top w:w="0" w:type="dxa"/>
            <w:left w:w="0" w:type="dxa"/>
            <w:bottom w:w="0" w:type="dxa"/>
            <w:right w:w="0" w:type="dxa"/>
          </w:tblCellMar>
        </w:tblPrEx>
        <w:trPr>
          <w:trHeight w:val="243" w:hRule="atLeast"/>
        </w:trPr>
        <w:tc>
          <w:tcPr>
            <w:tcW w:w="432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一、一般公共预算财政拨款收入</w:t>
            </w:r>
          </w:p>
        </w:tc>
        <w:tc>
          <w:tcPr>
            <w:tcW w:w="3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186.08</w:t>
            </w:r>
            <w:r>
              <w:rPr>
                <w:rFonts w:ascii="Times New Roman" w:hAnsi="Times New Roman"/>
                <w:color w:val="000000"/>
                <w:sz w:val="20"/>
                <w:highlight w:val="none"/>
                <w:u w:color="auto"/>
              </w:rPr>
              <w:t xml:space="preserve"> </w:t>
            </w:r>
          </w:p>
        </w:tc>
        <w:tc>
          <w:tcPr>
            <w:tcW w:w="40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一、一般公共服务支出</w:t>
            </w:r>
          </w:p>
        </w:tc>
        <w:tc>
          <w:tcPr>
            <w:tcW w:w="2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32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二、政府性基金预算财政拨款收入</w:t>
            </w:r>
          </w:p>
        </w:tc>
        <w:tc>
          <w:tcPr>
            <w:tcW w:w="3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二、外交支出</w:t>
            </w:r>
          </w:p>
        </w:tc>
        <w:tc>
          <w:tcPr>
            <w:tcW w:w="2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32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三、国有资本经营预算财政拨款收入</w:t>
            </w:r>
          </w:p>
        </w:tc>
        <w:tc>
          <w:tcPr>
            <w:tcW w:w="3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三、国防支出</w:t>
            </w:r>
          </w:p>
        </w:tc>
        <w:tc>
          <w:tcPr>
            <w:tcW w:w="2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32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四、上级补助收入</w:t>
            </w:r>
          </w:p>
        </w:tc>
        <w:tc>
          <w:tcPr>
            <w:tcW w:w="3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四、公共安全支出</w:t>
            </w:r>
          </w:p>
        </w:tc>
        <w:tc>
          <w:tcPr>
            <w:tcW w:w="2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32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五、事业收入</w:t>
            </w:r>
          </w:p>
        </w:tc>
        <w:tc>
          <w:tcPr>
            <w:tcW w:w="3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五、教育支出</w:t>
            </w:r>
          </w:p>
        </w:tc>
        <w:tc>
          <w:tcPr>
            <w:tcW w:w="2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32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六、经营收入</w:t>
            </w:r>
          </w:p>
        </w:tc>
        <w:tc>
          <w:tcPr>
            <w:tcW w:w="3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六、科学技术支出</w:t>
            </w:r>
          </w:p>
        </w:tc>
        <w:tc>
          <w:tcPr>
            <w:tcW w:w="2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32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七、附属单位上缴收入</w:t>
            </w:r>
          </w:p>
        </w:tc>
        <w:tc>
          <w:tcPr>
            <w:tcW w:w="3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七、文化旅游体育与传媒支出</w:t>
            </w:r>
          </w:p>
        </w:tc>
        <w:tc>
          <w:tcPr>
            <w:tcW w:w="2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32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八、其他收入</w:t>
            </w:r>
          </w:p>
        </w:tc>
        <w:tc>
          <w:tcPr>
            <w:tcW w:w="3582"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八、社会保障和就业支出</w:t>
            </w:r>
          </w:p>
        </w:tc>
        <w:tc>
          <w:tcPr>
            <w:tcW w:w="2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34.96</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32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highlight w:val="none"/>
              </w:rPr>
            </w:pPr>
          </w:p>
        </w:tc>
        <w:tc>
          <w:tcPr>
            <w:tcW w:w="40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九、卫生健康支出</w:t>
            </w:r>
          </w:p>
        </w:tc>
        <w:tc>
          <w:tcPr>
            <w:tcW w:w="2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5.47</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32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highlight w:val="none"/>
              </w:rPr>
            </w:pPr>
          </w:p>
        </w:tc>
        <w:tc>
          <w:tcPr>
            <w:tcW w:w="40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十、节能环保支出</w:t>
            </w:r>
          </w:p>
        </w:tc>
        <w:tc>
          <w:tcPr>
            <w:tcW w:w="2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32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highlight w:val="none"/>
              </w:rPr>
            </w:pPr>
          </w:p>
        </w:tc>
        <w:tc>
          <w:tcPr>
            <w:tcW w:w="40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十一、城乡社区支出</w:t>
            </w:r>
          </w:p>
        </w:tc>
        <w:tc>
          <w:tcPr>
            <w:tcW w:w="2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131.95</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32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highlight w:val="none"/>
              </w:rPr>
            </w:pPr>
          </w:p>
        </w:tc>
        <w:tc>
          <w:tcPr>
            <w:tcW w:w="40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十二、农林水支出</w:t>
            </w:r>
          </w:p>
        </w:tc>
        <w:tc>
          <w:tcPr>
            <w:tcW w:w="2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32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十三、交通运输支出</w:t>
            </w:r>
          </w:p>
        </w:tc>
        <w:tc>
          <w:tcPr>
            <w:tcW w:w="2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32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十四、资源勘探工业信息等支出</w:t>
            </w:r>
          </w:p>
        </w:tc>
        <w:tc>
          <w:tcPr>
            <w:tcW w:w="2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32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十五、商业服务业等支出</w:t>
            </w:r>
          </w:p>
        </w:tc>
        <w:tc>
          <w:tcPr>
            <w:tcW w:w="2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32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十六、金融支出</w:t>
            </w:r>
          </w:p>
        </w:tc>
        <w:tc>
          <w:tcPr>
            <w:tcW w:w="2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32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十七、援助其他地区支出</w:t>
            </w:r>
          </w:p>
        </w:tc>
        <w:tc>
          <w:tcPr>
            <w:tcW w:w="2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90" w:hRule="atLeast"/>
        </w:trPr>
        <w:tc>
          <w:tcPr>
            <w:tcW w:w="432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十八、自然资源海洋气象等支出</w:t>
            </w:r>
          </w:p>
        </w:tc>
        <w:tc>
          <w:tcPr>
            <w:tcW w:w="2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32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十九、住房保障支出</w:t>
            </w:r>
          </w:p>
        </w:tc>
        <w:tc>
          <w:tcPr>
            <w:tcW w:w="2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13.70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32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二十、粮油物资储备支出</w:t>
            </w:r>
          </w:p>
        </w:tc>
        <w:tc>
          <w:tcPr>
            <w:tcW w:w="2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32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二十一、国有资本经营预算支出</w:t>
            </w:r>
          </w:p>
        </w:tc>
        <w:tc>
          <w:tcPr>
            <w:tcW w:w="2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32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二十二、灾害防治及应急管理支出</w:t>
            </w:r>
          </w:p>
        </w:tc>
        <w:tc>
          <w:tcPr>
            <w:tcW w:w="2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32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二十三、其他支出</w:t>
            </w:r>
          </w:p>
        </w:tc>
        <w:tc>
          <w:tcPr>
            <w:tcW w:w="2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32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highlight w:val="none"/>
              </w:rPr>
            </w:pPr>
          </w:p>
        </w:tc>
        <w:tc>
          <w:tcPr>
            <w:tcW w:w="3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二十四、债务还本支出</w:t>
            </w:r>
          </w:p>
        </w:tc>
        <w:tc>
          <w:tcPr>
            <w:tcW w:w="2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32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二十五、债务付息支出</w:t>
            </w:r>
          </w:p>
        </w:tc>
        <w:tc>
          <w:tcPr>
            <w:tcW w:w="2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32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二十六、抗疫特别国债安排的支出</w:t>
            </w:r>
          </w:p>
        </w:tc>
        <w:tc>
          <w:tcPr>
            <w:tcW w:w="2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32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highlight w:val="none"/>
              </w:rPr>
            </w:pPr>
            <w:r>
              <w:rPr>
                <w:rFonts w:cs="宋体"/>
                <w:b/>
                <w:bCs/>
                <w:color w:val="000000"/>
                <w:sz w:val="20"/>
                <w:szCs w:val="20"/>
                <w:highlight w:val="none"/>
              </w:rPr>
              <w:t>本年收入合计</w:t>
            </w:r>
          </w:p>
        </w:tc>
        <w:tc>
          <w:tcPr>
            <w:tcW w:w="3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186.08</w:t>
            </w:r>
            <w:r>
              <w:rPr>
                <w:rFonts w:ascii="Times New Roman" w:hAnsi="Times New Roman"/>
                <w:color w:val="000000"/>
                <w:sz w:val="20"/>
                <w:highlight w:val="none"/>
                <w:u w:color="auto"/>
              </w:rPr>
              <w:t xml:space="preserve"> </w:t>
            </w:r>
          </w:p>
        </w:tc>
        <w:tc>
          <w:tcPr>
            <w:tcW w:w="40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highlight w:val="none"/>
              </w:rPr>
            </w:pPr>
            <w:r>
              <w:rPr>
                <w:rFonts w:cs="宋体"/>
                <w:b/>
                <w:bCs/>
                <w:color w:val="000000"/>
                <w:sz w:val="20"/>
                <w:szCs w:val="20"/>
                <w:highlight w:val="none"/>
              </w:rPr>
              <w:t>本年支出合计</w:t>
            </w:r>
          </w:p>
        </w:tc>
        <w:tc>
          <w:tcPr>
            <w:tcW w:w="2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186.08</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32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使用非财政拨款结余和专用结余</w:t>
            </w:r>
          </w:p>
        </w:tc>
        <w:tc>
          <w:tcPr>
            <w:tcW w:w="3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结余分配</w:t>
            </w:r>
          </w:p>
        </w:tc>
        <w:tc>
          <w:tcPr>
            <w:tcW w:w="28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32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年初结转和结余</w:t>
            </w:r>
          </w:p>
        </w:tc>
        <w:tc>
          <w:tcPr>
            <w:tcW w:w="3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年末结转和结余</w:t>
            </w:r>
          </w:p>
        </w:tc>
        <w:tc>
          <w:tcPr>
            <w:tcW w:w="286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53" w:hRule="atLeast"/>
        </w:trPr>
        <w:tc>
          <w:tcPr>
            <w:tcW w:w="432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总计</w:t>
            </w:r>
          </w:p>
        </w:tc>
        <w:tc>
          <w:tcPr>
            <w:tcW w:w="3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186.08</w:t>
            </w:r>
            <w:r>
              <w:rPr>
                <w:rFonts w:ascii="Times New Roman" w:hAnsi="Times New Roman"/>
                <w:color w:val="000000"/>
                <w:sz w:val="20"/>
                <w:highlight w:val="none"/>
                <w:u w:color="auto"/>
              </w:rPr>
              <w:t xml:space="preserve"> </w:t>
            </w:r>
          </w:p>
        </w:tc>
        <w:tc>
          <w:tcPr>
            <w:tcW w:w="4072"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总计</w:t>
            </w:r>
          </w:p>
        </w:tc>
        <w:tc>
          <w:tcPr>
            <w:tcW w:w="28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186.08</w:t>
            </w:r>
            <w:r>
              <w:rPr>
                <w:rFonts w:ascii="Times New Roman" w:hAnsi="Times New Roman"/>
                <w:color w:val="000000"/>
                <w:sz w:val="20"/>
                <w:highlight w:val="none"/>
                <w:u w:color="auto"/>
              </w:rPr>
              <w:t xml:space="preserve"> </w:t>
            </w:r>
          </w:p>
        </w:tc>
      </w:tr>
    </w:tbl>
    <w:p>
      <w:pPr>
        <w:rPr>
          <w:rFonts w:hint="default"/>
          <w:highlight w:val="none"/>
        </w:rPr>
      </w:pPr>
      <w:r>
        <w:rPr>
          <w:rFonts w:cs="宋体"/>
          <w:sz w:val="20"/>
          <w:szCs w:val="20"/>
          <w:highlight w:val="none"/>
        </w:rPr>
        <w:t>备注：1.本表反映单位本年度的总收支和年末结转结余情况。</w:t>
      </w:r>
      <w:r>
        <w:rPr>
          <w:rFonts w:cs="宋体"/>
          <w:sz w:val="20"/>
          <w:szCs w:val="20"/>
          <w:highlight w:val="none"/>
        </w:rPr>
        <w:br w:type="textWrapping"/>
      </w:r>
      <w:r>
        <w:rPr>
          <w:rFonts w:cs="宋体"/>
          <w:sz w:val="20"/>
          <w:szCs w:val="20"/>
          <w:highlight w:val="none"/>
        </w:rPr>
        <w:t xml:space="preserve">     </w:t>
      </w:r>
      <w:r>
        <w:rPr>
          <w:rFonts w:hint="eastAsia" w:cs="宋体"/>
          <w:sz w:val="20"/>
          <w:szCs w:val="20"/>
          <w:highlight w:val="none"/>
          <w:lang w:val="en-US" w:eastAsia="zh-CN"/>
        </w:rPr>
        <w:t xml:space="preserve">    </w:t>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p>
    <w:p>
      <w:pPr>
        <w:pStyle w:val="2"/>
        <w:rPr>
          <w:rFonts w:hint="default"/>
          <w:highlight w:val="none"/>
        </w:rPr>
      </w:pPr>
    </w:p>
    <w:tbl>
      <w:tblPr>
        <w:tblStyle w:val="8"/>
        <w:tblW w:w="15610" w:type="dxa"/>
        <w:tblInd w:w="0" w:type="dxa"/>
        <w:tblLayout w:type="fixed"/>
        <w:tblCellMar>
          <w:top w:w="0" w:type="dxa"/>
          <w:left w:w="0" w:type="dxa"/>
          <w:bottom w:w="0" w:type="dxa"/>
          <w:right w:w="0" w:type="dxa"/>
        </w:tblCellMar>
      </w:tblPr>
      <w:tblGrid>
        <w:gridCol w:w="1637"/>
        <w:gridCol w:w="3230"/>
        <w:gridCol w:w="1322"/>
        <w:gridCol w:w="1381"/>
        <w:gridCol w:w="1200"/>
        <w:gridCol w:w="1201"/>
        <w:gridCol w:w="1336"/>
        <w:gridCol w:w="1273"/>
        <w:gridCol w:w="1407"/>
        <w:gridCol w:w="1623"/>
      </w:tblGrid>
      <w:tr>
        <w:tblPrEx>
          <w:tblCellMar>
            <w:top w:w="0" w:type="dxa"/>
            <w:left w:w="0" w:type="dxa"/>
            <w:bottom w:w="0" w:type="dxa"/>
            <w:right w:w="0" w:type="dxa"/>
          </w:tblCellMar>
        </w:tblPrEx>
        <w:trPr>
          <w:trHeight w:val="641" w:hRule="atLeast"/>
        </w:trPr>
        <w:tc>
          <w:tcPr>
            <w:tcW w:w="15610"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highlight w:val="none"/>
              </w:rPr>
            </w:pPr>
            <w:r>
              <w:rPr>
                <w:rFonts w:cs="宋体"/>
                <w:b/>
                <w:color w:val="000000"/>
                <w:sz w:val="32"/>
                <w:szCs w:val="32"/>
                <w:highlight w:val="none"/>
              </w:rPr>
              <w:t>收入决算表</w:t>
            </w:r>
          </w:p>
        </w:tc>
      </w:tr>
      <w:tr>
        <w:tblPrEx>
          <w:tblCellMar>
            <w:top w:w="0" w:type="dxa"/>
            <w:left w:w="0" w:type="dxa"/>
            <w:bottom w:w="0" w:type="dxa"/>
            <w:right w:w="0" w:type="dxa"/>
          </w:tblCellMar>
        </w:tblPrEx>
        <w:trPr>
          <w:trHeight w:val="328" w:hRule="atLeast"/>
        </w:trPr>
        <w:tc>
          <w:tcPr>
            <w:tcW w:w="6189"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r>
              <w:rPr>
                <w:rFonts w:cs="宋体"/>
                <w:sz w:val="20"/>
                <w:szCs w:val="20"/>
                <w:highlight w:val="none"/>
              </w:rPr>
              <w:t>单位：</w:t>
            </w:r>
            <w:r>
              <w:rPr>
                <w:sz w:val="20"/>
                <w:highlight w:val="none"/>
                <w:u w:color="auto"/>
              </w:rPr>
              <w:t>垫江县长龙镇综合行政执法大队</w:t>
            </w:r>
          </w:p>
        </w:tc>
        <w:tc>
          <w:tcPr>
            <w:tcW w:w="13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12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12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133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127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14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162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02</w:t>
            </w:r>
            <w:r>
              <w:rPr>
                <w:rFonts w:cs="宋体"/>
                <w:color w:val="000000"/>
                <w:sz w:val="20"/>
                <w:szCs w:val="20"/>
                <w:highlight w:val="none"/>
              </w:rPr>
              <w:t>表</w:t>
            </w:r>
          </w:p>
        </w:tc>
      </w:tr>
      <w:tr>
        <w:tblPrEx>
          <w:tblCellMar>
            <w:top w:w="0" w:type="dxa"/>
            <w:left w:w="0" w:type="dxa"/>
            <w:bottom w:w="0" w:type="dxa"/>
            <w:right w:w="0" w:type="dxa"/>
          </w:tblCellMar>
        </w:tblPrEx>
        <w:trPr>
          <w:trHeight w:val="328" w:hRule="atLeast"/>
        </w:trPr>
        <w:tc>
          <w:tcPr>
            <w:tcW w:w="6189"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13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12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12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133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127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14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162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CellMar>
            <w:top w:w="0" w:type="dxa"/>
            <w:left w:w="0" w:type="dxa"/>
            <w:bottom w:w="0" w:type="dxa"/>
            <w:right w:w="0" w:type="dxa"/>
          </w:tblCellMar>
        </w:tblPrEx>
        <w:trPr>
          <w:trHeight w:val="431" w:hRule="atLeast"/>
        </w:trPr>
        <w:tc>
          <w:tcPr>
            <w:tcW w:w="48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highlight w:val="none"/>
              </w:rPr>
            </w:pPr>
            <w:r>
              <w:rPr>
                <w:rFonts w:cs="宋体"/>
                <w:b/>
                <w:color w:val="000000"/>
                <w:sz w:val="20"/>
                <w:szCs w:val="20"/>
                <w:highlight w:val="none"/>
              </w:rPr>
              <w:t>项目</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本年收入合计</w:t>
            </w:r>
          </w:p>
        </w:tc>
        <w:tc>
          <w:tcPr>
            <w:tcW w:w="13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财政拨款收入</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上级补助收入</w:t>
            </w:r>
          </w:p>
        </w:tc>
        <w:tc>
          <w:tcPr>
            <w:tcW w:w="25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highlight w:val="none"/>
              </w:rPr>
            </w:pPr>
            <w:r>
              <w:rPr>
                <w:rFonts w:cs="宋体"/>
                <w:b/>
                <w:color w:val="000000"/>
                <w:sz w:val="20"/>
                <w:szCs w:val="20"/>
                <w:highlight w:val="none"/>
              </w:rPr>
              <w:t>事业收入</w:t>
            </w:r>
          </w:p>
        </w:tc>
        <w:tc>
          <w:tcPr>
            <w:tcW w:w="12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经营收入</w:t>
            </w:r>
          </w:p>
        </w:tc>
        <w:tc>
          <w:tcPr>
            <w:tcW w:w="14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附属单位上缴收入</w:t>
            </w:r>
          </w:p>
        </w:tc>
        <w:tc>
          <w:tcPr>
            <w:tcW w:w="16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其他收入</w:t>
            </w:r>
          </w:p>
        </w:tc>
      </w:tr>
      <w:tr>
        <w:tblPrEx>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32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项目（按“项”级功能分类科目）</w:t>
            </w: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小计</w:t>
            </w:r>
          </w:p>
        </w:tc>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其中：教育收费</w:t>
            </w: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highlight w:val="none"/>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highlight w:val="none"/>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highlight w:val="none"/>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38" w:hRule="atLeast"/>
        </w:trPr>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186.08</w:t>
            </w:r>
            <w:r>
              <w:rPr>
                <w:rFonts w:ascii="Times New Roman" w:hAnsi="Times New Roman"/>
                <w:b/>
                <w:color w:val="000000"/>
                <w:sz w:val="20"/>
                <w:highlight w:val="none"/>
                <w:u w:color="auto"/>
              </w:rPr>
              <w:t xml:space="preserve"> </w:t>
            </w:r>
          </w:p>
        </w:tc>
        <w:tc>
          <w:tcPr>
            <w:tcW w:w="13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186.08</w:t>
            </w:r>
            <w:r>
              <w:rPr>
                <w:rFonts w:ascii="Times New Roman" w:hAnsi="Times New Roman"/>
                <w:b/>
                <w:color w:val="000000"/>
                <w:sz w:val="20"/>
                <w:highlight w:val="none"/>
                <w:u w:color="auto"/>
              </w:rPr>
              <w:t xml:space="preserve"> </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2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2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4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社会保障和就业支出</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34.96</w:t>
            </w:r>
            <w:r>
              <w:rPr>
                <w:rFonts w:ascii="Times New Roman" w:hAnsi="Times New Roman"/>
                <w:b/>
                <w:color w:val="000000"/>
                <w:sz w:val="20"/>
                <w:highlight w:val="none"/>
                <w:u w:color="auto"/>
              </w:rPr>
              <w:t xml:space="preserve"> </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34.96</w:t>
            </w:r>
            <w:r>
              <w:rPr>
                <w:rFonts w:ascii="Times New Roman" w:hAnsi="Times New Roman"/>
                <w:b/>
                <w:color w:val="000000"/>
                <w:sz w:val="20"/>
                <w:highlight w:val="none"/>
                <w:u w:color="auto"/>
              </w:rPr>
              <w:t xml:space="preserve">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行政事业单位养老支出</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34.96</w:t>
            </w:r>
            <w:r>
              <w:rPr>
                <w:rFonts w:ascii="Times New Roman" w:hAnsi="Times New Roman"/>
                <w:b/>
                <w:color w:val="000000"/>
                <w:sz w:val="20"/>
                <w:highlight w:val="none"/>
                <w:u w:color="auto"/>
              </w:rPr>
              <w:t xml:space="preserve"> </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34.96</w:t>
            </w:r>
            <w:r>
              <w:rPr>
                <w:rFonts w:ascii="Times New Roman" w:hAnsi="Times New Roman"/>
                <w:b/>
                <w:color w:val="000000"/>
                <w:sz w:val="20"/>
                <w:highlight w:val="none"/>
                <w:u w:color="auto"/>
              </w:rPr>
              <w:t xml:space="preserve">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机关事业单位基本养老保险缴费支出</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22.03</w:t>
            </w:r>
            <w:r>
              <w:rPr>
                <w:rFonts w:ascii="Times New Roman" w:hAnsi="Times New Roman"/>
                <w:color w:val="000000"/>
                <w:sz w:val="20"/>
                <w:highlight w:val="none"/>
                <w:u w:color="auto"/>
              </w:rPr>
              <w:t xml:space="preserve"> </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22.03</w:t>
            </w:r>
            <w:r>
              <w:rPr>
                <w:rFonts w:ascii="Times New Roman" w:hAnsi="Times New Roman"/>
                <w:color w:val="000000"/>
                <w:sz w:val="20"/>
                <w:highlight w:val="none"/>
                <w:u w:color="auto"/>
              </w:rPr>
              <w:t xml:space="preserve">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2080506</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机关事业单位职业年金缴费支出</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11.06</w:t>
            </w:r>
            <w:r>
              <w:rPr>
                <w:rFonts w:ascii="Times New Roman" w:hAnsi="Times New Roman"/>
                <w:color w:val="000000"/>
                <w:sz w:val="20"/>
                <w:highlight w:val="none"/>
                <w:u w:color="auto"/>
              </w:rPr>
              <w:t xml:space="preserve"> </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11.06</w:t>
            </w:r>
            <w:r>
              <w:rPr>
                <w:rFonts w:ascii="Times New Roman" w:hAnsi="Times New Roman"/>
                <w:color w:val="000000"/>
                <w:sz w:val="20"/>
                <w:highlight w:val="none"/>
                <w:u w:color="auto"/>
              </w:rPr>
              <w:t xml:space="preserve">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其他行政事业单位养老支出</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1.88</w:t>
            </w:r>
            <w:r>
              <w:rPr>
                <w:rFonts w:ascii="Times New Roman" w:hAnsi="Times New Roman"/>
                <w:color w:val="000000"/>
                <w:sz w:val="20"/>
                <w:highlight w:val="none"/>
                <w:u w:color="auto"/>
              </w:rPr>
              <w:t xml:space="preserve"> </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1.88</w:t>
            </w:r>
            <w:r>
              <w:rPr>
                <w:rFonts w:ascii="Times New Roman" w:hAnsi="Times New Roman"/>
                <w:color w:val="000000"/>
                <w:sz w:val="20"/>
                <w:highlight w:val="none"/>
                <w:u w:color="auto"/>
              </w:rPr>
              <w:t xml:space="preserve">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卫生健康支出</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5.47</w:t>
            </w:r>
            <w:r>
              <w:rPr>
                <w:rFonts w:ascii="Times New Roman" w:hAnsi="Times New Roman"/>
                <w:b/>
                <w:color w:val="000000"/>
                <w:sz w:val="20"/>
                <w:highlight w:val="none"/>
                <w:u w:color="auto"/>
              </w:rPr>
              <w:t xml:space="preserve"> </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5.47</w:t>
            </w:r>
            <w:r>
              <w:rPr>
                <w:rFonts w:ascii="Times New Roman" w:hAnsi="Times New Roman"/>
                <w:b/>
                <w:color w:val="000000"/>
                <w:sz w:val="20"/>
                <w:highlight w:val="none"/>
                <w:u w:color="auto"/>
              </w:rPr>
              <w:t xml:space="preserve">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21011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行政事业单位医疗</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5.47</w:t>
            </w:r>
            <w:r>
              <w:rPr>
                <w:rFonts w:ascii="Times New Roman" w:hAnsi="Times New Roman"/>
                <w:b/>
                <w:color w:val="000000"/>
                <w:sz w:val="20"/>
                <w:highlight w:val="none"/>
                <w:u w:color="auto"/>
              </w:rPr>
              <w:t xml:space="preserve"> </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5.47</w:t>
            </w:r>
            <w:r>
              <w:rPr>
                <w:rFonts w:ascii="Times New Roman" w:hAnsi="Times New Roman"/>
                <w:b/>
                <w:color w:val="000000"/>
                <w:sz w:val="20"/>
                <w:highlight w:val="none"/>
                <w:u w:color="auto"/>
              </w:rPr>
              <w:t xml:space="preserve">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事业单位医疗</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5.47</w:t>
            </w:r>
            <w:r>
              <w:rPr>
                <w:rFonts w:ascii="Times New Roman" w:hAnsi="Times New Roman"/>
                <w:color w:val="000000"/>
                <w:sz w:val="20"/>
                <w:highlight w:val="none"/>
                <w:u w:color="auto"/>
              </w:rPr>
              <w:t xml:space="preserve"> </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5.47</w:t>
            </w:r>
            <w:r>
              <w:rPr>
                <w:rFonts w:ascii="Times New Roman" w:hAnsi="Times New Roman"/>
                <w:color w:val="000000"/>
                <w:sz w:val="20"/>
                <w:highlight w:val="none"/>
                <w:u w:color="auto"/>
              </w:rPr>
              <w:t xml:space="preserve">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城乡社区支出</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131.95</w:t>
            </w:r>
            <w:r>
              <w:rPr>
                <w:rFonts w:ascii="Times New Roman" w:hAnsi="Times New Roman"/>
                <w:b/>
                <w:color w:val="000000"/>
                <w:sz w:val="20"/>
                <w:highlight w:val="none"/>
                <w:u w:color="auto"/>
              </w:rPr>
              <w:t xml:space="preserve"> </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131.95</w:t>
            </w:r>
            <w:r>
              <w:rPr>
                <w:rFonts w:ascii="Times New Roman" w:hAnsi="Times New Roman"/>
                <w:b/>
                <w:color w:val="000000"/>
                <w:sz w:val="20"/>
                <w:highlight w:val="none"/>
                <w:u w:color="auto"/>
              </w:rPr>
              <w:t xml:space="preserve">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城乡社区管理事务</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131.95</w:t>
            </w:r>
            <w:r>
              <w:rPr>
                <w:rFonts w:ascii="Times New Roman" w:hAnsi="Times New Roman"/>
                <w:b/>
                <w:color w:val="000000"/>
                <w:sz w:val="20"/>
                <w:highlight w:val="none"/>
                <w:u w:color="auto"/>
              </w:rPr>
              <w:t xml:space="preserve"> </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131.95</w:t>
            </w:r>
            <w:r>
              <w:rPr>
                <w:rFonts w:ascii="Times New Roman" w:hAnsi="Times New Roman"/>
                <w:b/>
                <w:color w:val="000000"/>
                <w:sz w:val="20"/>
                <w:highlight w:val="none"/>
                <w:u w:color="auto"/>
              </w:rPr>
              <w:t xml:space="preserve">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2120104</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城管执法</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131.95</w:t>
            </w:r>
            <w:r>
              <w:rPr>
                <w:rFonts w:ascii="Times New Roman" w:hAnsi="Times New Roman"/>
                <w:color w:val="000000"/>
                <w:sz w:val="20"/>
                <w:highlight w:val="none"/>
                <w:u w:color="auto"/>
              </w:rPr>
              <w:t xml:space="preserve"> </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131.95</w:t>
            </w:r>
            <w:r>
              <w:rPr>
                <w:rFonts w:ascii="Times New Roman" w:hAnsi="Times New Roman"/>
                <w:color w:val="000000"/>
                <w:sz w:val="20"/>
                <w:highlight w:val="none"/>
                <w:u w:color="auto"/>
              </w:rPr>
              <w:t xml:space="preserve">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住房保障支出</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13.70</w:t>
            </w:r>
            <w:r>
              <w:rPr>
                <w:rFonts w:ascii="Times New Roman" w:hAnsi="Times New Roman"/>
                <w:b/>
                <w:color w:val="000000"/>
                <w:sz w:val="20"/>
                <w:highlight w:val="none"/>
                <w:u w:color="auto"/>
              </w:rPr>
              <w:t xml:space="preserve"> </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13.70</w:t>
            </w:r>
            <w:r>
              <w:rPr>
                <w:rFonts w:ascii="Times New Roman" w:hAnsi="Times New Roman"/>
                <w:b/>
                <w:color w:val="000000"/>
                <w:sz w:val="20"/>
                <w:highlight w:val="none"/>
                <w:u w:color="auto"/>
              </w:rPr>
              <w:t xml:space="preserve">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住房改革支出</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13.70</w:t>
            </w:r>
            <w:r>
              <w:rPr>
                <w:rFonts w:ascii="Times New Roman" w:hAnsi="Times New Roman"/>
                <w:b/>
                <w:color w:val="000000"/>
                <w:sz w:val="20"/>
                <w:highlight w:val="none"/>
                <w:u w:color="auto"/>
              </w:rPr>
              <w:t xml:space="preserve"> </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13.70</w:t>
            </w:r>
            <w:r>
              <w:rPr>
                <w:rFonts w:ascii="Times New Roman" w:hAnsi="Times New Roman"/>
                <w:b/>
                <w:color w:val="000000"/>
                <w:sz w:val="20"/>
                <w:highlight w:val="none"/>
                <w:u w:color="auto"/>
              </w:rPr>
              <w:t xml:space="preserve">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2210201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住房公积金</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13.70</w:t>
            </w:r>
            <w:r>
              <w:rPr>
                <w:rFonts w:ascii="Times New Roman" w:hAnsi="Times New Roman"/>
                <w:color w:val="000000"/>
                <w:sz w:val="20"/>
                <w:highlight w:val="none"/>
                <w:u w:color="auto"/>
              </w:rPr>
              <w:t xml:space="preserve"> </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13.70</w:t>
            </w:r>
            <w:r>
              <w:rPr>
                <w:rFonts w:ascii="Times New Roman" w:hAnsi="Times New Roman"/>
                <w:color w:val="000000"/>
                <w:sz w:val="20"/>
                <w:highlight w:val="none"/>
                <w:u w:color="auto"/>
              </w:rPr>
              <w:t xml:space="preserve">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bl>
    <w:p>
      <w:pPr>
        <w:ind w:left="600" w:hanging="600" w:hangingChars="300"/>
        <w:rPr>
          <w:rFonts w:hint="default" w:cs="宋体"/>
          <w:sz w:val="20"/>
          <w:szCs w:val="20"/>
          <w:highlight w:val="none"/>
        </w:rPr>
      </w:pPr>
      <w:r>
        <w:rPr>
          <w:rFonts w:cs="宋体"/>
          <w:sz w:val="20"/>
          <w:szCs w:val="20"/>
          <w:highlight w:val="none"/>
        </w:rPr>
        <w:t>备注：1.本表反映单位本年度取得的各项收入情况。</w:t>
      </w:r>
      <w:r>
        <w:rPr>
          <w:rFonts w:cs="宋体"/>
          <w:sz w:val="20"/>
          <w:szCs w:val="20"/>
          <w:highlight w:val="none"/>
        </w:rPr>
        <w:br w:type="textWrapping"/>
      </w:r>
      <w:r>
        <w:rPr>
          <w:rFonts w:cs="宋体"/>
          <w:sz w:val="20"/>
          <w:szCs w:val="20"/>
          <w:highlight w:val="none"/>
        </w:rPr>
        <w:t>2.本套报表金额单位转换时可能存在尾数误差。</w:t>
      </w:r>
      <w:r>
        <w:rPr>
          <w:rFonts w:cs="宋体"/>
          <w:sz w:val="20"/>
          <w:szCs w:val="20"/>
          <w:highlight w:val="none"/>
        </w:rPr>
        <w:br w:type="textWrapping"/>
      </w:r>
      <w:r>
        <w:rPr>
          <w:rFonts w:cs="宋体"/>
          <w:sz w:val="20"/>
          <w:szCs w:val="20"/>
          <w:highlight w:val="none"/>
        </w:rPr>
        <w:br w:type="page"/>
      </w:r>
    </w:p>
    <w:tbl>
      <w:tblPr>
        <w:tblStyle w:val="8"/>
        <w:tblW w:w="15428" w:type="dxa"/>
        <w:tblInd w:w="0" w:type="dxa"/>
        <w:tblLayout w:type="fixed"/>
        <w:tblCellMar>
          <w:top w:w="0" w:type="dxa"/>
          <w:left w:w="0" w:type="dxa"/>
          <w:bottom w:w="0" w:type="dxa"/>
          <w:right w:w="0" w:type="dxa"/>
        </w:tblCellMar>
      </w:tblPr>
      <w:tblGrid>
        <w:gridCol w:w="1637"/>
        <w:gridCol w:w="3555"/>
        <w:gridCol w:w="1658"/>
        <w:gridCol w:w="1707"/>
        <w:gridCol w:w="1639"/>
        <w:gridCol w:w="1572"/>
        <w:gridCol w:w="1708"/>
        <w:gridCol w:w="1952"/>
      </w:tblGrid>
      <w:tr>
        <w:tblPrEx>
          <w:tblCellMar>
            <w:top w:w="0" w:type="dxa"/>
            <w:left w:w="0" w:type="dxa"/>
            <w:bottom w:w="0" w:type="dxa"/>
            <w:right w:w="0" w:type="dxa"/>
          </w:tblCellMar>
        </w:tblPrEx>
        <w:trPr>
          <w:trHeight w:val="654" w:hRule="atLeast"/>
        </w:trPr>
        <w:tc>
          <w:tcPr>
            <w:tcW w:w="1542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highlight w:val="none"/>
              </w:rPr>
            </w:pPr>
            <w:r>
              <w:rPr>
                <w:rFonts w:cs="宋体"/>
                <w:b/>
                <w:color w:val="000000"/>
                <w:sz w:val="32"/>
                <w:szCs w:val="32"/>
                <w:highlight w:val="none"/>
              </w:rPr>
              <w:t>支出决算表</w:t>
            </w:r>
          </w:p>
        </w:tc>
      </w:tr>
      <w:tr>
        <w:tblPrEx>
          <w:tblCellMar>
            <w:top w:w="0" w:type="dxa"/>
            <w:left w:w="0" w:type="dxa"/>
            <w:bottom w:w="0" w:type="dxa"/>
            <w:right w:w="0" w:type="dxa"/>
          </w:tblCellMar>
        </w:tblPrEx>
        <w:trPr>
          <w:trHeight w:val="342" w:hRule="atLeast"/>
        </w:trPr>
        <w:tc>
          <w:tcPr>
            <w:tcW w:w="685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 xml:space="preserve">垫江县长龙镇综合行政执法大队 </w:t>
            </w: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163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15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17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195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03</w:t>
            </w:r>
            <w:r>
              <w:rPr>
                <w:rFonts w:cs="宋体"/>
                <w:color w:val="000000"/>
                <w:sz w:val="20"/>
                <w:szCs w:val="20"/>
                <w:highlight w:val="none"/>
              </w:rPr>
              <w:t>表</w:t>
            </w:r>
          </w:p>
        </w:tc>
      </w:tr>
      <w:tr>
        <w:tblPrEx>
          <w:tblCellMar>
            <w:top w:w="0" w:type="dxa"/>
            <w:left w:w="0" w:type="dxa"/>
            <w:bottom w:w="0" w:type="dxa"/>
            <w:right w:w="0" w:type="dxa"/>
          </w:tblCellMar>
        </w:tblPrEx>
        <w:trPr>
          <w:trHeight w:val="342" w:hRule="atLeast"/>
        </w:trPr>
        <w:tc>
          <w:tcPr>
            <w:tcW w:w="685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163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15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17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195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CellMar>
            <w:top w:w="0" w:type="dxa"/>
            <w:left w:w="0" w:type="dxa"/>
            <w:bottom w:w="0" w:type="dxa"/>
            <w:right w:w="0" w:type="dxa"/>
          </w:tblCellMar>
        </w:tblPrEx>
        <w:trPr>
          <w:trHeight w:val="362" w:hRule="atLeast"/>
        </w:trPr>
        <w:tc>
          <w:tcPr>
            <w:tcW w:w="51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highlight w:val="none"/>
              </w:rPr>
            </w:pPr>
            <w:r>
              <w:rPr>
                <w:rFonts w:cs="宋体"/>
                <w:b/>
                <w:color w:val="000000"/>
                <w:sz w:val="20"/>
                <w:szCs w:val="20"/>
                <w:highlight w:val="none"/>
              </w:rPr>
              <w:t>项目</w:t>
            </w:r>
          </w:p>
        </w:tc>
        <w:tc>
          <w:tcPr>
            <w:tcW w:w="16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本年支出合计</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基本支出</w:t>
            </w:r>
          </w:p>
        </w:tc>
        <w:tc>
          <w:tcPr>
            <w:tcW w:w="16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项目支出</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上缴上级支出</w:t>
            </w:r>
          </w:p>
        </w:tc>
        <w:tc>
          <w:tcPr>
            <w:tcW w:w="17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经营支出</w:t>
            </w:r>
          </w:p>
        </w:tc>
        <w:tc>
          <w:tcPr>
            <w:tcW w:w="19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对附属单位补助支出</w:t>
            </w:r>
          </w:p>
        </w:tc>
      </w:tr>
      <w:tr>
        <w:tblPrEx>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3555"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项目（按“项”级功能分类科目）</w:t>
            </w:r>
          </w:p>
        </w:tc>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highlight w:val="none"/>
              </w:rPr>
            </w:pPr>
          </w:p>
        </w:tc>
        <w:tc>
          <w:tcPr>
            <w:tcW w:w="355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highlight w:val="none"/>
              </w:rPr>
            </w:pPr>
          </w:p>
        </w:tc>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highlight w:val="none"/>
              </w:rPr>
            </w:pPr>
          </w:p>
        </w:tc>
        <w:tc>
          <w:tcPr>
            <w:tcW w:w="355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highlight w:val="none"/>
              </w:rPr>
            </w:pPr>
          </w:p>
        </w:tc>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highlight w:val="none"/>
              </w:rPr>
            </w:pPr>
          </w:p>
        </w:tc>
        <w:tc>
          <w:tcPr>
            <w:tcW w:w="355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highlight w:val="none"/>
              </w:rPr>
            </w:pPr>
          </w:p>
        </w:tc>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62" w:hRule="atLeast"/>
        </w:trPr>
        <w:tc>
          <w:tcPr>
            <w:tcW w:w="51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16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186.08</w:t>
            </w:r>
            <w:r>
              <w:rPr>
                <w:rFonts w:ascii="Times New Roman" w:hAnsi="Times New Roman"/>
                <w:b/>
                <w:color w:val="000000"/>
                <w:sz w:val="20"/>
                <w:highlight w:val="none"/>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186.08</w:t>
            </w:r>
            <w:r>
              <w:rPr>
                <w:rFonts w:ascii="Times New Roman" w:hAnsi="Times New Roman"/>
                <w:b/>
                <w:color w:val="000000"/>
                <w:sz w:val="20"/>
                <w:highlight w:val="none"/>
                <w:u w:color="auto"/>
              </w:rPr>
              <w:t xml:space="preserve"> </w:t>
            </w:r>
          </w:p>
        </w:tc>
        <w:tc>
          <w:tcPr>
            <w:tcW w:w="1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5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9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w:t>
            </w:r>
          </w:p>
        </w:tc>
        <w:tc>
          <w:tcPr>
            <w:tcW w:w="3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社会保障和就业支出</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34.96</w:t>
            </w:r>
            <w:r>
              <w:rPr>
                <w:rFonts w:ascii="Times New Roman" w:hAnsi="Times New Roman"/>
                <w:b/>
                <w:color w:val="000000"/>
                <w:sz w:val="20"/>
                <w:highlight w:val="none"/>
                <w:u w:color="auto"/>
              </w:rPr>
              <w:t xml:space="preserve"> </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34.96</w:t>
            </w:r>
            <w:r>
              <w:rPr>
                <w:rFonts w:ascii="Times New Roman" w:hAnsi="Times New Roman"/>
                <w:b/>
                <w:color w:val="000000"/>
                <w:sz w:val="20"/>
                <w:highlight w:val="none"/>
                <w:u w:color="auto"/>
              </w:rPr>
              <w:t xml:space="preserve"> </w:t>
            </w:r>
          </w:p>
        </w:tc>
        <w:tc>
          <w:tcPr>
            <w:tcW w:w="1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20805</w:t>
            </w:r>
          </w:p>
        </w:tc>
        <w:tc>
          <w:tcPr>
            <w:tcW w:w="3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行政事业单位养老支出</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34.96</w:t>
            </w:r>
            <w:r>
              <w:rPr>
                <w:rFonts w:ascii="Times New Roman" w:hAnsi="Times New Roman"/>
                <w:b/>
                <w:color w:val="000000"/>
                <w:sz w:val="20"/>
                <w:highlight w:val="none"/>
                <w:u w:color="auto"/>
              </w:rPr>
              <w:t xml:space="preserve"> </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34.96</w:t>
            </w:r>
            <w:r>
              <w:rPr>
                <w:rFonts w:ascii="Times New Roman" w:hAnsi="Times New Roman"/>
                <w:b/>
                <w:color w:val="000000"/>
                <w:sz w:val="20"/>
                <w:highlight w:val="none"/>
                <w:u w:color="auto"/>
              </w:rPr>
              <w:t xml:space="preserve"> </w:t>
            </w:r>
          </w:p>
        </w:tc>
        <w:tc>
          <w:tcPr>
            <w:tcW w:w="1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2080505</w:t>
            </w:r>
          </w:p>
        </w:tc>
        <w:tc>
          <w:tcPr>
            <w:tcW w:w="3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机关事业单位基本养老保险缴费支出</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22.03</w:t>
            </w:r>
            <w:r>
              <w:rPr>
                <w:rFonts w:ascii="Times New Roman" w:hAnsi="Times New Roman"/>
                <w:color w:val="000000"/>
                <w:sz w:val="20"/>
                <w:highlight w:val="none"/>
                <w:u w:color="auto"/>
              </w:rPr>
              <w:t xml:space="preserve"> </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22.03</w:t>
            </w:r>
            <w:r>
              <w:rPr>
                <w:rFonts w:ascii="Times New Roman" w:hAnsi="Times New Roman"/>
                <w:color w:val="000000"/>
                <w:sz w:val="20"/>
                <w:highlight w:val="none"/>
                <w:u w:color="auto"/>
              </w:rPr>
              <w:t xml:space="preserve"> </w:t>
            </w:r>
          </w:p>
        </w:tc>
        <w:tc>
          <w:tcPr>
            <w:tcW w:w="1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2080506</w:t>
            </w:r>
          </w:p>
        </w:tc>
        <w:tc>
          <w:tcPr>
            <w:tcW w:w="3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机关事业单位职业年金缴费支出</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11.06</w:t>
            </w:r>
            <w:r>
              <w:rPr>
                <w:rFonts w:ascii="Times New Roman" w:hAnsi="Times New Roman"/>
                <w:color w:val="000000"/>
                <w:sz w:val="20"/>
                <w:highlight w:val="none"/>
                <w:u w:color="auto"/>
              </w:rPr>
              <w:t xml:space="preserve"> </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11.06</w:t>
            </w:r>
            <w:r>
              <w:rPr>
                <w:rFonts w:ascii="Times New Roman" w:hAnsi="Times New Roman"/>
                <w:color w:val="000000"/>
                <w:sz w:val="20"/>
                <w:highlight w:val="none"/>
                <w:u w:color="auto"/>
              </w:rPr>
              <w:t xml:space="preserve"> </w:t>
            </w:r>
          </w:p>
        </w:tc>
        <w:tc>
          <w:tcPr>
            <w:tcW w:w="1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2080599</w:t>
            </w:r>
          </w:p>
        </w:tc>
        <w:tc>
          <w:tcPr>
            <w:tcW w:w="3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其他行政事业单位养老支出</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1.88</w:t>
            </w:r>
            <w:r>
              <w:rPr>
                <w:rFonts w:ascii="Times New Roman" w:hAnsi="Times New Roman"/>
                <w:color w:val="000000"/>
                <w:sz w:val="20"/>
                <w:highlight w:val="none"/>
                <w:u w:color="auto"/>
              </w:rPr>
              <w:t xml:space="preserve"> </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1.88</w:t>
            </w:r>
            <w:r>
              <w:rPr>
                <w:rFonts w:ascii="Times New Roman" w:hAnsi="Times New Roman"/>
                <w:color w:val="000000"/>
                <w:sz w:val="20"/>
                <w:highlight w:val="none"/>
                <w:u w:color="auto"/>
              </w:rPr>
              <w:t xml:space="preserve"> </w:t>
            </w:r>
          </w:p>
        </w:tc>
        <w:tc>
          <w:tcPr>
            <w:tcW w:w="1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w:t>
            </w:r>
          </w:p>
        </w:tc>
        <w:tc>
          <w:tcPr>
            <w:tcW w:w="3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卫生健康支出</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5.47</w:t>
            </w:r>
            <w:r>
              <w:rPr>
                <w:rFonts w:ascii="Times New Roman" w:hAnsi="Times New Roman"/>
                <w:b/>
                <w:color w:val="000000"/>
                <w:sz w:val="20"/>
                <w:highlight w:val="none"/>
                <w:u w:color="auto"/>
              </w:rPr>
              <w:t xml:space="preserve"> </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5.47</w:t>
            </w:r>
            <w:r>
              <w:rPr>
                <w:rFonts w:ascii="Times New Roman" w:hAnsi="Times New Roman"/>
                <w:b/>
                <w:color w:val="000000"/>
                <w:sz w:val="20"/>
                <w:highlight w:val="none"/>
                <w:u w:color="auto"/>
              </w:rPr>
              <w:t xml:space="preserve"> </w:t>
            </w:r>
          </w:p>
        </w:tc>
        <w:tc>
          <w:tcPr>
            <w:tcW w:w="1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21011</w:t>
            </w:r>
          </w:p>
        </w:tc>
        <w:tc>
          <w:tcPr>
            <w:tcW w:w="3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行政事业单位医疗</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5.47</w:t>
            </w:r>
            <w:r>
              <w:rPr>
                <w:rFonts w:ascii="Times New Roman" w:hAnsi="Times New Roman"/>
                <w:b/>
                <w:color w:val="000000"/>
                <w:sz w:val="20"/>
                <w:highlight w:val="none"/>
                <w:u w:color="auto"/>
              </w:rPr>
              <w:t xml:space="preserve"> </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5.47</w:t>
            </w:r>
            <w:r>
              <w:rPr>
                <w:rFonts w:ascii="Times New Roman" w:hAnsi="Times New Roman"/>
                <w:b/>
                <w:color w:val="000000"/>
                <w:sz w:val="20"/>
                <w:highlight w:val="none"/>
                <w:u w:color="auto"/>
              </w:rPr>
              <w:t xml:space="preserve"> </w:t>
            </w:r>
          </w:p>
        </w:tc>
        <w:tc>
          <w:tcPr>
            <w:tcW w:w="1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2101102</w:t>
            </w:r>
          </w:p>
        </w:tc>
        <w:tc>
          <w:tcPr>
            <w:tcW w:w="3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事业单位医疗</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5.47</w:t>
            </w:r>
            <w:r>
              <w:rPr>
                <w:rFonts w:ascii="Times New Roman" w:hAnsi="Times New Roman"/>
                <w:color w:val="000000"/>
                <w:sz w:val="20"/>
                <w:highlight w:val="none"/>
                <w:u w:color="auto"/>
              </w:rPr>
              <w:t xml:space="preserve"> </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5.47</w:t>
            </w:r>
            <w:r>
              <w:rPr>
                <w:rFonts w:ascii="Times New Roman" w:hAnsi="Times New Roman"/>
                <w:color w:val="000000"/>
                <w:sz w:val="20"/>
                <w:highlight w:val="none"/>
                <w:u w:color="auto"/>
              </w:rPr>
              <w:t xml:space="preserve"> </w:t>
            </w:r>
          </w:p>
        </w:tc>
        <w:tc>
          <w:tcPr>
            <w:tcW w:w="1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212</w:t>
            </w:r>
          </w:p>
        </w:tc>
        <w:tc>
          <w:tcPr>
            <w:tcW w:w="3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城乡社区支出</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131.95</w:t>
            </w:r>
            <w:r>
              <w:rPr>
                <w:rFonts w:ascii="Times New Roman" w:hAnsi="Times New Roman"/>
                <w:b/>
                <w:color w:val="000000"/>
                <w:sz w:val="20"/>
                <w:highlight w:val="none"/>
                <w:u w:color="auto"/>
              </w:rPr>
              <w:t xml:space="preserve"> </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131.95</w:t>
            </w:r>
            <w:r>
              <w:rPr>
                <w:rFonts w:ascii="Times New Roman" w:hAnsi="Times New Roman"/>
                <w:b/>
                <w:color w:val="000000"/>
                <w:sz w:val="20"/>
                <w:highlight w:val="none"/>
                <w:u w:color="auto"/>
              </w:rPr>
              <w:t xml:space="preserve"> </w:t>
            </w:r>
          </w:p>
        </w:tc>
        <w:tc>
          <w:tcPr>
            <w:tcW w:w="1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21201</w:t>
            </w:r>
          </w:p>
        </w:tc>
        <w:tc>
          <w:tcPr>
            <w:tcW w:w="3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城乡社区管理事务</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131.95</w:t>
            </w:r>
            <w:r>
              <w:rPr>
                <w:rFonts w:ascii="Times New Roman" w:hAnsi="Times New Roman"/>
                <w:b/>
                <w:color w:val="000000"/>
                <w:sz w:val="20"/>
                <w:highlight w:val="none"/>
                <w:u w:color="auto"/>
              </w:rPr>
              <w:t xml:space="preserve"> </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131.95</w:t>
            </w:r>
            <w:r>
              <w:rPr>
                <w:rFonts w:ascii="Times New Roman" w:hAnsi="Times New Roman"/>
                <w:b/>
                <w:color w:val="000000"/>
                <w:sz w:val="20"/>
                <w:highlight w:val="none"/>
                <w:u w:color="auto"/>
              </w:rPr>
              <w:t xml:space="preserve"> </w:t>
            </w:r>
          </w:p>
        </w:tc>
        <w:tc>
          <w:tcPr>
            <w:tcW w:w="1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2120104</w:t>
            </w:r>
          </w:p>
        </w:tc>
        <w:tc>
          <w:tcPr>
            <w:tcW w:w="3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城管执法</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131.95</w:t>
            </w:r>
            <w:r>
              <w:rPr>
                <w:rFonts w:ascii="Times New Roman" w:hAnsi="Times New Roman"/>
                <w:color w:val="000000"/>
                <w:sz w:val="20"/>
                <w:highlight w:val="none"/>
                <w:u w:color="auto"/>
              </w:rPr>
              <w:t xml:space="preserve"> </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131.95</w:t>
            </w:r>
            <w:r>
              <w:rPr>
                <w:rFonts w:ascii="Times New Roman" w:hAnsi="Times New Roman"/>
                <w:color w:val="000000"/>
                <w:sz w:val="20"/>
                <w:highlight w:val="none"/>
                <w:u w:color="auto"/>
              </w:rPr>
              <w:t xml:space="preserve"> </w:t>
            </w:r>
          </w:p>
        </w:tc>
        <w:tc>
          <w:tcPr>
            <w:tcW w:w="1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w:t>
            </w:r>
          </w:p>
        </w:tc>
        <w:tc>
          <w:tcPr>
            <w:tcW w:w="3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住房保障支出</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13.70</w:t>
            </w:r>
            <w:r>
              <w:rPr>
                <w:rFonts w:ascii="Times New Roman" w:hAnsi="Times New Roman"/>
                <w:b/>
                <w:color w:val="000000"/>
                <w:sz w:val="20"/>
                <w:highlight w:val="none"/>
                <w:u w:color="auto"/>
              </w:rPr>
              <w:t xml:space="preserve"> </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13.70</w:t>
            </w:r>
            <w:r>
              <w:rPr>
                <w:rFonts w:ascii="Times New Roman" w:hAnsi="Times New Roman"/>
                <w:b/>
                <w:color w:val="000000"/>
                <w:sz w:val="20"/>
                <w:highlight w:val="none"/>
                <w:u w:color="auto"/>
              </w:rPr>
              <w:t xml:space="preserve"> </w:t>
            </w:r>
          </w:p>
        </w:tc>
        <w:tc>
          <w:tcPr>
            <w:tcW w:w="1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22102</w:t>
            </w:r>
          </w:p>
        </w:tc>
        <w:tc>
          <w:tcPr>
            <w:tcW w:w="3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住房改革支出</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13.70</w:t>
            </w:r>
            <w:r>
              <w:rPr>
                <w:rFonts w:ascii="Times New Roman" w:hAnsi="Times New Roman"/>
                <w:b/>
                <w:color w:val="000000"/>
                <w:sz w:val="20"/>
                <w:highlight w:val="none"/>
                <w:u w:color="auto"/>
              </w:rPr>
              <w:t xml:space="preserve"> </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13.70</w:t>
            </w:r>
            <w:r>
              <w:rPr>
                <w:rFonts w:ascii="Times New Roman" w:hAnsi="Times New Roman"/>
                <w:b/>
                <w:color w:val="000000"/>
                <w:sz w:val="20"/>
                <w:highlight w:val="none"/>
                <w:u w:color="auto"/>
              </w:rPr>
              <w:t xml:space="preserve"> </w:t>
            </w:r>
          </w:p>
        </w:tc>
        <w:tc>
          <w:tcPr>
            <w:tcW w:w="1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2210201</w:t>
            </w:r>
          </w:p>
        </w:tc>
        <w:tc>
          <w:tcPr>
            <w:tcW w:w="3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住房公积金</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13.70</w:t>
            </w:r>
            <w:r>
              <w:rPr>
                <w:rFonts w:ascii="Times New Roman" w:hAnsi="Times New Roman"/>
                <w:color w:val="000000"/>
                <w:sz w:val="20"/>
                <w:highlight w:val="none"/>
                <w:u w:color="auto"/>
              </w:rPr>
              <w:t xml:space="preserve"> </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13.70</w:t>
            </w:r>
            <w:r>
              <w:rPr>
                <w:rFonts w:ascii="Times New Roman" w:hAnsi="Times New Roman"/>
                <w:color w:val="000000"/>
                <w:sz w:val="20"/>
                <w:highlight w:val="none"/>
                <w:u w:color="auto"/>
              </w:rPr>
              <w:t xml:space="preserve"> </w:t>
            </w:r>
          </w:p>
        </w:tc>
        <w:tc>
          <w:tcPr>
            <w:tcW w:w="1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bl>
    <w:p>
      <w:pPr>
        <w:rPr>
          <w:rFonts w:hint="default" w:cs="宋体"/>
          <w:sz w:val="21"/>
          <w:szCs w:val="21"/>
          <w:highlight w:val="none"/>
        </w:rPr>
      </w:pPr>
      <w:r>
        <w:rPr>
          <w:rFonts w:cs="宋体"/>
          <w:sz w:val="20"/>
          <w:szCs w:val="20"/>
          <w:highlight w:val="none"/>
        </w:rPr>
        <w:t>备注：1.本表反映单位本年度各项支出情况。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r>
        <w:rPr>
          <w:rFonts w:cs="宋体"/>
          <w:sz w:val="21"/>
          <w:szCs w:val="21"/>
          <w:highlight w:val="none"/>
        </w:rPr>
        <w:br w:type="page"/>
      </w:r>
    </w:p>
    <w:p>
      <w:pPr>
        <w:rPr>
          <w:rFonts w:hint="default" w:cs="宋体"/>
          <w:sz w:val="21"/>
          <w:szCs w:val="21"/>
          <w:highlight w:val="none"/>
        </w:rPr>
      </w:pPr>
    </w:p>
    <w:tbl>
      <w:tblPr>
        <w:tblStyle w:val="8"/>
        <w:tblW w:w="14780" w:type="dxa"/>
        <w:tblInd w:w="0" w:type="dxa"/>
        <w:tblLayout w:type="fixed"/>
        <w:tblCellMar>
          <w:top w:w="0" w:type="dxa"/>
          <w:left w:w="0" w:type="dxa"/>
          <w:bottom w:w="0" w:type="dxa"/>
          <w:right w:w="0" w:type="dxa"/>
        </w:tblCellMar>
      </w:tblPr>
      <w:tblGrid>
        <w:gridCol w:w="2988"/>
        <w:gridCol w:w="1531"/>
        <w:gridCol w:w="3201"/>
        <w:gridCol w:w="1706"/>
        <w:gridCol w:w="1706"/>
        <w:gridCol w:w="1706"/>
        <w:gridCol w:w="1942"/>
      </w:tblGrid>
      <w:tr>
        <w:tblPrEx>
          <w:tblCellMar>
            <w:top w:w="0" w:type="dxa"/>
            <w:left w:w="0" w:type="dxa"/>
            <w:bottom w:w="0" w:type="dxa"/>
            <w:right w:w="0" w:type="dxa"/>
          </w:tblCellMar>
        </w:tblPrEx>
        <w:trPr>
          <w:trHeight w:val="90" w:hRule="atLeast"/>
        </w:trPr>
        <w:tc>
          <w:tcPr>
            <w:tcW w:w="14780"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highlight w:val="none"/>
              </w:rPr>
            </w:pPr>
            <w:r>
              <w:rPr>
                <w:rFonts w:cs="宋体"/>
                <w:b/>
                <w:color w:val="000000"/>
                <w:sz w:val="32"/>
                <w:szCs w:val="32"/>
                <w:highlight w:val="none"/>
              </w:rPr>
              <w:t>财政拨款收入支出决算总表</w:t>
            </w:r>
          </w:p>
        </w:tc>
      </w:tr>
      <w:tr>
        <w:tblPrEx>
          <w:tblCellMar>
            <w:top w:w="0" w:type="dxa"/>
            <w:left w:w="0" w:type="dxa"/>
            <w:bottom w:w="0" w:type="dxa"/>
            <w:right w:w="0" w:type="dxa"/>
          </w:tblCellMar>
        </w:tblPrEx>
        <w:trPr>
          <w:trHeight w:val="90" w:hRule="atLeast"/>
        </w:trPr>
        <w:tc>
          <w:tcPr>
            <w:tcW w:w="7720"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垫江县长龙镇综合行政执法大队</w:t>
            </w:r>
          </w:p>
        </w:tc>
        <w:tc>
          <w:tcPr>
            <w:tcW w:w="170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highlight w:val="none"/>
              </w:rPr>
            </w:pPr>
          </w:p>
        </w:tc>
        <w:tc>
          <w:tcPr>
            <w:tcW w:w="170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highlight w:val="none"/>
              </w:rPr>
            </w:pPr>
          </w:p>
        </w:tc>
        <w:tc>
          <w:tcPr>
            <w:tcW w:w="170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highlight w:val="none"/>
              </w:rPr>
            </w:pPr>
          </w:p>
        </w:tc>
        <w:tc>
          <w:tcPr>
            <w:tcW w:w="1942"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04</w:t>
            </w:r>
            <w:r>
              <w:rPr>
                <w:rFonts w:cs="宋体"/>
                <w:color w:val="000000"/>
                <w:sz w:val="20"/>
                <w:szCs w:val="20"/>
                <w:highlight w:val="none"/>
              </w:rPr>
              <w:t>表</w:t>
            </w:r>
          </w:p>
        </w:tc>
      </w:tr>
      <w:tr>
        <w:tblPrEx>
          <w:tblCellMar>
            <w:top w:w="0" w:type="dxa"/>
            <w:left w:w="0" w:type="dxa"/>
            <w:bottom w:w="0" w:type="dxa"/>
            <w:right w:w="0" w:type="dxa"/>
          </w:tblCellMar>
        </w:tblPrEx>
        <w:trPr>
          <w:trHeight w:val="90" w:hRule="atLeast"/>
        </w:trPr>
        <w:tc>
          <w:tcPr>
            <w:tcW w:w="7720"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highlight w:val="none"/>
              </w:rPr>
            </w:pPr>
          </w:p>
        </w:tc>
        <w:tc>
          <w:tcPr>
            <w:tcW w:w="170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highlight w:val="none"/>
              </w:rPr>
            </w:pPr>
          </w:p>
        </w:tc>
        <w:tc>
          <w:tcPr>
            <w:tcW w:w="170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highlight w:val="none"/>
              </w:rPr>
            </w:pPr>
          </w:p>
        </w:tc>
        <w:tc>
          <w:tcPr>
            <w:tcW w:w="170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highlight w:val="none"/>
              </w:rPr>
            </w:pPr>
          </w:p>
        </w:tc>
        <w:tc>
          <w:tcPr>
            <w:tcW w:w="194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CellMar>
            <w:top w:w="0" w:type="dxa"/>
            <w:left w:w="0" w:type="dxa"/>
            <w:bottom w:w="0" w:type="dxa"/>
            <w:right w:w="0" w:type="dxa"/>
          </w:tblCellMar>
        </w:tblPrEx>
        <w:trPr>
          <w:trHeight w:val="90" w:hRule="atLeast"/>
        </w:trPr>
        <w:tc>
          <w:tcPr>
            <w:tcW w:w="451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收     入</w:t>
            </w:r>
          </w:p>
        </w:tc>
        <w:tc>
          <w:tcPr>
            <w:tcW w:w="1026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支     出</w:t>
            </w:r>
          </w:p>
        </w:tc>
      </w:tr>
      <w:tr>
        <w:tblPrEx>
          <w:tblCellMar>
            <w:top w:w="0" w:type="dxa"/>
            <w:left w:w="0" w:type="dxa"/>
            <w:bottom w:w="0" w:type="dxa"/>
            <w:right w:w="0" w:type="dxa"/>
          </w:tblCellMar>
        </w:tblPrEx>
        <w:trPr>
          <w:trHeight w:val="90" w:hRule="atLeast"/>
        </w:trPr>
        <w:tc>
          <w:tcPr>
            <w:tcW w:w="29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项目</w:t>
            </w:r>
          </w:p>
        </w:tc>
        <w:tc>
          <w:tcPr>
            <w:tcW w:w="15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决算数</w:t>
            </w:r>
          </w:p>
        </w:tc>
        <w:tc>
          <w:tcPr>
            <w:tcW w:w="32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功能分类科目</w:t>
            </w:r>
          </w:p>
        </w:tc>
        <w:tc>
          <w:tcPr>
            <w:tcW w:w="7060"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决算数</w:t>
            </w:r>
          </w:p>
        </w:tc>
      </w:tr>
      <w:tr>
        <w:tblPrEx>
          <w:tblCellMar>
            <w:top w:w="0" w:type="dxa"/>
            <w:left w:w="0" w:type="dxa"/>
            <w:bottom w:w="0" w:type="dxa"/>
            <w:right w:w="0" w:type="dxa"/>
          </w:tblCellMar>
        </w:tblPrEx>
        <w:trPr>
          <w:trHeight w:val="90" w:hRule="atLeast"/>
        </w:trPr>
        <w:tc>
          <w:tcPr>
            <w:tcW w:w="29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32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小计</w:t>
            </w:r>
          </w:p>
        </w:tc>
        <w:tc>
          <w:tcPr>
            <w:tcW w:w="1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一般公共预算财政拨款</w:t>
            </w:r>
          </w:p>
        </w:tc>
        <w:tc>
          <w:tcPr>
            <w:tcW w:w="1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政府性基金预算财政拨款</w:t>
            </w:r>
          </w:p>
        </w:tc>
        <w:tc>
          <w:tcPr>
            <w:tcW w:w="1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国有资本经营预算财政拨款</w:t>
            </w:r>
          </w:p>
        </w:tc>
      </w:tr>
      <w:tr>
        <w:tblPrEx>
          <w:tblCellMar>
            <w:top w:w="0" w:type="dxa"/>
            <w:left w:w="0" w:type="dxa"/>
            <w:bottom w:w="0" w:type="dxa"/>
            <w:right w:w="0" w:type="dxa"/>
          </w:tblCellMar>
        </w:tblPrEx>
        <w:trPr>
          <w:trHeight w:val="90" w:hRule="atLeast"/>
        </w:trPr>
        <w:tc>
          <w:tcPr>
            <w:tcW w:w="2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一、一般公共预算财政拨款</w:t>
            </w: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186.08</w:t>
            </w:r>
            <w:r>
              <w:rPr>
                <w:rFonts w:ascii="Times New Roman" w:hAnsi="Times New Roman"/>
                <w:color w:val="000000"/>
                <w:sz w:val="18"/>
                <w:highlight w:val="none"/>
                <w:u w:color="auto"/>
              </w:rPr>
              <w:t xml:space="preserve"> </w:t>
            </w: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一、一般公共服务支出</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二、政府性基金预算财政拨款</w:t>
            </w: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二、外交支出</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三、国有资本经营预算财政拨款</w:t>
            </w: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三、国防支出</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四、公共安全支出</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五、教育支出</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六、科学技术支出</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七、文化旅游体育与传媒支出</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八、社会保障和就业支出</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34.96</w:t>
            </w:r>
            <w:r>
              <w:rPr>
                <w:rFonts w:ascii="Times New Roman" w:hAnsi="Times New Roman"/>
                <w:color w:val="000000"/>
                <w:sz w:val="18"/>
                <w:highlight w:val="none"/>
                <w:u w:color="auto"/>
              </w:rPr>
              <w:t xml:space="preserve"> </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34.96</w:t>
            </w:r>
            <w:r>
              <w:rPr>
                <w:rFonts w:ascii="Times New Roman" w:hAnsi="Times New Roman"/>
                <w:color w:val="000000"/>
                <w:sz w:val="18"/>
                <w:highlight w:val="none"/>
                <w:u w:color="auto"/>
              </w:rPr>
              <w:t xml:space="preserve"> </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九、卫生健康支出</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5.47</w:t>
            </w:r>
            <w:r>
              <w:rPr>
                <w:rFonts w:ascii="Times New Roman" w:hAnsi="Times New Roman"/>
                <w:color w:val="000000"/>
                <w:sz w:val="18"/>
                <w:highlight w:val="none"/>
                <w:u w:color="auto"/>
              </w:rPr>
              <w:t xml:space="preserve"> </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5.47</w:t>
            </w:r>
            <w:r>
              <w:rPr>
                <w:rFonts w:ascii="Times New Roman" w:hAnsi="Times New Roman"/>
                <w:color w:val="000000"/>
                <w:sz w:val="18"/>
                <w:highlight w:val="none"/>
                <w:u w:color="auto"/>
              </w:rPr>
              <w:t xml:space="preserve"> </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十、节能环保支出</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十一、城乡社区支出</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131.95</w:t>
            </w:r>
            <w:r>
              <w:rPr>
                <w:rFonts w:ascii="Times New Roman" w:hAnsi="Times New Roman"/>
                <w:color w:val="000000"/>
                <w:sz w:val="18"/>
                <w:highlight w:val="none"/>
                <w:u w:color="auto"/>
              </w:rPr>
              <w:t xml:space="preserve"> </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131.95</w:t>
            </w:r>
            <w:r>
              <w:rPr>
                <w:rFonts w:ascii="Times New Roman" w:hAnsi="Times New Roman"/>
                <w:color w:val="000000"/>
                <w:sz w:val="18"/>
                <w:highlight w:val="none"/>
                <w:u w:color="auto"/>
              </w:rPr>
              <w:t xml:space="preserve"> </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十二、农林水支出</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十三、交通运输支出</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十四、资源勘探工业信息等支出</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十五、商业服务业等支出</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十六、金融支出</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十七、援助其他地区支出</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十八、自然资源海洋气象等支出</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十九、住房保障支出</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13.70</w:t>
            </w:r>
            <w:r>
              <w:rPr>
                <w:rFonts w:ascii="Times New Roman" w:hAnsi="Times New Roman"/>
                <w:color w:val="000000"/>
                <w:sz w:val="18"/>
                <w:highlight w:val="none"/>
                <w:u w:color="auto"/>
              </w:rPr>
              <w:t xml:space="preserve"> </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13.70</w:t>
            </w:r>
            <w:r>
              <w:rPr>
                <w:rFonts w:ascii="Times New Roman" w:hAnsi="Times New Roman"/>
                <w:color w:val="000000"/>
                <w:sz w:val="18"/>
                <w:highlight w:val="none"/>
                <w:u w:color="auto"/>
              </w:rPr>
              <w:t xml:space="preserve"> </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二十、粮油物资储备支出</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二十一、国有资本经营预算支出</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二十二、灾害防治及应急管理支出</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二十三、其他支出</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highlight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二十四、债务还本支出</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highlight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二十五、债务付息支出</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highlight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二十六、抗疫特别国债安排的支出</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highlight w:val="none"/>
              </w:rPr>
            </w:pPr>
            <w:r>
              <w:rPr>
                <w:rFonts w:cs="宋体"/>
                <w:b/>
                <w:bCs/>
                <w:color w:val="000000"/>
                <w:sz w:val="18"/>
                <w:szCs w:val="18"/>
                <w:highlight w:val="none"/>
              </w:rPr>
              <w:t>本年收入合计</w:t>
            </w: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186.08</w:t>
            </w:r>
            <w:r>
              <w:rPr>
                <w:rFonts w:ascii="Times New Roman" w:hAnsi="Times New Roman"/>
                <w:color w:val="000000"/>
                <w:sz w:val="18"/>
                <w:highlight w:val="none"/>
                <w:u w:color="auto"/>
              </w:rPr>
              <w:t xml:space="preserve"> </w:t>
            </w: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highlight w:val="none"/>
              </w:rPr>
            </w:pPr>
            <w:r>
              <w:rPr>
                <w:rFonts w:cs="宋体"/>
                <w:b/>
                <w:bCs/>
                <w:color w:val="000000"/>
                <w:sz w:val="18"/>
                <w:szCs w:val="18"/>
                <w:highlight w:val="none"/>
              </w:rPr>
              <w:t>本年支出合计</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186.08</w:t>
            </w:r>
            <w:r>
              <w:rPr>
                <w:rFonts w:ascii="Times New Roman" w:hAnsi="Times New Roman"/>
                <w:color w:val="000000"/>
                <w:sz w:val="18"/>
                <w:highlight w:val="none"/>
                <w:u w:color="auto"/>
              </w:rPr>
              <w:t xml:space="preserve"> </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186.08</w:t>
            </w:r>
            <w:r>
              <w:rPr>
                <w:rFonts w:ascii="Times New Roman" w:hAnsi="Times New Roman"/>
                <w:color w:val="000000"/>
                <w:sz w:val="18"/>
                <w:highlight w:val="none"/>
                <w:u w:color="auto"/>
              </w:rPr>
              <w:t xml:space="preserve"> </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年初财政拨款结转和结余</w:t>
            </w: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年末财政拨款结转和结余</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 xml:space="preserve">  一般公共预算财政拨款</w:t>
            </w: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highlight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r>
      <w:tr>
        <w:tblPrEx>
          <w:tblCellMar>
            <w:top w:w="0" w:type="dxa"/>
            <w:left w:w="0" w:type="dxa"/>
            <w:bottom w:w="0" w:type="dxa"/>
            <w:right w:w="0" w:type="dxa"/>
          </w:tblCellMar>
        </w:tblPrEx>
        <w:trPr>
          <w:trHeight w:val="90" w:hRule="atLeast"/>
        </w:trPr>
        <w:tc>
          <w:tcPr>
            <w:tcW w:w="2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 xml:space="preserve">  政府性基金预算财政拨款</w:t>
            </w: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r>
      <w:tr>
        <w:tblPrEx>
          <w:tblCellMar>
            <w:top w:w="0" w:type="dxa"/>
            <w:left w:w="0" w:type="dxa"/>
            <w:bottom w:w="0" w:type="dxa"/>
            <w:right w:w="0" w:type="dxa"/>
          </w:tblCellMar>
        </w:tblPrEx>
        <w:trPr>
          <w:trHeight w:val="90" w:hRule="atLeast"/>
        </w:trPr>
        <w:tc>
          <w:tcPr>
            <w:tcW w:w="2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 xml:space="preserve">  国有资本经营预算财政拨款</w:t>
            </w: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r>
      <w:tr>
        <w:tblPrEx>
          <w:tblCellMar>
            <w:top w:w="0" w:type="dxa"/>
            <w:left w:w="0" w:type="dxa"/>
            <w:bottom w:w="0" w:type="dxa"/>
            <w:right w:w="0" w:type="dxa"/>
          </w:tblCellMar>
        </w:tblPrEx>
        <w:trPr>
          <w:trHeight w:val="90" w:hRule="atLeast"/>
        </w:trPr>
        <w:tc>
          <w:tcPr>
            <w:tcW w:w="2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总计</w:t>
            </w: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186.08</w:t>
            </w:r>
            <w:r>
              <w:rPr>
                <w:rFonts w:ascii="Times New Roman" w:hAnsi="Times New Roman"/>
                <w:color w:val="000000"/>
                <w:sz w:val="18"/>
                <w:highlight w:val="none"/>
                <w:u w:color="auto"/>
              </w:rPr>
              <w:t xml:space="preserve"> </w:t>
            </w: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总计</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186.08</w:t>
            </w:r>
            <w:r>
              <w:rPr>
                <w:rFonts w:ascii="Times New Roman" w:hAnsi="Times New Roman"/>
                <w:color w:val="000000"/>
                <w:sz w:val="18"/>
                <w:highlight w:val="none"/>
                <w:u w:color="auto"/>
              </w:rPr>
              <w:t xml:space="preserve"> </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186.08</w:t>
            </w:r>
            <w:r>
              <w:rPr>
                <w:rFonts w:ascii="Times New Roman" w:hAnsi="Times New Roman"/>
                <w:color w:val="000000"/>
                <w:sz w:val="18"/>
                <w:highlight w:val="none"/>
                <w:u w:color="auto"/>
              </w:rPr>
              <w:t xml:space="preserve"> </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bl>
    <w:p>
      <w:pPr>
        <w:spacing w:line="240" w:lineRule="exact"/>
        <w:rPr>
          <w:rFonts w:hint="default" w:cs="宋体"/>
          <w:sz w:val="20"/>
          <w:szCs w:val="20"/>
          <w:highlight w:val="none"/>
        </w:rPr>
      </w:pPr>
      <w:r>
        <w:rPr>
          <w:rFonts w:cs="宋体"/>
          <w:sz w:val="20"/>
          <w:szCs w:val="20"/>
          <w:highlight w:val="none"/>
        </w:rPr>
        <w:t>备注：1.本表反映单位本年度一般公共预算财政拨款、政府性基金预算财政拨款及国有资本经营预算财政拨款的总收支和年末结转结余情况。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r>
        <w:rPr>
          <w:rFonts w:cs="宋体"/>
          <w:sz w:val="21"/>
          <w:szCs w:val="21"/>
          <w:highlight w:val="none"/>
        </w:rPr>
        <w:br w:type="page"/>
      </w:r>
    </w:p>
    <w:tbl>
      <w:tblPr>
        <w:tblStyle w:val="8"/>
        <w:tblW w:w="15428" w:type="dxa"/>
        <w:tblInd w:w="0" w:type="dxa"/>
        <w:tblLayout w:type="fixed"/>
        <w:tblCellMar>
          <w:top w:w="0" w:type="dxa"/>
          <w:left w:w="0" w:type="dxa"/>
          <w:bottom w:w="0" w:type="dxa"/>
          <w:right w:w="0" w:type="dxa"/>
        </w:tblCellMar>
      </w:tblPr>
      <w:tblGrid>
        <w:gridCol w:w="1497"/>
        <w:gridCol w:w="3922"/>
        <w:gridCol w:w="3329"/>
        <w:gridCol w:w="3323"/>
        <w:gridCol w:w="3357"/>
      </w:tblGrid>
      <w:tr>
        <w:tblPrEx>
          <w:tblCellMar>
            <w:top w:w="0" w:type="dxa"/>
            <w:left w:w="0" w:type="dxa"/>
            <w:bottom w:w="0" w:type="dxa"/>
            <w:right w:w="0" w:type="dxa"/>
          </w:tblCellMar>
        </w:tblPrEx>
        <w:trPr>
          <w:trHeight w:val="510" w:hRule="atLeast"/>
        </w:trPr>
        <w:tc>
          <w:tcPr>
            <w:tcW w:w="1542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highlight w:val="none"/>
              </w:rPr>
            </w:pPr>
            <w:r>
              <w:rPr>
                <w:rFonts w:cs="宋体"/>
                <w:b/>
                <w:color w:val="000000"/>
                <w:sz w:val="32"/>
                <w:szCs w:val="32"/>
                <w:highlight w:val="none"/>
              </w:rPr>
              <w:t>一般公共预算财政拨款支出决算表</w:t>
            </w:r>
          </w:p>
        </w:tc>
      </w:tr>
      <w:tr>
        <w:tblPrEx>
          <w:tblCellMar>
            <w:top w:w="0" w:type="dxa"/>
            <w:left w:w="0" w:type="dxa"/>
            <w:bottom w:w="0" w:type="dxa"/>
            <w:right w:w="0" w:type="dxa"/>
          </w:tblCellMar>
        </w:tblPrEx>
        <w:trPr>
          <w:trHeight w:val="255" w:hRule="atLeast"/>
        </w:trPr>
        <w:tc>
          <w:tcPr>
            <w:tcW w:w="8748"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垫江县长龙镇综合行政执法大队</w:t>
            </w:r>
          </w:p>
        </w:tc>
        <w:tc>
          <w:tcPr>
            <w:tcW w:w="332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3357"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05</w:t>
            </w:r>
            <w:r>
              <w:rPr>
                <w:rFonts w:cs="宋体"/>
                <w:color w:val="000000"/>
                <w:sz w:val="20"/>
                <w:szCs w:val="20"/>
                <w:highlight w:val="none"/>
              </w:rPr>
              <w:t>表</w:t>
            </w:r>
          </w:p>
        </w:tc>
      </w:tr>
      <w:tr>
        <w:tblPrEx>
          <w:tblCellMar>
            <w:top w:w="0" w:type="dxa"/>
            <w:left w:w="0" w:type="dxa"/>
            <w:bottom w:w="0" w:type="dxa"/>
            <w:right w:w="0" w:type="dxa"/>
          </w:tblCellMar>
        </w:tblPrEx>
        <w:trPr>
          <w:trHeight w:val="285" w:hRule="atLeast"/>
        </w:trPr>
        <w:tc>
          <w:tcPr>
            <w:tcW w:w="874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332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3357"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CellMar>
            <w:top w:w="0" w:type="dxa"/>
            <w:left w:w="0" w:type="dxa"/>
            <w:bottom w:w="0" w:type="dxa"/>
            <w:right w:w="0" w:type="dxa"/>
          </w:tblCellMar>
        </w:tblPrEx>
        <w:trPr>
          <w:trHeight w:val="308" w:hRule="atLeast"/>
        </w:trPr>
        <w:tc>
          <w:tcPr>
            <w:tcW w:w="54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w:t>
            </w:r>
          </w:p>
        </w:tc>
        <w:tc>
          <w:tcPr>
            <w:tcW w:w="10009"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本年支出</w:t>
            </w:r>
          </w:p>
        </w:tc>
      </w:tr>
      <w:tr>
        <w:tblPrEx>
          <w:tblCellMar>
            <w:top w:w="0" w:type="dxa"/>
            <w:left w:w="0" w:type="dxa"/>
            <w:bottom w:w="0" w:type="dxa"/>
            <w:right w:w="0" w:type="dxa"/>
          </w:tblCellMar>
        </w:tblPrEx>
        <w:trPr>
          <w:trHeight w:val="326" w:hRule="atLeast"/>
        </w:trPr>
        <w:tc>
          <w:tcPr>
            <w:tcW w:w="149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39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项目（按“项”级功能分类科目）</w:t>
            </w:r>
          </w:p>
        </w:tc>
        <w:tc>
          <w:tcPr>
            <w:tcW w:w="332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33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基本支出</w:t>
            </w:r>
          </w:p>
        </w:tc>
        <w:tc>
          <w:tcPr>
            <w:tcW w:w="335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项目支出</w:t>
            </w:r>
          </w:p>
        </w:tc>
      </w:tr>
      <w:tr>
        <w:tblPrEx>
          <w:tblCellMar>
            <w:top w:w="0" w:type="dxa"/>
            <w:left w:w="0" w:type="dxa"/>
            <w:bottom w:w="0" w:type="dxa"/>
            <w:right w:w="0" w:type="dxa"/>
          </w:tblCellMar>
        </w:tblPrEx>
        <w:trPr>
          <w:trHeight w:val="326" w:hRule="atLeast"/>
        </w:trPr>
        <w:tc>
          <w:tcPr>
            <w:tcW w:w="149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9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3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3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35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615" w:hRule="atLeast"/>
        </w:trPr>
        <w:tc>
          <w:tcPr>
            <w:tcW w:w="149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9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3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3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35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08" w:hRule="atLeast"/>
        </w:trPr>
        <w:tc>
          <w:tcPr>
            <w:tcW w:w="541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3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186.08</w:t>
            </w:r>
            <w:r>
              <w:rPr>
                <w:rFonts w:ascii="Times New Roman" w:hAnsi="Times New Roman"/>
                <w:b/>
                <w:color w:val="000000"/>
                <w:sz w:val="20"/>
                <w:highlight w:val="none"/>
                <w:u w:color="auto"/>
              </w:rPr>
              <w:t xml:space="preserve"> </w:t>
            </w:r>
          </w:p>
        </w:tc>
        <w:tc>
          <w:tcPr>
            <w:tcW w:w="33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186.08</w:t>
            </w:r>
            <w:r>
              <w:rPr>
                <w:rFonts w:ascii="Times New Roman" w:hAnsi="Times New Roman"/>
                <w:b/>
                <w:color w:val="000000"/>
                <w:sz w:val="20"/>
                <w:highlight w:val="none"/>
                <w:u w:color="auto"/>
              </w:rPr>
              <w:t xml:space="preserve"> </w:t>
            </w:r>
          </w:p>
        </w:tc>
        <w:tc>
          <w:tcPr>
            <w:tcW w:w="33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4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w:t>
            </w:r>
          </w:p>
        </w:tc>
        <w:tc>
          <w:tcPr>
            <w:tcW w:w="39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社会保障和就业支出</w:t>
            </w:r>
          </w:p>
        </w:tc>
        <w:tc>
          <w:tcPr>
            <w:tcW w:w="3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34.96</w:t>
            </w:r>
            <w:r>
              <w:rPr>
                <w:rFonts w:ascii="Times New Roman" w:hAnsi="Times New Roman"/>
                <w:b/>
                <w:color w:val="000000"/>
                <w:sz w:val="20"/>
                <w:highlight w:val="none"/>
                <w:u w:color="auto"/>
              </w:rPr>
              <w:t xml:space="preserve"> </w:t>
            </w:r>
          </w:p>
        </w:tc>
        <w:tc>
          <w:tcPr>
            <w:tcW w:w="33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34.96</w:t>
            </w:r>
            <w:r>
              <w:rPr>
                <w:rFonts w:ascii="Times New Roman" w:hAnsi="Times New Roman"/>
                <w:b/>
                <w:color w:val="000000"/>
                <w:sz w:val="20"/>
                <w:highlight w:val="none"/>
                <w:u w:color="auto"/>
              </w:rPr>
              <w:t xml:space="preserve"> </w:t>
            </w:r>
          </w:p>
        </w:tc>
        <w:tc>
          <w:tcPr>
            <w:tcW w:w="33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4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20805</w:t>
            </w:r>
          </w:p>
        </w:tc>
        <w:tc>
          <w:tcPr>
            <w:tcW w:w="39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行政事业单位养老支出</w:t>
            </w:r>
          </w:p>
        </w:tc>
        <w:tc>
          <w:tcPr>
            <w:tcW w:w="3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34.96</w:t>
            </w:r>
            <w:r>
              <w:rPr>
                <w:rFonts w:ascii="Times New Roman" w:hAnsi="Times New Roman"/>
                <w:b/>
                <w:color w:val="000000"/>
                <w:sz w:val="20"/>
                <w:highlight w:val="none"/>
                <w:u w:color="auto"/>
              </w:rPr>
              <w:t xml:space="preserve"> </w:t>
            </w:r>
          </w:p>
        </w:tc>
        <w:tc>
          <w:tcPr>
            <w:tcW w:w="33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34.96</w:t>
            </w:r>
            <w:r>
              <w:rPr>
                <w:rFonts w:ascii="Times New Roman" w:hAnsi="Times New Roman"/>
                <w:b/>
                <w:color w:val="000000"/>
                <w:sz w:val="20"/>
                <w:highlight w:val="none"/>
                <w:u w:color="auto"/>
              </w:rPr>
              <w:t xml:space="preserve"> </w:t>
            </w:r>
          </w:p>
        </w:tc>
        <w:tc>
          <w:tcPr>
            <w:tcW w:w="33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4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2080505</w:t>
            </w:r>
          </w:p>
        </w:tc>
        <w:tc>
          <w:tcPr>
            <w:tcW w:w="39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机关事业单位基本养老保险缴费支出</w:t>
            </w:r>
          </w:p>
        </w:tc>
        <w:tc>
          <w:tcPr>
            <w:tcW w:w="3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22.03</w:t>
            </w:r>
            <w:r>
              <w:rPr>
                <w:rFonts w:ascii="Times New Roman" w:hAnsi="Times New Roman"/>
                <w:color w:val="000000"/>
                <w:sz w:val="20"/>
                <w:highlight w:val="none"/>
                <w:u w:color="auto"/>
              </w:rPr>
              <w:t xml:space="preserve"> </w:t>
            </w:r>
          </w:p>
        </w:tc>
        <w:tc>
          <w:tcPr>
            <w:tcW w:w="33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22.03</w:t>
            </w:r>
            <w:r>
              <w:rPr>
                <w:rFonts w:ascii="Times New Roman" w:hAnsi="Times New Roman"/>
                <w:color w:val="000000"/>
                <w:sz w:val="20"/>
                <w:highlight w:val="none"/>
                <w:u w:color="auto"/>
              </w:rPr>
              <w:t xml:space="preserve"> </w:t>
            </w:r>
          </w:p>
        </w:tc>
        <w:tc>
          <w:tcPr>
            <w:tcW w:w="33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4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2080506</w:t>
            </w:r>
          </w:p>
        </w:tc>
        <w:tc>
          <w:tcPr>
            <w:tcW w:w="39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机关事业单位职业年金缴费支出</w:t>
            </w:r>
          </w:p>
        </w:tc>
        <w:tc>
          <w:tcPr>
            <w:tcW w:w="3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11.06</w:t>
            </w:r>
            <w:r>
              <w:rPr>
                <w:rFonts w:ascii="Times New Roman" w:hAnsi="Times New Roman"/>
                <w:color w:val="000000"/>
                <w:sz w:val="20"/>
                <w:highlight w:val="none"/>
                <w:u w:color="auto"/>
              </w:rPr>
              <w:t xml:space="preserve"> </w:t>
            </w:r>
          </w:p>
        </w:tc>
        <w:tc>
          <w:tcPr>
            <w:tcW w:w="33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11.06</w:t>
            </w:r>
            <w:r>
              <w:rPr>
                <w:rFonts w:ascii="Times New Roman" w:hAnsi="Times New Roman"/>
                <w:color w:val="000000"/>
                <w:sz w:val="20"/>
                <w:highlight w:val="none"/>
                <w:u w:color="auto"/>
              </w:rPr>
              <w:t xml:space="preserve"> </w:t>
            </w:r>
          </w:p>
        </w:tc>
        <w:tc>
          <w:tcPr>
            <w:tcW w:w="33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4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2080599</w:t>
            </w:r>
          </w:p>
        </w:tc>
        <w:tc>
          <w:tcPr>
            <w:tcW w:w="39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其他行政事业单位养老支出</w:t>
            </w:r>
          </w:p>
        </w:tc>
        <w:tc>
          <w:tcPr>
            <w:tcW w:w="3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1.88</w:t>
            </w:r>
            <w:r>
              <w:rPr>
                <w:rFonts w:ascii="Times New Roman" w:hAnsi="Times New Roman"/>
                <w:color w:val="000000"/>
                <w:sz w:val="20"/>
                <w:highlight w:val="none"/>
                <w:u w:color="auto"/>
              </w:rPr>
              <w:t xml:space="preserve"> </w:t>
            </w:r>
          </w:p>
        </w:tc>
        <w:tc>
          <w:tcPr>
            <w:tcW w:w="33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1.88</w:t>
            </w:r>
            <w:r>
              <w:rPr>
                <w:rFonts w:ascii="Times New Roman" w:hAnsi="Times New Roman"/>
                <w:color w:val="000000"/>
                <w:sz w:val="20"/>
                <w:highlight w:val="none"/>
                <w:u w:color="auto"/>
              </w:rPr>
              <w:t xml:space="preserve"> </w:t>
            </w:r>
          </w:p>
        </w:tc>
        <w:tc>
          <w:tcPr>
            <w:tcW w:w="33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4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w:t>
            </w:r>
          </w:p>
        </w:tc>
        <w:tc>
          <w:tcPr>
            <w:tcW w:w="39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卫生健康支出</w:t>
            </w:r>
          </w:p>
        </w:tc>
        <w:tc>
          <w:tcPr>
            <w:tcW w:w="3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5.47</w:t>
            </w:r>
            <w:r>
              <w:rPr>
                <w:rFonts w:ascii="Times New Roman" w:hAnsi="Times New Roman"/>
                <w:b/>
                <w:color w:val="000000"/>
                <w:sz w:val="20"/>
                <w:highlight w:val="none"/>
                <w:u w:color="auto"/>
              </w:rPr>
              <w:t xml:space="preserve"> </w:t>
            </w:r>
          </w:p>
        </w:tc>
        <w:tc>
          <w:tcPr>
            <w:tcW w:w="33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5.47</w:t>
            </w:r>
            <w:r>
              <w:rPr>
                <w:rFonts w:ascii="Times New Roman" w:hAnsi="Times New Roman"/>
                <w:b/>
                <w:color w:val="000000"/>
                <w:sz w:val="20"/>
                <w:highlight w:val="none"/>
                <w:u w:color="auto"/>
              </w:rPr>
              <w:t xml:space="preserve"> </w:t>
            </w:r>
          </w:p>
        </w:tc>
        <w:tc>
          <w:tcPr>
            <w:tcW w:w="33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4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21011</w:t>
            </w:r>
          </w:p>
        </w:tc>
        <w:tc>
          <w:tcPr>
            <w:tcW w:w="39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行政事业单位医疗</w:t>
            </w:r>
          </w:p>
        </w:tc>
        <w:tc>
          <w:tcPr>
            <w:tcW w:w="3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5.47</w:t>
            </w:r>
            <w:r>
              <w:rPr>
                <w:rFonts w:ascii="Times New Roman" w:hAnsi="Times New Roman"/>
                <w:b/>
                <w:color w:val="000000"/>
                <w:sz w:val="20"/>
                <w:highlight w:val="none"/>
                <w:u w:color="auto"/>
              </w:rPr>
              <w:t xml:space="preserve"> </w:t>
            </w:r>
          </w:p>
        </w:tc>
        <w:tc>
          <w:tcPr>
            <w:tcW w:w="33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5.47</w:t>
            </w:r>
            <w:r>
              <w:rPr>
                <w:rFonts w:ascii="Times New Roman" w:hAnsi="Times New Roman"/>
                <w:b/>
                <w:color w:val="000000"/>
                <w:sz w:val="20"/>
                <w:highlight w:val="none"/>
                <w:u w:color="auto"/>
              </w:rPr>
              <w:t xml:space="preserve"> </w:t>
            </w:r>
          </w:p>
        </w:tc>
        <w:tc>
          <w:tcPr>
            <w:tcW w:w="33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4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2101102</w:t>
            </w:r>
          </w:p>
        </w:tc>
        <w:tc>
          <w:tcPr>
            <w:tcW w:w="39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事业单位医疗</w:t>
            </w:r>
          </w:p>
        </w:tc>
        <w:tc>
          <w:tcPr>
            <w:tcW w:w="3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5.47</w:t>
            </w:r>
            <w:r>
              <w:rPr>
                <w:rFonts w:ascii="Times New Roman" w:hAnsi="Times New Roman"/>
                <w:color w:val="000000"/>
                <w:sz w:val="20"/>
                <w:highlight w:val="none"/>
                <w:u w:color="auto"/>
              </w:rPr>
              <w:t xml:space="preserve"> </w:t>
            </w:r>
          </w:p>
        </w:tc>
        <w:tc>
          <w:tcPr>
            <w:tcW w:w="33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5.47</w:t>
            </w:r>
            <w:r>
              <w:rPr>
                <w:rFonts w:ascii="Times New Roman" w:hAnsi="Times New Roman"/>
                <w:color w:val="000000"/>
                <w:sz w:val="20"/>
                <w:highlight w:val="none"/>
                <w:u w:color="auto"/>
              </w:rPr>
              <w:t xml:space="preserve"> </w:t>
            </w:r>
          </w:p>
        </w:tc>
        <w:tc>
          <w:tcPr>
            <w:tcW w:w="33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4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212</w:t>
            </w:r>
          </w:p>
        </w:tc>
        <w:tc>
          <w:tcPr>
            <w:tcW w:w="39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城乡社区支出</w:t>
            </w:r>
          </w:p>
        </w:tc>
        <w:tc>
          <w:tcPr>
            <w:tcW w:w="3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131.95</w:t>
            </w:r>
            <w:r>
              <w:rPr>
                <w:rFonts w:ascii="Times New Roman" w:hAnsi="Times New Roman"/>
                <w:b/>
                <w:color w:val="000000"/>
                <w:sz w:val="20"/>
                <w:highlight w:val="none"/>
                <w:u w:color="auto"/>
              </w:rPr>
              <w:t xml:space="preserve"> </w:t>
            </w:r>
          </w:p>
        </w:tc>
        <w:tc>
          <w:tcPr>
            <w:tcW w:w="33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131.95</w:t>
            </w:r>
            <w:r>
              <w:rPr>
                <w:rFonts w:ascii="Times New Roman" w:hAnsi="Times New Roman"/>
                <w:b/>
                <w:color w:val="000000"/>
                <w:sz w:val="20"/>
                <w:highlight w:val="none"/>
                <w:u w:color="auto"/>
              </w:rPr>
              <w:t xml:space="preserve"> </w:t>
            </w:r>
          </w:p>
        </w:tc>
        <w:tc>
          <w:tcPr>
            <w:tcW w:w="33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4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21201</w:t>
            </w:r>
          </w:p>
        </w:tc>
        <w:tc>
          <w:tcPr>
            <w:tcW w:w="39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城乡社区管理事务</w:t>
            </w:r>
          </w:p>
        </w:tc>
        <w:tc>
          <w:tcPr>
            <w:tcW w:w="3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131.95</w:t>
            </w:r>
            <w:r>
              <w:rPr>
                <w:rFonts w:ascii="Times New Roman" w:hAnsi="Times New Roman"/>
                <w:b/>
                <w:color w:val="000000"/>
                <w:sz w:val="20"/>
                <w:highlight w:val="none"/>
                <w:u w:color="auto"/>
              </w:rPr>
              <w:t xml:space="preserve"> </w:t>
            </w:r>
          </w:p>
        </w:tc>
        <w:tc>
          <w:tcPr>
            <w:tcW w:w="33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131.95</w:t>
            </w:r>
            <w:r>
              <w:rPr>
                <w:rFonts w:ascii="Times New Roman" w:hAnsi="Times New Roman"/>
                <w:b/>
                <w:color w:val="000000"/>
                <w:sz w:val="20"/>
                <w:highlight w:val="none"/>
                <w:u w:color="auto"/>
              </w:rPr>
              <w:t xml:space="preserve"> </w:t>
            </w:r>
          </w:p>
        </w:tc>
        <w:tc>
          <w:tcPr>
            <w:tcW w:w="33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4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2120104</w:t>
            </w:r>
          </w:p>
        </w:tc>
        <w:tc>
          <w:tcPr>
            <w:tcW w:w="39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城管执法</w:t>
            </w:r>
          </w:p>
        </w:tc>
        <w:tc>
          <w:tcPr>
            <w:tcW w:w="3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131.95</w:t>
            </w:r>
            <w:r>
              <w:rPr>
                <w:rFonts w:ascii="Times New Roman" w:hAnsi="Times New Roman"/>
                <w:color w:val="000000"/>
                <w:sz w:val="20"/>
                <w:highlight w:val="none"/>
                <w:u w:color="auto"/>
              </w:rPr>
              <w:t xml:space="preserve"> </w:t>
            </w:r>
          </w:p>
        </w:tc>
        <w:tc>
          <w:tcPr>
            <w:tcW w:w="33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131.95</w:t>
            </w:r>
            <w:r>
              <w:rPr>
                <w:rFonts w:ascii="Times New Roman" w:hAnsi="Times New Roman"/>
                <w:color w:val="000000"/>
                <w:sz w:val="20"/>
                <w:highlight w:val="none"/>
                <w:u w:color="auto"/>
              </w:rPr>
              <w:t xml:space="preserve"> </w:t>
            </w:r>
          </w:p>
        </w:tc>
        <w:tc>
          <w:tcPr>
            <w:tcW w:w="33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4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w:t>
            </w:r>
          </w:p>
        </w:tc>
        <w:tc>
          <w:tcPr>
            <w:tcW w:w="39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住房保障支出</w:t>
            </w:r>
          </w:p>
        </w:tc>
        <w:tc>
          <w:tcPr>
            <w:tcW w:w="3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13.70</w:t>
            </w:r>
            <w:r>
              <w:rPr>
                <w:rFonts w:ascii="Times New Roman" w:hAnsi="Times New Roman"/>
                <w:b/>
                <w:color w:val="000000"/>
                <w:sz w:val="20"/>
                <w:highlight w:val="none"/>
                <w:u w:color="auto"/>
              </w:rPr>
              <w:t xml:space="preserve"> </w:t>
            </w:r>
          </w:p>
        </w:tc>
        <w:tc>
          <w:tcPr>
            <w:tcW w:w="33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13.70</w:t>
            </w:r>
            <w:r>
              <w:rPr>
                <w:rFonts w:ascii="Times New Roman" w:hAnsi="Times New Roman"/>
                <w:b/>
                <w:color w:val="000000"/>
                <w:sz w:val="20"/>
                <w:highlight w:val="none"/>
                <w:u w:color="auto"/>
              </w:rPr>
              <w:t xml:space="preserve"> </w:t>
            </w:r>
          </w:p>
        </w:tc>
        <w:tc>
          <w:tcPr>
            <w:tcW w:w="33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4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22102</w:t>
            </w:r>
          </w:p>
        </w:tc>
        <w:tc>
          <w:tcPr>
            <w:tcW w:w="39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住房改革支出</w:t>
            </w:r>
          </w:p>
        </w:tc>
        <w:tc>
          <w:tcPr>
            <w:tcW w:w="3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13.70</w:t>
            </w:r>
            <w:r>
              <w:rPr>
                <w:rFonts w:ascii="Times New Roman" w:hAnsi="Times New Roman"/>
                <w:b/>
                <w:color w:val="000000"/>
                <w:sz w:val="20"/>
                <w:highlight w:val="none"/>
                <w:u w:color="auto"/>
              </w:rPr>
              <w:t xml:space="preserve"> </w:t>
            </w:r>
          </w:p>
        </w:tc>
        <w:tc>
          <w:tcPr>
            <w:tcW w:w="33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13.70</w:t>
            </w:r>
            <w:r>
              <w:rPr>
                <w:rFonts w:ascii="Times New Roman" w:hAnsi="Times New Roman"/>
                <w:b/>
                <w:color w:val="000000"/>
                <w:sz w:val="20"/>
                <w:highlight w:val="none"/>
                <w:u w:color="auto"/>
              </w:rPr>
              <w:t xml:space="preserve"> </w:t>
            </w:r>
          </w:p>
        </w:tc>
        <w:tc>
          <w:tcPr>
            <w:tcW w:w="33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4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2210201</w:t>
            </w:r>
          </w:p>
        </w:tc>
        <w:tc>
          <w:tcPr>
            <w:tcW w:w="39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住房公积金</w:t>
            </w:r>
          </w:p>
        </w:tc>
        <w:tc>
          <w:tcPr>
            <w:tcW w:w="3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13.70</w:t>
            </w:r>
            <w:r>
              <w:rPr>
                <w:rFonts w:ascii="Times New Roman" w:hAnsi="Times New Roman"/>
                <w:color w:val="000000"/>
                <w:sz w:val="20"/>
                <w:highlight w:val="none"/>
                <w:u w:color="auto"/>
              </w:rPr>
              <w:t xml:space="preserve"> </w:t>
            </w:r>
          </w:p>
        </w:tc>
        <w:tc>
          <w:tcPr>
            <w:tcW w:w="33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13.70</w:t>
            </w:r>
            <w:r>
              <w:rPr>
                <w:rFonts w:ascii="Times New Roman" w:hAnsi="Times New Roman"/>
                <w:color w:val="000000"/>
                <w:sz w:val="20"/>
                <w:highlight w:val="none"/>
                <w:u w:color="auto"/>
              </w:rPr>
              <w:t xml:space="preserve"> </w:t>
            </w:r>
          </w:p>
        </w:tc>
        <w:tc>
          <w:tcPr>
            <w:tcW w:w="33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bl>
    <w:p>
      <w:pPr>
        <w:rPr>
          <w:rFonts w:hint="default" w:cs="宋体"/>
          <w:sz w:val="21"/>
          <w:szCs w:val="21"/>
          <w:highlight w:val="none"/>
        </w:rPr>
      </w:pPr>
      <w:r>
        <w:rPr>
          <w:rFonts w:cs="宋体"/>
          <w:sz w:val="20"/>
          <w:szCs w:val="20"/>
          <w:highlight w:val="none"/>
        </w:rPr>
        <w:t>备注：1.本表反映单位本年度一般公共预算财政拨款支出情况。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p>
    <w:p>
      <w:pPr>
        <w:ind w:firstLine="630" w:firstLineChars="300"/>
        <w:rPr>
          <w:rFonts w:hint="default" w:cs="宋体"/>
          <w:sz w:val="21"/>
          <w:szCs w:val="21"/>
          <w:highlight w:val="none"/>
        </w:rPr>
      </w:pPr>
      <w:r>
        <w:rPr>
          <w:rFonts w:cs="宋体"/>
          <w:sz w:val="21"/>
          <w:szCs w:val="21"/>
          <w:highlight w:val="none"/>
        </w:rPr>
        <w:br w:type="page"/>
      </w:r>
    </w:p>
    <w:tbl>
      <w:tblPr>
        <w:tblStyle w:val="8"/>
        <w:tblW w:w="15409" w:type="dxa"/>
        <w:tblInd w:w="0" w:type="dxa"/>
        <w:tblLayout w:type="fixed"/>
        <w:tblCellMar>
          <w:top w:w="0" w:type="dxa"/>
          <w:left w:w="0" w:type="dxa"/>
          <w:bottom w:w="0" w:type="dxa"/>
          <w:right w:w="0" w:type="dxa"/>
        </w:tblCellMar>
      </w:tblPr>
      <w:tblGrid>
        <w:gridCol w:w="607"/>
        <w:gridCol w:w="2749"/>
        <w:gridCol w:w="1381"/>
        <w:gridCol w:w="838"/>
        <w:gridCol w:w="1929"/>
        <w:gridCol w:w="1661"/>
        <w:gridCol w:w="811"/>
        <w:gridCol w:w="3538"/>
        <w:gridCol w:w="1895"/>
      </w:tblGrid>
      <w:tr>
        <w:tblPrEx>
          <w:tblCellMar>
            <w:top w:w="0" w:type="dxa"/>
            <w:left w:w="0" w:type="dxa"/>
            <w:bottom w:w="0" w:type="dxa"/>
            <w:right w:w="0" w:type="dxa"/>
          </w:tblCellMar>
        </w:tblPrEx>
        <w:trPr>
          <w:trHeight w:val="90" w:hRule="atLeast"/>
        </w:trPr>
        <w:tc>
          <w:tcPr>
            <w:tcW w:w="15409"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highlight w:val="none"/>
              </w:rPr>
            </w:pPr>
            <w:r>
              <w:rPr>
                <w:rFonts w:cs="宋体"/>
                <w:b/>
                <w:color w:val="000000"/>
                <w:sz w:val="32"/>
                <w:szCs w:val="32"/>
                <w:highlight w:val="none"/>
              </w:rPr>
              <w:t>一般公共预算财政拨款基本支出决算表</w:t>
            </w:r>
          </w:p>
        </w:tc>
      </w:tr>
      <w:tr>
        <w:tblPrEx>
          <w:tblCellMar>
            <w:top w:w="0" w:type="dxa"/>
            <w:left w:w="0" w:type="dxa"/>
            <w:bottom w:w="0" w:type="dxa"/>
            <w:right w:w="0" w:type="dxa"/>
          </w:tblCellMar>
        </w:tblPrEx>
        <w:trPr>
          <w:trHeight w:val="90" w:hRule="atLeast"/>
        </w:trPr>
        <w:tc>
          <w:tcPr>
            <w:tcW w:w="7504"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垫江县长龙镇综合行政执法大队</w:t>
            </w:r>
          </w:p>
        </w:tc>
        <w:tc>
          <w:tcPr>
            <w:tcW w:w="1661"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highlight w:val="none"/>
              </w:rPr>
            </w:pPr>
          </w:p>
        </w:tc>
        <w:tc>
          <w:tcPr>
            <w:tcW w:w="811"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highlight w:val="none"/>
              </w:rPr>
            </w:pPr>
          </w:p>
        </w:tc>
        <w:tc>
          <w:tcPr>
            <w:tcW w:w="353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highlight w:val="none"/>
              </w:rPr>
            </w:pPr>
          </w:p>
        </w:tc>
        <w:tc>
          <w:tcPr>
            <w:tcW w:w="189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06</w:t>
            </w:r>
            <w:r>
              <w:rPr>
                <w:rFonts w:cs="宋体"/>
                <w:color w:val="000000"/>
                <w:sz w:val="20"/>
                <w:szCs w:val="20"/>
                <w:highlight w:val="none"/>
              </w:rPr>
              <w:t>表</w:t>
            </w:r>
          </w:p>
        </w:tc>
      </w:tr>
      <w:tr>
        <w:tblPrEx>
          <w:tblCellMar>
            <w:top w:w="0" w:type="dxa"/>
            <w:left w:w="0" w:type="dxa"/>
            <w:bottom w:w="0" w:type="dxa"/>
            <w:right w:w="0" w:type="dxa"/>
          </w:tblCellMar>
        </w:tblPrEx>
        <w:trPr>
          <w:trHeight w:val="90" w:hRule="atLeast"/>
        </w:trPr>
        <w:tc>
          <w:tcPr>
            <w:tcW w:w="7504"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highlight w:val="none"/>
              </w:rPr>
            </w:pPr>
          </w:p>
        </w:tc>
        <w:tc>
          <w:tcPr>
            <w:tcW w:w="1661"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highlight w:val="none"/>
              </w:rPr>
            </w:pPr>
          </w:p>
        </w:tc>
        <w:tc>
          <w:tcPr>
            <w:tcW w:w="811"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highlight w:val="none"/>
              </w:rPr>
            </w:pPr>
          </w:p>
        </w:tc>
        <w:tc>
          <w:tcPr>
            <w:tcW w:w="353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highlight w:val="none"/>
              </w:rPr>
            </w:pPr>
          </w:p>
        </w:tc>
        <w:tc>
          <w:tcPr>
            <w:tcW w:w="189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CellMar>
            <w:top w:w="0" w:type="dxa"/>
            <w:left w:w="0" w:type="dxa"/>
            <w:bottom w:w="0" w:type="dxa"/>
            <w:right w:w="0" w:type="dxa"/>
          </w:tblCellMar>
        </w:tblPrEx>
        <w:trPr>
          <w:trHeight w:val="90" w:hRule="atLeast"/>
        </w:trPr>
        <w:tc>
          <w:tcPr>
            <w:tcW w:w="473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人员经费</w:t>
            </w:r>
          </w:p>
        </w:tc>
        <w:tc>
          <w:tcPr>
            <w:tcW w:w="1067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公用经费</w:t>
            </w:r>
          </w:p>
        </w:tc>
      </w:tr>
      <w:tr>
        <w:tblPrEx>
          <w:tblCellMar>
            <w:top w:w="0" w:type="dxa"/>
            <w:left w:w="0" w:type="dxa"/>
            <w:bottom w:w="0" w:type="dxa"/>
            <w:right w:w="0" w:type="dxa"/>
          </w:tblCellMar>
        </w:tblPrEx>
        <w:trPr>
          <w:trHeight w:val="312" w:hRule="atLeast"/>
        </w:trPr>
        <w:tc>
          <w:tcPr>
            <w:tcW w:w="60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经济分类科目编码</w:t>
            </w:r>
          </w:p>
        </w:tc>
        <w:tc>
          <w:tcPr>
            <w:tcW w:w="274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经济分类科目（按“款”级功能分类科目）</w:t>
            </w:r>
          </w:p>
        </w:tc>
        <w:tc>
          <w:tcPr>
            <w:tcW w:w="138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金额</w:t>
            </w:r>
          </w:p>
        </w:tc>
        <w:tc>
          <w:tcPr>
            <w:tcW w:w="83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经济分类科目编码</w:t>
            </w:r>
          </w:p>
        </w:tc>
        <w:tc>
          <w:tcPr>
            <w:tcW w:w="192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经济分类科目（按“款”级功能分类科目）</w:t>
            </w:r>
          </w:p>
        </w:tc>
        <w:tc>
          <w:tcPr>
            <w:tcW w:w="16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金额</w:t>
            </w:r>
          </w:p>
        </w:tc>
        <w:tc>
          <w:tcPr>
            <w:tcW w:w="81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经济分类科目编码</w:t>
            </w:r>
          </w:p>
        </w:tc>
        <w:tc>
          <w:tcPr>
            <w:tcW w:w="353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经济分类科目（按“款”级功能分类科目）</w:t>
            </w:r>
          </w:p>
        </w:tc>
        <w:tc>
          <w:tcPr>
            <w:tcW w:w="1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金额</w:t>
            </w:r>
          </w:p>
        </w:tc>
      </w:tr>
      <w:tr>
        <w:tblPrEx>
          <w:tblCellMar>
            <w:top w:w="0" w:type="dxa"/>
            <w:left w:w="0" w:type="dxa"/>
            <w:bottom w:w="0" w:type="dxa"/>
            <w:right w:w="0" w:type="dxa"/>
          </w:tblCellMar>
        </w:tblPrEx>
        <w:trPr>
          <w:trHeight w:val="312" w:hRule="atLeast"/>
        </w:trPr>
        <w:tc>
          <w:tcPr>
            <w:tcW w:w="60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274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138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83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19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16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81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353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1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r>
      <w:tr>
        <w:tblPrEx>
          <w:tblCellMar>
            <w:top w:w="0" w:type="dxa"/>
            <w:left w:w="0" w:type="dxa"/>
            <w:bottom w:w="0" w:type="dxa"/>
            <w:right w:w="0" w:type="dxa"/>
          </w:tblCellMar>
        </w:tblPrEx>
        <w:trPr>
          <w:trHeight w:val="9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301</w:t>
            </w:r>
          </w:p>
        </w:tc>
        <w:tc>
          <w:tcPr>
            <w:tcW w:w="2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工资福利支出</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180.28</w:t>
            </w:r>
            <w:r>
              <w:rPr>
                <w:rFonts w:ascii="Times New Roman" w:hAnsi="Times New Roman"/>
                <w:color w:val="000000"/>
                <w:sz w:val="18"/>
                <w:highlight w:val="none"/>
                <w:u w:color="auto"/>
              </w:rPr>
              <w:t xml:space="preserve"> </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302</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商品和服务支出</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3.92</w:t>
            </w:r>
            <w:r>
              <w:rPr>
                <w:rFonts w:ascii="Times New Roman" w:hAnsi="Times New Roman"/>
                <w:color w:val="000000"/>
                <w:sz w:val="18"/>
                <w:highlight w:val="none"/>
                <w:u w:color="auto"/>
              </w:rPr>
              <w:t xml:space="preserve"> </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310</w:t>
            </w:r>
          </w:p>
        </w:tc>
        <w:tc>
          <w:tcPr>
            <w:tcW w:w="3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资本性支出</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30101</w:t>
            </w:r>
          </w:p>
        </w:tc>
        <w:tc>
          <w:tcPr>
            <w:tcW w:w="2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基本工资</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37.00</w:t>
            </w:r>
            <w:r>
              <w:rPr>
                <w:rFonts w:ascii="Times New Roman" w:hAnsi="Times New Roman"/>
                <w:color w:val="000000"/>
                <w:sz w:val="18"/>
                <w:highlight w:val="none"/>
                <w:u w:color="auto"/>
              </w:rPr>
              <w:t xml:space="preserve"> </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30201</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办公费</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31001</w:t>
            </w:r>
          </w:p>
        </w:tc>
        <w:tc>
          <w:tcPr>
            <w:tcW w:w="3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房屋建筑物购建</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30102</w:t>
            </w:r>
          </w:p>
        </w:tc>
        <w:tc>
          <w:tcPr>
            <w:tcW w:w="2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津贴补贴</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5.69</w:t>
            </w:r>
            <w:r>
              <w:rPr>
                <w:rFonts w:ascii="Times New Roman" w:hAnsi="Times New Roman"/>
                <w:color w:val="000000"/>
                <w:sz w:val="18"/>
                <w:highlight w:val="none"/>
                <w:u w:color="auto"/>
              </w:rPr>
              <w:t xml:space="preserve"> </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30202</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印刷费</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31002</w:t>
            </w:r>
          </w:p>
        </w:tc>
        <w:tc>
          <w:tcPr>
            <w:tcW w:w="3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办公设备购置</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30103</w:t>
            </w:r>
          </w:p>
        </w:tc>
        <w:tc>
          <w:tcPr>
            <w:tcW w:w="2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奖金</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30203</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咨询费</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31003</w:t>
            </w:r>
          </w:p>
        </w:tc>
        <w:tc>
          <w:tcPr>
            <w:tcW w:w="3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专用设备购置</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30106</w:t>
            </w:r>
          </w:p>
        </w:tc>
        <w:tc>
          <w:tcPr>
            <w:tcW w:w="2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伙食补助费</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30204</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手续费</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31005</w:t>
            </w:r>
          </w:p>
        </w:tc>
        <w:tc>
          <w:tcPr>
            <w:tcW w:w="3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基础设施建设</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30107</w:t>
            </w:r>
          </w:p>
        </w:tc>
        <w:tc>
          <w:tcPr>
            <w:tcW w:w="2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绩效工资</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81.35</w:t>
            </w:r>
            <w:r>
              <w:rPr>
                <w:rFonts w:ascii="Times New Roman" w:hAnsi="Times New Roman"/>
                <w:color w:val="000000"/>
                <w:sz w:val="18"/>
                <w:highlight w:val="none"/>
                <w:u w:color="auto"/>
              </w:rPr>
              <w:t xml:space="preserve"> </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30205</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水费</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31006</w:t>
            </w:r>
          </w:p>
        </w:tc>
        <w:tc>
          <w:tcPr>
            <w:tcW w:w="3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大型修缮</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30108</w:t>
            </w:r>
          </w:p>
        </w:tc>
        <w:tc>
          <w:tcPr>
            <w:tcW w:w="2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机关事业单位基本养老保险缴费</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22.03</w:t>
            </w:r>
            <w:r>
              <w:rPr>
                <w:rFonts w:ascii="Times New Roman" w:hAnsi="Times New Roman"/>
                <w:color w:val="000000"/>
                <w:sz w:val="18"/>
                <w:highlight w:val="none"/>
                <w:u w:color="auto"/>
              </w:rPr>
              <w:t xml:space="preserve"> </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30206</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电费</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31007</w:t>
            </w:r>
          </w:p>
        </w:tc>
        <w:tc>
          <w:tcPr>
            <w:tcW w:w="3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信息网络及软件购置更新</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30109</w:t>
            </w:r>
          </w:p>
        </w:tc>
        <w:tc>
          <w:tcPr>
            <w:tcW w:w="2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职业年金缴费</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11.06</w:t>
            </w:r>
            <w:r>
              <w:rPr>
                <w:rFonts w:ascii="Times New Roman" w:hAnsi="Times New Roman"/>
                <w:color w:val="000000"/>
                <w:sz w:val="18"/>
                <w:highlight w:val="none"/>
                <w:u w:color="auto"/>
              </w:rPr>
              <w:t xml:space="preserve"> </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30207</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邮电费</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31008</w:t>
            </w:r>
          </w:p>
        </w:tc>
        <w:tc>
          <w:tcPr>
            <w:tcW w:w="3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物资储备</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30110</w:t>
            </w:r>
          </w:p>
        </w:tc>
        <w:tc>
          <w:tcPr>
            <w:tcW w:w="2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职工基本医疗保险缴费</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5.47</w:t>
            </w:r>
            <w:r>
              <w:rPr>
                <w:rFonts w:ascii="Times New Roman" w:hAnsi="Times New Roman"/>
                <w:color w:val="000000"/>
                <w:sz w:val="18"/>
                <w:highlight w:val="none"/>
                <w:u w:color="auto"/>
              </w:rPr>
              <w:t xml:space="preserve"> </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30208</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取暖费</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31009</w:t>
            </w:r>
          </w:p>
        </w:tc>
        <w:tc>
          <w:tcPr>
            <w:tcW w:w="3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土地补偿</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30111</w:t>
            </w:r>
          </w:p>
        </w:tc>
        <w:tc>
          <w:tcPr>
            <w:tcW w:w="2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公务员医疗补助缴费</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30209</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物业管理费</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31010</w:t>
            </w:r>
          </w:p>
        </w:tc>
        <w:tc>
          <w:tcPr>
            <w:tcW w:w="3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安置补助</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30112</w:t>
            </w:r>
          </w:p>
        </w:tc>
        <w:tc>
          <w:tcPr>
            <w:tcW w:w="2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其他社会保障缴费</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1.17</w:t>
            </w:r>
            <w:r>
              <w:rPr>
                <w:rFonts w:ascii="Times New Roman" w:hAnsi="Times New Roman"/>
                <w:color w:val="000000"/>
                <w:sz w:val="18"/>
                <w:highlight w:val="none"/>
                <w:u w:color="auto"/>
              </w:rPr>
              <w:t xml:space="preserve"> </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30211</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差旅费</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3.09</w:t>
            </w:r>
            <w:r>
              <w:rPr>
                <w:rFonts w:ascii="Times New Roman" w:hAnsi="Times New Roman"/>
                <w:color w:val="000000"/>
                <w:sz w:val="18"/>
                <w:highlight w:val="none"/>
                <w:u w:color="auto"/>
              </w:rPr>
              <w:t xml:space="preserve"> </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31011</w:t>
            </w:r>
          </w:p>
        </w:tc>
        <w:tc>
          <w:tcPr>
            <w:tcW w:w="3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地上附着物和青苗补偿</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30113</w:t>
            </w:r>
          </w:p>
        </w:tc>
        <w:tc>
          <w:tcPr>
            <w:tcW w:w="2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住房公积金</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13.70</w:t>
            </w:r>
            <w:r>
              <w:rPr>
                <w:rFonts w:ascii="Times New Roman" w:hAnsi="Times New Roman"/>
                <w:color w:val="000000"/>
                <w:sz w:val="18"/>
                <w:highlight w:val="none"/>
                <w:u w:color="auto"/>
              </w:rPr>
              <w:t xml:space="preserve"> </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30212</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因公出国（境）费用</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31012</w:t>
            </w:r>
          </w:p>
        </w:tc>
        <w:tc>
          <w:tcPr>
            <w:tcW w:w="3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拆迁补偿</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30114</w:t>
            </w:r>
          </w:p>
        </w:tc>
        <w:tc>
          <w:tcPr>
            <w:tcW w:w="2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医疗费</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1.55</w:t>
            </w:r>
            <w:r>
              <w:rPr>
                <w:rFonts w:ascii="Times New Roman" w:hAnsi="Times New Roman"/>
                <w:color w:val="000000"/>
                <w:sz w:val="18"/>
                <w:highlight w:val="none"/>
                <w:u w:color="auto"/>
              </w:rPr>
              <w:t xml:space="preserve"> </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30213</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维修（护）费</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31013</w:t>
            </w:r>
          </w:p>
        </w:tc>
        <w:tc>
          <w:tcPr>
            <w:tcW w:w="3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公务用车购置</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30199</w:t>
            </w:r>
          </w:p>
        </w:tc>
        <w:tc>
          <w:tcPr>
            <w:tcW w:w="2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其他工资福利支出</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1.28</w:t>
            </w:r>
            <w:r>
              <w:rPr>
                <w:rFonts w:ascii="Times New Roman" w:hAnsi="Times New Roman"/>
                <w:color w:val="000000"/>
                <w:sz w:val="18"/>
                <w:highlight w:val="none"/>
                <w:u w:color="auto"/>
              </w:rPr>
              <w:t xml:space="preserve"> </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30214</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租赁费</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31019</w:t>
            </w:r>
          </w:p>
        </w:tc>
        <w:tc>
          <w:tcPr>
            <w:tcW w:w="3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其他交通工具购置</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303</w:t>
            </w:r>
          </w:p>
        </w:tc>
        <w:tc>
          <w:tcPr>
            <w:tcW w:w="2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对个人和家庭的补助</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1.88</w:t>
            </w:r>
            <w:r>
              <w:rPr>
                <w:rFonts w:ascii="Times New Roman" w:hAnsi="Times New Roman"/>
                <w:color w:val="000000"/>
                <w:sz w:val="18"/>
                <w:highlight w:val="none"/>
                <w:u w:color="auto"/>
              </w:rPr>
              <w:t xml:space="preserve"> </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30215</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会议费</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31021</w:t>
            </w:r>
          </w:p>
        </w:tc>
        <w:tc>
          <w:tcPr>
            <w:tcW w:w="3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文物和陈列品购置</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30301</w:t>
            </w:r>
          </w:p>
        </w:tc>
        <w:tc>
          <w:tcPr>
            <w:tcW w:w="2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离休费</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30216</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培训费</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31022</w:t>
            </w:r>
          </w:p>
        </w:tc>
        <w:tc>
          <w:tcPr>
            <w:tcW w:w="3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无形资产购置</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30302</w:t>
            </w:r>
          </w:p>
        </w:tc>
        <w:tc>
          <w:tcPr>
            <w:tcW w:w="2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退休费</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30217</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公务接待费</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31099</w:t>
            </w:r>
          </w:p>
        </w:tc>
        <w:tc>
          <w:tcPr>
            <w:tcW w:w="3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其他资本性支出</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30303</w:t>
            </w:r>
          </w:p>
        </w:tc>
        <w:tc>
          <w:tcPr>
            <w:tcW w:w="2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退职（役）费</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30218</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专用材料费</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312</w:t>
            </w:r>
          </w:p>
        </w:tc>
        <w:tc>
          <w:tcPr>
            <w:tcW w:w="3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对企业补助</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30304</w:t>
            </w:r>
          </w:p>
        </w:tc>
        <w:tc>
          <w:tcPr>
            <w:tcW w:w="2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抚恤金</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30224</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被装购置费</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31201</w:t>
            </w:r>
          </w:p>
        </w:tc>
        <w:tc>
          <w:tcPr>
            <w:tcW w:w="3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资本金注入</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30305</w:t>
            </w:r>
          </w:p>
        </w:tc>
        <w:tc>
          <w:tcPr>
            <w:tcW w:w="2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生活补助</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30225</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专用燃料费</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31203</w:t>
            </w:r>
          </w:p>
        </w:tc>
        <w:tc>
          <w:tcPr>
            <w:tcW w:w="3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政府投资基金股权投资</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30306</w:t>
            </w:r>
          </w:p>
        </w:tc>
        <w:tc>
          <w:tcPr>
            <w:tcW w:w="2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救济费</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30226</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劳务费</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31204</w:t>
            </w:r>
          </w:p>
        </w:tc>
        <w:tc>
          <w:tcPr>
            <w:tcW w:w="3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费用补贴</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30307</w:t>
            </w:r>
          </w:p>
        </w:tc>
        <w:tc>
          <w:tcPr>
            <w:tcW w:w="2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医疗费补助</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30227</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委托业务费</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31205</w:t>
            </w:r>
          </w:p>
        </w:tc>
        <w:tc>
          <w:tcPr>
            <w:tcW w:w="3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利息补贴</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30308</w:t>
            </w:r>
          </w:p>
        </w:tc>
        <w:tc>
          <w:tcPr>
            <w:tcW w:w="2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助学金</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30228</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工会经费</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0.80</w:t>
            </w:r>
            <w:r>
              <w:rPr>
                <w:rFonts w:ascii="Times New Roman" w:hAnsi="Times New Roman"/>
                <w:color w:val="000000"/>
                <w:sz w:val="18"/>
                <w:highlight w:val="none"/>
                <w:u w:color="auto"/>
              </w:rPr>
              <w:t xml:space="preserve"> </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31206</w:t>
            </w:r>
          </w:p>
        </w:tc>
        <w:tc>
          <w:tcPr>
            <w:tcW w:w="3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highlight w:val="none"/>
              </w:rPr>
            </w:pPr>
            <w:r>
              <w:rPr>
                <w:rFonts w:cs="宋体"/>
                <w:color w:val="000000"/>
                <w:sz w:val="18"/>
                <w:szCs w:val="18"/>
                <w:highlight w:val="none"/>
              </w:rPr>
              <w:t>其他资本性补助</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30309</w:t>
            </w:r>
          </w:p>
        </w:tc>
        <w:tc>
          <w:tcPr>
            <w:tcW w:w="2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奖励金</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1.88</w:t>
            </w:r>
            <w:r>
              <w:rPr>
                <w:rFonts w:ascii="Times New Roman" w:hAnsi="Times New Roman"/>
                <w:color w:val="000000"/>
                <w:sz w:val="18"/>
                <w:highlight w:val="none"/>
                <w:u w:color="auto"/>
              </w:rPr>
              <w:t xml:space="preserve"> </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30229</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福利费</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31299</w:t>
            </w:r>
          </w:p>
        </w:tc>
        <w:tc>
          <w:tcPr>
            <w:tcW w:w="3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其他对企业补助</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30310</w:t>
            </w:r>
          </w:p>
        </w:tc>
        <w:tc>
          <w:tcPr>
            <w:tcW w:w="2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个人农业生产补贴</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30231</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公务用车运行维护费</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399</w:t>
            </w:r>
          </w:p>
        </w:tc>
        <w:tc>
          <w:tcPr>
            <w:tcW w:w="3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其他支出</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30311</w:t>
            </w:r>
          </w:p>
        </w:tc>
        <w:tc>
          <w:tcPr>
            <w:tcW w:w="2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代缴社会保险费</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30239</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其他交通费用</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39907</w:t>
            </w:r>
          </w:p>
        </w:tc>
        <w:tc>
          <w:tcPr>
            <w:tcW w:w="3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国家赔偿费用支出</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30399</w:t>
            </w:r>
          </w:p>
        </w:tc>
        <w:tc>
          <w:tcPr>
            <w:tcW w:w="2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其他对个人和家庭的补助</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30240</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税金及附加费用</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39908</w:t>
            </w:r>
          </w:p>
        </w:tc>
        <w:tc>
          <w:tcPr>
            <w:tcW w:w="3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对民间非营利组织和群众性自治组织补贴</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highlight w:val="none"/>
              </w:rPr>
            </w:pPr>
          </w:p>
        </w:tc>
        <w:tc>
          <w:tcPr>
            <w:tcW w:w="2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highlight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highlight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30299</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其他商品和服务支出</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0.03</w:t>
            </w:r>
            <w:r>
              <w:rPr>
                <w:rFonts w:ascii="Times New Roman" w:hAnsi="Times New Roman"/>
                <w:color w:val="000000"/>
                <w:sz w:val="18"/>
                <w:highlight w:val="none"/>
                <w:u w:color="auto"/>
              </w:rPr>
              <w:t xml:space="preserve"> </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39909</w:t>
            </w:r>
          </w:p>
        </w:tc>
        <w:tc>
          <w:tcPr>
            <w:tcW w:w="3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经常性赠与</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highlight w:val="none"/>
              </w:rPr>
            </w:pPr>
          </w:p>
        </w:tc>
        <w:tc>
          <w:tcPr>
            <w:tcW w:w="2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highlight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highlight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307</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债务利息及费用支出</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39910</w:t>
            </w:r>
          </w:p>
        </w:tc>
        <w:tc>
          <w:tcPr>
            <w:tcW w:w="3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资本性赠与</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highlight w:val="none"/>
              </w:rPr>
            </w:pPr>
          </w:p>
        </w:tc>
        <w:tc>
          <w:tcPr>
            <w:tcW w:w="2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highlight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highlight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30701</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国内债务付息</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39999</w:t>
            </w:r>
          </w:p>
        </w:tc>
        <w:tc>
          <w:tcPr>
            <w:tcW w:w="3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其他支出</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highlight w:val="none"/>
              </w:rPr>
            </w:pPr>
          </w:p>
        </w:tc>
        <w:tc>
          <w:tcPr>
            <w:tcW w:w="2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highlight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highlight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30702</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国外债务付息</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highlight w:val="none"/>
              </w:rPr>
            </w:pPr>
          </w:p>
        </w:tc>
        <w:tc>
          <w:tcPr>
            <w:tcW w:w="3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highlight w:val="none"/>
              </w:rPr>
            </w:pP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r>
      <w:tr>
        <w:tblPrEx>
          <w:tblCellMar>
            <w:top w:w="0" w:type="dxa"/>
            <w:left w:w="0" w:type="dxa"/>
            <w:bottom w:w="0" w:type="dxa"/>
            <w:right w:w="0" w:type="dxa"/>
          </w:tblCellMar>
        </w:tblPrEx>
        <w:trPr>
          <w:trHeight w:val="9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highlight w:val="none"/>
              </w:rPr>
            </w:pPr>
          </w:p>
        </w:tc>
        <w:tc>
          <w:tcPr>
            <w:tcW w:w="2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highlight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highlight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30703</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国内债务发行费用</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highlight w:val="none"/>
              </w:rPr>
            </w:pPr>
          </w:p>
        </w:tc>
        <w:tc>
          <w:tcPr>
            <w:tcW w:w="3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highlight w:val="none"/>
              </w:rPr>
            </w:pP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r>
      <w:tr>
        <w:tblPrEx>
          <w:tblCellMar>
            <w:top w:w="0" w:type="dxa"/>
            <w:left w:w="0" w:type="dxa"/>
            <w:bottom w:w="0" w:type="dxa"/>
            <w:right w:w="0" w:type="dxa"/>
          </w:tblCellMar>
        </w:tblPrEx>
        <w:trPr>
          <w:trHeight w:val="155"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highlight w:val="none"/>
              </w:rPr>
            </w:pPr>
          </w:p>
        </w:tc>
        <w:tc>
          <w:tcPr>
            <w:tcW w:w="2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highlight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highlight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30704</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highlight w:val="none"/>
              </w:rPr>
            </w:pPr>
            <w:r>
              <w:rPr>
                <w:rFonts w:cs="宋体"/>
                <w:color w:val="000000"/>
                <w:sz w:val="18"/>
                <w:szCs w:val="18"/>
                <w:highlight w:val="none"/>
              </w:rPr>
              <w:t xml:space="preserve">  国外债务发行费用</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highlight w:val="none"/>
              </w:rPr>
            </w:pPr>
          </w:p>
        </w:tc>
        <w:tc>
          <w:tcPr>
            <w:tcW w:w="3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highlight w:val="none"/>
              </w:rPr>
            </w:pP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r>
      <w:tr>
        <w:tblPrEx>
          <w:tblCellMar>
            <w:top w:w="0" w:type="dxa"/>
            <w:left w:w="0" w:type="dxa"/>
            <w:bottom w:w="0" w:type="dxa"/>
            <w:right w:w="0" w:type="dxa"/>
          </w:tblCellMar>
        </w:tblPrEx>
        <w:trPr>
          <w:trHeight w:val="310" w:hRule="atLeast"/>
        </w:trPr>
        <w:tc>
          <w:tcPr>
            <w:tcW w:w="335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人员经费合计</w:t>
            </w:r>
          </w:p>
        </w:tc>
        <w:tc>
          <w:tcPr>
            <w:tcW w:w="13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182.16</w:t>
            </w:r>
            <w:r>
              <w:rPr>
                <w:rFonts w:ascii="Times New Roman" w:hAnsi="Times New Roman"/>
                <w:color w:val="000000"/>
                <w:sz w:val="18"/>
                <w:highlight w:val="none"/>
                <w:u w:color="auto"/>
              </w:rPr>
              <w:t xml:space="preserve"> </w:t>
            </w:r>
          </w:p>
        </w:tc>
        <w:tc>
          <w:tcPr>
            <w:tcW w:w="8777"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公用经费合计</w:t>
            </w:r>
          </w:p>
        </w:tc>
        <w:tc>
          <w:tcPr>
            <w:tcW w:w="1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3.92</w:t>
            </w:r>
            <w:r>
              <w:rPr>
                <w:rFonts w:ascii="Times New Roman" w:hAnsi="Times New Roman"/>
                <w:color w:val="000000"/>
                <w:sz w:val="18"/>
                <w:highlight w:val="none"/>
                <w:u w:color="auto"/>
              </w:rPr>
              <w:t xml:space="preserve"> </w:t>
            </w:r>
          </w:p>
        </w:tc>
      </w:tr>
    </w:tbl>
    <w:p>
      <w:pPr>
        <w:spacing w:line="280" w:lineRule="exact"/>
        <w:rPr>
          <w:rFonts w:hint="default" w:cs="宋体"/>
          <w:sz w:val="20"/>
          <w:szCs w:val="20"/>
          <w:highlight w:val="none"/>
        </w:rPr>
      </w:pPr>
      <w:r>
        <w:rPr>
          <w:rFonts w:cs="宋体"/>
          <w:sz w:val="20"/>
          <w:szCs w:val="20"/>
          <w:highlight w:val="none"/>
        </w:rPr>
        <w:t>备注：1.本表反映单位本年度一般公共预算财政拨款基本支出明细情况。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1"/>
          <w:szCs w:val="21"/>
          <w:highlight w:val="none"/>
        </w:rPr>
        <w:br w:type="page"/>
      </w:r>
    </w:p>
    <w:tbl>
      <w:tblPr>
        <w:tblStyle w:val="8"/>
        <w:tblW w:w="15428" w:type="dxa"/>
        <w:tblInd w:w="0" w:type="dxa"/>
        <w:tblLayout w:type="fixed"/>
        <w:tblCellMar>
          <w:top w:w="0" w:type="dxa"/>
          <w:left w:w="0" w:type="dxa"/>
          <w:bottom w:w="0" w:type="dxa"/>
          <w:right w:w="0" w:type="dxa"/>
        </w:tblCellMar>
      </w:tblPr>
      <w:tblGrid>
        <w:gridCol w:w="1647"/>
        <w:gridCol w:w="3307"/>
        <w:gridCol w:w="1713"/>
        <w:gridCol w:w="1713"/>
        <w:gridCol w:w="1713"/>
        <w:gridCol w:w="1713"/>
        <w:gridCol w:w="1777"/>
        <w:gridCol w:w="1845"/>
      </w:tblGrid>
      <w:tr>
        <w:tblPrEx>
          <w:tblCellMar>
            <w:top w:w="0" w:type="dxa"/>
            <w:left w:w="0" w:type="dxa"/>
            <w:bottom w:w="0" w:type="dxa"/>
            <w:right w:w="0" w:type="dxa"/>
          </w:tblCellMar>
        </w:tblPrEx>
        <w:trPr>
          <w:trHeight w:val="644" w:hRule="atLeast"/>
        </w:trPr>
        <w:tc>
          <w:tcPr>
            <w:tcW w:w="1542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highlight w:val="none"/>
              </w:rPr>
            </w:pPr>
            <w:r>
              <w:rPr>
                <w:rFonts w:cs="宋体"/>
                <w:b/>
                <w:color w:val="000000"/>
                <w:sz w:val="32"/>
                <w:szCs w:val="32"/>
                <w:highlight w:val="none"/>
              </w:rPr>
              <w:t>政府性基金预算财政拨款收入支出决算表</w:t>
            </w:r>
          </w:p>
        </w:tc>
      </w:tr>
      <w:tr>
        <w:tblPrEx>
          <w:tblCellMar>
            <w:top w:w="0" w:type="dxa"/>
            <w:left w:w="0" w:type="dxa"/>
            <w:bottom w:w="0" w:type="dxa"/>
            <w:right w:w="0" w:type="dxa"/>
          </w:tblCellMar>
        </w:tblPrEx>
        <w:trPr>
          <w:trHeight w:val="329" w:hRule="atLeast"/>
        </w:trPr>
        <w:tc>
          <w:tcPr>
            <w:tcW w:w="6667"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垫江县长龙镇综合行政执法大队</w:t>
            </w:r>
          </w:p>
        </w:tc>
        <w:tc>
          <w:tcPr>
            <w:tcW w:w="171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171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171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177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184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07</w:t>
            </w:r>
            <w:r>
              <w:rPr>
                <w:rFonts w:cs="宋体"/>
                <w:color w:val="000000"/>
                <w:sz w:val="20"/>
                <w:szCs w:val="20"/>
                <w:highlight w:val="none"/>
              </w:rPr>
              <w:t>表</w:t>
            </w:r>
          </w:p>
        </w:tc>
      </w:tr>
      <w:tr>
        <w:tblPrEx>
          <w:tblCellMar>
            <w:top w:w="0" w:type="dxa"/>
            <w:left w:w="0" w:type="dxa"/>
            <w:bottom w:w="0" w:type="dxa"/>
            <w:right w:w="0" w:type="dxa"/>
          </w:tblCellMar>
        </w:tblPrEx>
        <w:trPr>
          <w:trHeight w:val="329" w:hRule="atLeast"/>
        </w:trPr>
        <w:tc>
          <w:tcPr>
            <w:tcW w:w="666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171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171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171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177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184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CellMar>
            <w:top w:w="0" w:type="dxa"/>
            <w:left w:w="0" w:type="dxa"/>
            <w:bottom w:w="0" w:type="dxa"/>
            <w:right w:w="0" w:type="dxa"/>
          </w:tblCellMar>
        </w:tblPrEx>
        <w:trPr>
          <w:trHeight w:val="339" w:hRule="atLeast"/>
        </w:trPr>
        <w:tc>
          <w:tcPr>
            <w:tcW w:w="49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w:t>
            </w:r>
          </w:p>
        </w:tc>
        <w:tc>
          <w:tcPr>
            <w:tcW w:w="1713"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年初结转和结余</w:t>
            </w: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本年收入</w:t>
            </w:r>
          </w:p>
        </w:tc>
        <w:tc>
          <w:tcPr>
            <w:tcW w:w="520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本年支出</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年末结转和结余</w:t>
            </w:r>
          </w:p>
        </w:tc>
      </w:tr>
      <w:tr>
        <w:tblPrEx>
          <w:tblCellMar>
            <w:top w:w="0" w:type="dxa"/>
            <w:left w:w="0" w:type="dxa"/>
            <w:bottom w:w="0" w:type="dxa"/>
            <w:right w:w="0" w:type="dxa"/>
          </w:tblCellMar>
        </w:tblPrEx>
        <w:trPr>
          <w:trHeight w:val="335" w:hRule="atLeast"/>
        </w:trPr>
        <w:tc>
          <w:tcPr>
            <w:tcW w:w="16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33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项目（按“项”级功能分类科目）</w:t>
            </w:r>
          </w:p>
        </w:tc>
        <w:tc>
          <w:tcPr>
            <w:tcW w:w="171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1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171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基本支出</w:t>
            </w:r>
          </w:p>
        </w:tc>
        <w:tc>
          <w:tcPr>
            <w:tcW w:w="177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项目支出</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35" w:hRule="atLeast"/>
        </w:trPr>
        <w:tc>
          <w:tcPr>
            <w:tcW w:w="16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3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1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1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1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7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645" w:hRule="atLeast"/>
        </w:trPr>
        <w:tc>
          <w:tcPr>
            <w:tcW w:w="16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3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1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1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1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7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39" w:hRule="atLeast"/>
        </w:trPr>
        <w:tc>
          <w:tcPr>
            <w:tcW w:w="495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1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7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9" w:hRule="atLeast"/>
        </w:trPr>
        <w:tc>
          <w:tcPr>
            <w:tcW w:w="164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highlight w:val="none"/>
              </w:rPr>
            </w:pP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highlight w:val="none"/>
              </w:rPr>
            </w:pPr>
          </w:p>
        </w:tc>
        <w:tc>
          <w:tcPr>
            <w:tcW w:w="1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7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bl>
    <w:p>
      <w:pPr>
        <w:rPr>
          <w:rFonts w:hint="default" w:cs="宋体"/>
          <w:sz w:val="21"/>
          <w:szCs w:val="21"/>
          <w:highlight w:val="none"/>
        </w:rPr>
      </w:pPr>
      <w:r>
        <w:rPr>
          <w:rFonts w:cs="宋体"/>
          <w:sz w:val="20"/>
          <w:szCs w:val="20"/>
          <w:highlight w:val="none"/>
        </w:rPr>
        <w:t>备注：本表反映单位本年度政府性基金预算财政拨款收入支出及结转和结余情况。本单位无政府性基金收支，故本表无数据。</w:t>
      </w:r>
      <w:r>
        <w:rPr>
          <w:rFonts w:cs="宋体"/>
          <w:sz w:val="20"/>
          <w:szCs w:val="20"/>
          <w:highlight w:val="none"/>
        </w:rPr>
        <w:br w:type="textWrapping"/>
      </w:r>
      <w:r>
        <w:rPr>
          <w:rFonts w:cs="宋体"/>
          <w:sz w:val="20"/>
          <w:szCs w:val="20"/>
          <w:highlight w:val="none"/>
        </w:rPr>
        <w:br w:type="textWrapping"/>
      </w:r>
    </w:p>
    <w:p>
      <w:pPr>
        <w:rPr>
          <w:rFonts w:hint="default" w:cs="宋体"/>
          <w:sz w:val="21"/>
          <w:szCs w:val="21"/>
          <w:highlight w:val="none"/>
        </w:rPr>
      </w:pPr>
      <w:r>
        <w:rPr>
          <w:rFonts w:cs="宋体"/>
          <w:sz w:val="21"/>
          <w:szCs w:val="21"/>
          <w:highlight w:val="none"/>
        </w:rPr>
        <w:br w:type="page"/>
      </w:r>
    </w:p>
    <w:tbl>
      <w:tblPr>
        <w:tblStyle w:val="8"/>
        <w:tblW w:w="15428" w:type="dxa"/>
        <w:tblInd w:w="0" w:type="dxa"/>
        <w:tblLayout w:type="fixed"/>
        <w:tblCellMar>
          <w:top w:w="0" w:type="dxa"/>
          <w:left w:w="0" w:type="dxa"/>
          <w:bottom w:w="0" w:type="dxa"/>
          <w:right w:w="0" w:type="dxa"/>
        </w:tblCellMar>
      </w:tblPr>
      <w:tblGrid>
        <w:gridCol w:w="2015"/>
        <w:gridCol w:w="2937"/>
        <w:gridCol w:w="3286"/>
        <w:gridCol w:w="201"/>
        <w:gridCol w:w="3487"/>
        <w:gridCol w:w="77"/>
        <w:gridCol w:w="3425"/>
      </w:tblGrid>
      <w:tr>
        <w:tblPrEx>
          <w:tblCellMar>
            <w:top w:w="0" w:type="dxa"/>
            <w:left w:w="0" w:type="dxa"/>
            <w:bottom w:w="0" w:type="dxa"/>
            <w:right w:w="0" w:type="dxa"/>
          </w:tblCellMar>
        </w:tblPrEx>
        <w:trPr>
          <w:trHeight w:val="650" w:hRule="atLeast"/>
        </w:trPr>
        <w:tc>
          <w:tcPr>
            <w:tcW w:w="1542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highlight w:val="none"/>
              </w:rPr>
            </w:pPr>
            <w:r>
              <w:rPr>
                <w:rFonts w:cs="宋体"/>
                <w:b/>
                <w:color w:val="000000"/>
                <w:sz w:val="32"/>
                <w:szCs w:val="32"/>
                <w:highlight w:val="none"/>
              </w:rPr>
              <w:t>国有资本经营预算财政拨款支出决算表</w:t>
            </w:r>
          </w:p>
        </w:tc>
      </w:tr>
      <w:tr>
        <w:tblPrEx>
          <w:tblCellMar>
            <w:top w:w="0" w:type="dxa"/>
            <w:left w:w="0" w:type="dxa"/>
            <w:bottom w:w="0" w:type="dxa"/>
            <w:right w:w="0" w:type="dxa"/>
          </w:tblCellMar>
        </w:tblPrEx>
        <w:trPr>
          <w:trHeight w:val="332" w:hRule="atLeast"/>
        </w:trPr>
        <w:tc>
          <w:tcPr>
            <w:tcW w:w="8238"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垫江县长龙镇综合行政执法大队</w:t>
            </w:r>
          </w:p>
        </w:tc>
        <w:tc>
          <w:tcPr>
            <w:tcW w:w="3765"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342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08</w:t>
            </w:r>
            <w:r>
              <w:rPr>
                <w:rFonts w:cs="宋体"/>
                <w:color w:val="000000"/>
                <w:sz w:val="20"/>
                <w:szCs w:val="20"/>
                <w:highlight w:val="none"/>
              </w:rPr>
              <w:t>表</w:t>
            </w:r>
          </w:p>
        </w:tc>
      </w:tr>
      <w:tr>
        <w:tblPrEx>
          <w:tblCellMar>
            <w:top w:w="0" w:type="dxa"/>
            <w:left w:w="0" w:type="dxa"/>
            <w:bottom w:w="0" w:type="dxa"/>
            <w:right w:w="0" w:type="dxa"/>
          </w:tblCellMar>
        </w:tblPrEx>
        <w:trPr>
          <w:trHeight w:val="332" w:hRule="atLeast"/>
        </w:trPr>
        <w:tc>
          <w:tcPr>
            <w:tcW w:w="823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3765"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highlight w:val="none"/>
              </w:rPr>
            </w:pPr>
          </w:p>
        </w:tc>
        <w:tc>
          <w:tcPr>
            <w:tcW w:w="342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CellMar>
            <w:top w:w="0" w:type="dxa"/>
            <w:left w:w="0" w:type="dxa"/>
            <w:bottom w:w="0" w:type="dxa"/>
            <w:right w:w="0" w:type="dxa"/>
          </w:tblCellMar>
        </w:tblPrEx>
        <w:trPr>
          <w:trHeight w:val="422" w:hRule="atLeast"/>
        </w:trPr>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highlight w:val="none"/>
              </w:rPr>
            </w:pPr>
            <w:r>
              <w:rPr>
                <w:rFonts w:cs="宋体"/>
                <w:b/>
                <w:color w:val="000000"/>
                <w:sz w:val="20"/>
                <w:szCs w:val="20"/>
                <w:highlight w:val="none"/>
              </w:rPr>
              <w:t>项目</w:t>
            </w:r>
          </w:p>
        </w:tc>
        <w:tc>
          <w:tcPr>
            <w:tcW w:w="10476"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highlight w:val="none"/>
              </w:rPr>
            </w:pPr>
            <w:r>
              <w:rPr>
                <w:rFonts w:cs="宋体"/>
                <w:b/>
                <w:color w:val="000000"/>
                <w:sz w:val="20"/>
                <w:szCs w:val="20"/>
                <w:highlight w:val="none"/>
              </w:rPr>
              <w:t>本年支出</w:t>
            </w:r>
          </w:p>
        </w:tc>
      </w:tr>
      <w:tr>
        <w:tblPrEx>
          <w:tblCellMar>
            <w:top w:w="0" w:type="dxa"/>
            <w:left w:w="0" w:type="dxa"/>
            <w:bottom w:w="0" w:type="dxa"/>
            <w:right w:w="0" w:type="dxa"/>
          </w:tblCellMar>
        </w:tblPrEx>
        <w:trPr>
          <w:trHeight w:val="339" w:hRule="atLeast"/>
        </w:trPr>
        <w:tc>
          <w:tcPr>
            <w:tcW w:w="201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293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科目名称</w:t>
            </w:r>
          </w:p>
        </w:tc>
        <w:tc>
          <w:tcPr>
            <w:tcW w:w="3487"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348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基本支出</w:t>
            </w:r>
          </w:p>
        </w:tc>
        <w:tc>
          <w:tcPr>
            <w:tcW w:w="3502"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项目支出</w:t>
            </w:r>
          </w:p>
        </w:tc>
      </w:tr>
      <w:tr>
        <w:tblPrEx>
          <w:tblCellMar>
            <w:top w:w="0" w:type="dxa"/>
            <w:left w:w="0" w:type="dxa"/>
            <w:bottom w:w="0" w:type="dxa"/>
            <w:right w:w="0" w:type="dxa"/>
          </w:tblCellMar>
        </w:tblPrEx>
        <w:trPr>
          <w:trHeight w:val="339" w:hRule="atLeast"/>
        </w:trPr>
        <w:tc>
          <w:tcPr>
            <w:tcW w:w="201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293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87"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8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502"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39" w:hRule="atLeast"/>
        </w:trPr>
        <w:tc>
          <w:tcPr>
            <w:tcW w:w="201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293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87"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8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502"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26" w:hRule="atLeast"/>
        </w:trPr>
        <w:tc>
          <w:tcPr>
            <w:tcW w:w="201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293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87"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8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502"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611" w:hRule="atLeast"/>
        </w:trPr>
        <w:tc>
          <w:tcPr>
            <w:tcW w:w="49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34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highlight w:val="none"/>
              </w:rPr>
            </w:pPr>
          </w:p>
        </w:tc>
        <w:tc>
          <w:tcPr>
            <w:tcW w:w="350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488" w:hRule="atLeast"/>
        </w:trPr>
        <w:tc>
          <w:tcPr>
            <w:tcW w:w="20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p>
        </w:tc>
        <w:tc>
          <w:tcPr>
            <w:tcW w:w="2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highlight w:val="none"/>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 xml:space="preserve">0.00 </w:t>
            </w:r>
          </w:p>
        </w:tc>
        <w:tc>
          <w:tcPr>
            <w:tcW w:w="34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highlight w:val="none"/>
              </w:rPr>
            </w:pPr>
          </w:p>
        </w:tc>
        <w:tc>
          <w:tcPr>
            <w:tcW w:w="350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 xml:space="preserve">0.00 </w:t>
            </w:r>
          </w:p>
        </w:tc>
      </w:tr>
    </w:tbl>
    <w:p>
      <w:pPr>
        <w:rPr>
          <w:rFonts w:hint="default" w:cs="宋体"/>
          <w:sz w:val="21"/>
          <w:szCs w:val="21"/>
          <w:highlight w:val="none"/>
        </w:rPr>
      </w:pPr>
      <w:r>
        <w:rPr>
          <w:rFonts w:cs="宋体"/>
          <w:sz w:val="20"/>
          <w:szCs w:val="20"/>
          <w:highlight w:val="none"/>
        </w:rPr>
        <w:t>备注：本表反映单位本年度国有资本经营预算财政拨款支出情况。本单位无国有资本经营收支，故本表无数据。</w:t>
      </w:r>
      <w:r>
        <w:rPr>
          <w:rFonts w:cs="宋体"/>
          <w:sz w:val="20"/>
          <w:szCs w:val="20"/>
          <w:highlight w:val="none"/>
        </w:rPr>
        <w:br w:type="textWrapping"/>
      </w:r>
      <w:r>
        <w:rPr>
          <w:rFonts w:cs="宋体"/>
          <w:sz w:val="20"/>
          <w:szCs w:val="20"/>
          <w:highlight w:val="none"/>
        </w:rPr>
        <w:br w:type="textWrapping"/>
      </w:r>
    </w:p>
    <w:p>
      <w:pPr>
        <w:rPr>
          <w:rFonts w:hint="default" w:cs="宋体"/>
          <w:sz w:val="21"/>
          <w:szCs w:val="21"/>
          <w:highlight w:val="none"/>
        </w:rPr>
      </w:pPr>
      <w:r>
        <w:rPr>
          <w:rFonts w:hint="default" w:cs="宋体"/>
          <w:sz w:val="21"/>
          <w:szCs w:val="21"/>
          <w:highlight w:val="none"/>
        </w:rPr>
        <w:br w:type="page"/>
      </w:r>
    </w:p>
    <w:tbl>
      <w:tblPr>
        <w:tblStyle w:val="8"/>
        <w:tblW w:w="14228" w:type="dxa"/>
        <w:tblInd w:w="0" w:type="dxa"/>
        <w:tblLayout w:type="fixed"/>
        <w:tblCellMar>
          <w:top w:w="0" w:type="dxa"/>
          <w:left w:w="170" w:type="dxa"/>
          <w:bottom w:w="0" w:type="dxa"/>
          <w:right w:w="170" w:type="dxa"/>
        </w:tblCellMar>
      </w:tblPr>
      <w:tblGrid>
        <w:gridCol w:w="3200"/>
        <w:gridCol w:w="2434"/>
        <w:gridCol w:w="2393"/>
        <w:gridCol w:w="3698"/>
        <w:gridCol w:w="2503"/>
      </w:tblGrid>
      <w:tr>
        <w:tblPrEx>
          <w:tblCellMar>
            <w:top w:w="0" w:type="dxa"/>
            <w:left w:w="170" w:type="dxa"/>
            <w:bottom w:w="0" w:type="dxa"/>
            <w:right w:w="170" w:type="dxa"/>
          </w:tblCellMar>
        </w:tblPrEx>
        <w:trPr>
          <w:trHeight w:val="343" w:hRule="atLeast"/>
        </w:trPr>
        <w:tc>
          <w:tcPr>
            <w:tcW w:w="14228"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highlight w:val="none"/>
              </w:rPr>
            </w:pPr>
            <w:r>
              <w:rPr>
                <w:rFonts w:cs="宋体"/>
                <w:b/>
                <w:color w:val="000000"/>
                <w:kern w:val="2"/>
                <w:sz w:val="32"/>
                <w:szCs w:val="32"/>
                <w:highlight w:val="none"/>
              </w:rPr>
              <w:t>机构运行信息表</w:t>
            </w:r>
          </w:p>
        </w:tc>
      </w:tr>
      <w:tr>
        <w:tblPrEx>
          <w:tblCellMar>
            <w:top w:w="0" w:type="dxa"/>
            <w:left w:w="170" w:type="dxa"/>
            <w:bottom w:w="0" w:type="dxa"/>
            <w:right w:w="170" w:type="dxa"/>
          </w:tblCellMar>
        </w:tblPrEx>
        <w:trPr>
          <w:trHeight w:val="244" w:hRule="atLeast"/>
        </w:trPr>
        <w:tc>
          <w:tcPr>
            <w:tcW w:w="3200"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highlight w:val="none"/>
              </w:rPr>
            </w:pPr>
          </w:p>
        </w:tc>
        <w:tc>
          <w:tcPr>
            <w:tcW w:w="2434"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highlight w:val="none"/>
              </w:rPr>
            </w:pPr>
          </w:p>
        </w:tc>
        <w:tc>
          <w:tcPr>
            <w:tcW w:w="2393"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highlight w:val="none"/>
              </w:rPr>
            </w:pPr>
          </w:p>
        </w:tc>
        <w:tc>
          <w:tcPr>
            <w:tcW w:w="3698"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highlight w:val="none"/>
              </w:rPr>
            </w:pPr>
          </w:p>
        </w:tc>
        <w:tc>
          <w:tcPr>
            <w:tcW w:w="2503"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highlight w:val="none"/>
              </w:rPr>
            </w:pPr>
            <w:r>
              <w:rPr>
                <w:rFonts w:cs="宋体"/>
                <w:color w:val="000000"/>
                <w:kern w:val="2"/>
                <w:sz w:val="20"/>
                <w:szCs w:val="20"/>
                <w:highlight w:val="none"/>
              </w:rPr>
              <w:t>公开</w:t>
            </w:r>
            <w:r>
              <w:rPr>
                <w:rFonts w:hint="default" w:ascii="Times New Roman" w:hAnsi="Times New Roman"/>
                <w:color w:val="000000"/>
                <w:kern w:val="2"/>
                <w:sz w:val="20"/>
                <w:szCs w:val="20"/>
                <w:highlight w:val="none"/>
              </w:rPr>
              <w:t>09</w:t>
            </w:r>
            <w:r>
              <w:rPr>
                <w:rFonts w:cs="宋体"/>
                <w:color w:val="000000"/>
                <w:kern w:val="2"/>
                <w:sz w:val="20"/>
                <w:szCs w:val="20"/>
                <w:highlight w:val="none"/>
              </w:rPr>
              <w:t>表</w:t>
            </w:r>
          </w:p>
        </w:tc>
      </w:tr>
      <w:tr>
        <w:tblPrEx>
          <w:tblCellMar>
            <w:top w:w="0" w:type="dxa"/>
            <w:left w:w="170" w:type="dxa"/>
            <w:bottom w:w="0" w:type="dxa"/>
            <w:right w:w="170" w:type="dxa"/>
          </w:tblCellMar>
        </w:tblPrEx>
        <w:trPr>
          <w:trHeight w:val="244" w:hRule="atLeast"/>
        </w:trPr>
        <w:tc>
          <w:tcPr>
            <w:tcW w:w="563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highlight w:val="none"/>
              </w:rPr>
            </w:pPr>
            <w:r>
              <w:rPr>
                <w:rFonts w:hint="eastAsia" w:cs="宋体"/>
                <w:kern w:val="2"/>
                <w:sz w:val="20"/>
                <w:szCs w:val="20"/>
                <w:highlight w:val="none"/>
                <w:lang w:eastAsia="zh-CN"/>
              </w:rPr>
              <w:t>单位</w:t>
            </w:r>
            <w:r>
              <w:rPr>
                <w:rFonts w:cs="宋体"/>
                <w:color w:val="000000"/>
                <w:kern w:val="2"/>
                <w:sz w:val="20"/>
                <w:szCs w:val="20"/>
                <w:highlight w:val="none"/>
              </w:rPr>
              <w:t>：</w:t>
            </w:r>
            <w:r>
              <w:rPr>
                <w:color w:val="000000"/>
                <w:sz w:val="20"/>
                <w:highlight w:val="none"/>
                <w:u w:color="auto"/>
              </w:rPr>
              <w:t>垫江县长龙镇综合行政执法大队</w:t>
            </w:r>
          </w:p>
        </w:tc>
        <w:tc>
          <w:tcPr>
            <w:tcW w:w="239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highlight w:val="none"/>
              </w:rPr>
            </w:pPr>
          </w:p>
        </w:tc>
        <w:tc>
          <w:tcPr>
            <w:tcW w:w="3698"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highlight w:val="none"/>
              </w:rPr>
            </w:pPr>
          </w:p>
        </w:tc>
        <w:tc>
          <w:tcPr>
            <w:tcW w:w="250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highlight w:val="none"/>
              </w:rPr>
            </w:pPr>
            <w:r>
              <w:rPr>
                <w:rFonts w:cs="宋体"/>
                <w:color w:val="000000"/>
                <w:kern w:val="2"/>
                <w:sz w:val="20"/>
                <w:szCs w:val="20"/>
                <w:highlight w:val="none"/>
              </w:rPr>
              <w:t>单位：</w:t>
            </w:r>
            <w:r>
              <w:rPr>
                <w:rFonts w:cs="宋体"/>
                <w:kern w:val="2"/>
                <w:sz w:val="20"/>
                <w:szCs w:val="20"/>
                <w:highlight w:val="none"/>
              </w:rPr>
              <w:t>万元</w:t>
            </w:r>
          </w:p>
        </w:tc>
      </w:tr>
      <w:tr>
        <w:tblPrEx>
          <w:tblCellMar>
            <w:top w:w="0" w:type="dxa"/>
            <w:left w:w="170" w:type="dxa"/>
            <w:bottom w:w="0" w:type="dxa"/>
            <w:right w:w="170" w:type="dxa"/>
          </w:tblCellMar>
        </w:tblPrEx>
        <w:trPr>
          <w:trHeight w:val="282" w:hRule="atLeast"/>
        </w:trPr>
        <w:tc>
          <w:tcPr>
            <w:tcW w:w="32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项  目</w:t>
            </w:r>
          </w:p>
        </w:tc>
        <w:tc>
          <w:tcPr>
            <w:tcW w:w="24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预算数</w:t>
            </w:r>
          </w:p>
        </w:tc>
        <w:tc>
          <w:tcPr>
            <w:tcW w:w="23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决算数</w:t>
            </w:r>
          </w:p>
        </w:tc>
        <w:tc>
          <w:tcPr>
            <w:tcW w:w="36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项  目</w:t>
            </w:r>
          </w:p>
        </w:tc>
        <w:tc>
          <w:tcPr>
            <w:tcW w:w="25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决算数</w:t>
            </w:r>
          </w:p>
        </w:tc>
      </w:tr>
      <w:tr>
        <w:tblPrEx>
          <w:tblCellMar>
            <w:top w:w="0" w:type="dxa"/>
            <w:left w:w="170" w:type="dxa"/>
            <w:bottom w:w="0" w:type="dxa"/>
            <w:right w:w="170" w:type="dxa"/>
          </w:tblCellMar>
        </w:tblPrEx>
        <w:trPr>
          <w:trHeight w:val="282" w:hRule="atLeast"/>
        </w:trPr>
        <w:tc>
          <w:tcPr>
            <w:tcW w:w="32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highlight w:val="none"/>
              </w:rPr>
            </w:pPr>
            <w:r>
              <w:rPr>
                <w:rFonts w:cs="宋体"/>
                <w:b/>
                <w:color w:val="000000"/>
                <w:kern w:val="2"/>
                <w:sz w:val="16"/>
                <w:szCs w:val="16"/>
                <w:highlight w:val="none"/>
              </w:rPr>
              <w:t>一、“三公”经费支出</w:t>
            </w:r>
          </w:p>
        </w:tc>
        <w:tc>
          <w:tcPr>
            <w:tcW w:w="24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36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highlight w:val="none"/>
              </w:rPr>
            </w:pPr>
            <w:r>
              <w:rPr>
                <w:rFonts w:cs="宋体"/>
                <w:b/>
                <w:color w:val="000000"/>
                <w:kern w:val="2"/>
                <w:sz w:val="16"/>
                <w:szCs w:val="16"/>
                <w:highlight w:val="none"/>
              </w:rPr>
              <w:t>五、机关运行经费</w:t>
            </w:r>
          </w:p>
        </w:tc>
        <w:tc>
          <w:tcPr>
            <w:tcW w:w="25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2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（一）支出合计</w:t>
            </w:r>
          </w:p>
        </w:tc>
        <w:tc>
          <w:tcPr>
            <w:tcW w:w="24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23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（一）行政单位</w:t>
            </w:r>
          </w:p>
        </w:tc>
        <w:tc>
          <w:tcPr>
            <w:tcW w:w="25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2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1．因公出国（境）费</w:t>
            </w:r>
          </w:p>
        </w:tc>
        <w:tc>
          <w:tcPr>
            <w:tcW w:w="24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23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（二）参照公务员法管理事业单位</w:t>
            </w:r>
          </w:p>
        </w:tc>
        <w:tc>
          <w:tcPr>
            <w:tcW w:w="25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2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2．公务用车购置及运行维护费</w:t>
            </w:r>
          </w:p>
        </w:tc>
        <w:tc>
          <w:tcPr>
            <w:tcW w:w="24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23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六、资产信息</w:t>
            </w:r>
          </w:p>
        </w:tc>
        <w:tc>
          <w:tcPr>
            <w:tcW w:w="25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w:t>
            </w:r>
          </w:p>
        </w:tc>
      </w:tr>
      <w:tr>
        <w:tblPrEx>
          <w:tblCellMar>
            <w:top w:w="0" w:type="dxa"/>
            <w:left w:w="170" w:type="dxa"/>
            <w:bottom w:w="0" w:type="dxa"/>
            <w:right w:w="170" w:type="dxa"/>
          </w:tblCellMar>
        </w:tblPrEx>
        <w:trPr>
          <w:trHeight w:val="292" w:hRule="atLeast"/>
        </w:trPr>
        <w:tc>
          <w:tcPr>
            <w:tcW w:w="32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（1）公务用车购置费</w:t>
            </w:r>
          </w:p>
        </w:tc>
        <w:tc>
          <w:tcPr>
            <w:tcW w:w="24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23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（一）车辆数合计（辆）</w:t>
            </w:r>
          </w:p>
        </w:tc>
        <w:tc>
          <w:tcPr>
            <w:tcW w:w="25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2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（2）公务用车运行维护费</w:t>
            </w:r>
          </w:p>
        </w:tc>
        <w:tc>
          <w:tcPr>
            <w:tcW w:w="24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23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1．副部（省）级及以上领导用车</w:t>
            </w:r>
          </w:p>
        </w:tc>
        <w:tc>
          <w:tcPr>
            <w:tcW w:w="25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2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3．公务接待费</w:t>
            </w:r>
          </w:p>
        </w:tc>
        <w:tc>
          <w:tcPr>
            <w:tcW w:w="24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23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2．主要领导干部用车</w:t>
            </w:r>
          </w:p>
        </w:tc>
        <w:tc>
          <w:tcPr>
            <w:tcW w:w="25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2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（1）国内接待费</w:t>
            </w:r>
          </w:p>
        </w:tc>
        <w:tc>
          <w:tcPr>
            <w:tcW w:w="24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3．机要通信用车</w:t>
            </w:r>
          </w:p>
        </w:tc>
        <w:tc>
          <w:tcPr>
            <w:tcW w:w="25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2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其中：外事接待费</w:t>
            </w:r>
          </w:p>
        </w:tc>
        <w:tc>
          <w:tcPr>
            <w:tcW w:w="24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4．应急保障用车</w:t>
            </w:r>
          </w:p>
        </w:tc>
        <w:tc>
          <w:tcPr>
            <w:tcW w:w="25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2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（2）国（境）外接待费</w:t>
            </w:r>
          </w:p>
        </w:tc>
        <w:tc>
          <w:tcPr>
            <w:tcW w:w="24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5．执法执勤用车</w:t>
            </w:r>
          </w:p>
        </w:tc>
        <w:tc>
          <w:tcPr>
            <w:tcW w:w="25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2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（二）相关统计数</w:t>
            </w:r>
          </w:p>
        </w:tc>
        <w:tc>
          <w:tcPr>
            <w:tcW w:w="24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36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6．特种专业技术用车</w:t>
            </w:r>
          </w:p>
        </w:tc>
        <w:tc>
          <w:tcPr>
            <w:tcW w:w="25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2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1．因公出国（境）团组数（个）</w:t>
            </w:r>
          </w:p>
        </w:tc>
        <w:tc>
          <w:tcPr>
            <w:tcW w:w="24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7．离退休干部用车</w:t>
            </w:r>
          </w:p>
        </w:tc>
        <w:tc>
          <w:tcPr>
            <w:tcW w:w="25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2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2．因公出国（境）人次数（人）</w:t>
            </w:r>
          </w:p>
        </w:tc>
        <w:tc>
          <w:tcPr>
            <w:tcW w:w="24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8．其他用车</w:t>
            </w:r>
          </w:p>
        </w:tc>
        <w:tc>
          <w:tcPr>
            <w:tcW w:w="25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2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3．公务用车购置数（辆）</w:t>
            </w:r>
          </w:p>
        </w:tc>
        <w:tc>
          <w:tcPr>
            <w:tcW w:w="24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（二）单价100万元（含）以上设备（不含车辆）</w:t>
            </w:r>
          </w:p>
        </w:tc>
        <w:tc>
          <w:tcPr>
            <w:tcW w:w="25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2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4．公务用车保有量（辆）</w:t>
            </w:r>
          </w:p>
        </w:tc>
        <w:tc>
          <w:tcPr>
            <w:tcW w:w="24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七、政府采购支出信息</w:t>
            </w:r>
          </w:p>
        </w:tc>
        <w:tc>
          <w:tcPr>
            <w:tcW w:w="25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w:t>
            </w:r>
          </w:p>
        </w:tc>
      </w:tr>
      <w:tr>
        <w:tblPrEx>
          <w:tblCellMar>
            <w:top w:w="0" w:type="dxa"/>
            <w:left w:w="170" w:type="dxa"/>
            <w:bottom w:w="0" w:type="dxa"/>
            <w:right w:w="170" w:type="dxa"/>
          </w:tblCellMar>
        </w:tblPrEx>
        <w:trPr>
          <w:trHeight w:val="292" w:hRule="atLeast"/>
        </w:trPr>
        <w:tc>
          <w:tcPr>
            <w:tcW w:w="32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5．国内公务接待批次（个）</w:t>
            </w:r>
          </w:p>
        </w:tc>
        <w:tc>
          <w:tcPr>
            <w:tcW w:w="24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（一）政府采购支出合计</w:t>
            </w:r>
          </w:p>
        </w:tc>
        <w:tc>
          <w:tcPr>
            <w:tcW w:w="25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2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其中：外事接待批次（个）</w:t>
            </w:r>
          </w:p>
        </w:tc>
        <w:tc>
          <w:tcPr>
            <w:tcW w:w="24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1．政府采购货物支出</w:t>
            </w:r>
          </w:p>
        </w:tc>
        <w:tc>
          <w:tcPr>
            <w:tcW w:w="25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2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6．国内公务接待人次（人）</w:t>
            </w:r>
          </w:p>
        </w:tc>
        <w:tc>
          <w:tcPr>
            <w:tcW w:w="24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2．政府采购工程支出</w:t>
            </w:r>
          </w:p>
        </w:tc>
        <w:tc>
          <w:tcPr>
            <w:tcW w:w="25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2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其中：外事接待人次（人）</w:t>
            </w:r>
          </w:p>
        </w:tc>
        <w:tc>
          <w:tcPr>
            <w:tcW w:w="24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3．政府采购服务支出</w:t>
            </w:r>
          </w:p>
        </w:tc>
        <w:tc>
          <w:tcPr>
            <w:tcW w:w="25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2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7．国（境）外公务接待批次（个）</w:t>
            </w:r>
          </w:p>
        </w:tc>
        <w:tc>
          <w:tcPr>
            <w:tcW w:w="24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（二）政府采购授予中小企业合同金额</w:t>
            </w:r>
          </w:p>
        </w:tc>
        <w:tc>
          <w:tcPr>
            <w:tcW w:w="25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2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8．国（境）外公务接待人次（人）</w:t>
            </w:r>
          </w:p>
        </w:tc>
        <w:tc>
          <w:tcPr>
            <w:tcW w:w="24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其中：授予小微企业合同金额</w:t>
            </w:r>
          </w:p>
        </w:tc>
        <w:tc>
          <w:tcPr>
            <w:tcW w:w="25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86" w:hRule="atLeast"/>
        </w:trPr>
        <w:tc>
          <w:tcPr>
            <w:tcW w:w="32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highlight w:val="none"/>
              </w:rPr>
            </w:pPr>
            <w:r>
              <w:rPr>
                <w:rFonts w:cs="宋体"/>
                <w:b/>
                <w:color w:val="000000"/>
                <w:kern w:val="2"/>
                <w:sz w:val="16"/>
                <w:szCs w:val="16"/>
                <w:highlight w:val="none"/>
              </w:rPr>
              <w:t>二、会议费</w:t>
            </w:r>
          </w:p>
        </w:tc>
        <w:tc>
          <w:tcPr>
            <w:tcW w:w="24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highlight w:val="none"/>
              </w:rPr>
            </w:pPr>
          </w:p>
        </w:tc>
        <w:tc>
          <w:tcPr>
            <w:tcW w:w="25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highlight w:val="none"/>
              </w:rPr>
            </w:pPr>
          </w:p>
        </w:tc>
      </w:tr>
      <w:tr>
        <w:tblPrEx>
          <w:tblCellMar>
            <w:top w:w="0" w:type="dxa"/>
            <w:left w:w="170" w:type="dxa"/>
            <w:bottom w:w="0" w:type="dxa"/>
            <w:right w:w="170" w:type="dxa"/>
          </w:tblCellMar>
        </w:tblPrEx>
        <w:trPr>
          <w:trHeight w:val="389" w:hRule="atLeast"/>
        </w:trPr>
        <w:tc>
          <w:tcPr>
            <w:tcW w:w="32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highlight w:val="none"/>
              </w:rPr>
            </w:pPr>
            <w:r>
              <w:rPr>
                <w:rFonts w:cs="宋体"/>
                <w:b/>
                <w:color w:val="000000"/>
                <w:kern w:val="2"/>
                <w:sz w:val="16"/>
                <w:szCs w:val="16"/>
                <w:highlight w:val="none"/>
              </w:rPr>
              <w:t>三、培训费</w:t>
            </w:r>
          </w:p>
        </w:tc>
        <w:tc>
          <w:tcPr>
            <w:tcW w:w="24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highlight w:val="none"/>
              </w:rPr>
            </w:pPr>
          </w:p>
        </w:tc>
        <w:tc>
          <w:tcPr>
            <w:tcW w:w="25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highlight w:val="none"/>
              </w:rPr>
            </w:pPr>
          </w:p>
        </w:tc>
      </w:tr>
      <w:tr>
        <w:tblPrEx>
          <w:tblCellMar>
            <w:top w:w="0" w:type="dxa"/>
            <w:left w:w="170" w:type="dxa"/>
            <w:bottom w:w="0" w:type="dxa"/>
            <w:right w:w="170" w:type="dxa"/>
          </w:tblCellMar>
        </w:tblPrEx>
        <w:trPr>
          <w:trHeight w:val="389" w:hRule="atLeast"/>
        </w:trPr>
        <w:tc>
          <w:tcPr>
            <w:tcW w:w="32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highlight w:val="none"/>
              </w:rPr>
            </w:pPr>
            <w:r>
              <w:rPr>
                <w:rFonts w:cs="宋体"/>
                <w:b/>
                <w:bCs/>
                <w:color w:val="000000"/>
                <w:sz w:val="16"/>
                <w:szCs w:val="16"/>
                <w:highlight w:val="none"/>
              </w:rPr>
              <w:t>四、差旅费</w:t>
            </w:r>
          </w:p>
        </w:tc>
        <w:tc>
          <w:tcPr>
            <w:tcW w:w="24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w:t>
            </w:r>
          </w:p>
        </w:tc>
        <w:tc>
          <w:tcPr>
            <w:tcW w:w="23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3.09</w:t>
            </w:r>
            <w:r>
              <w:rPr>
                <w:rFonts w:ascii="Times New Roman" w:hAnsi="Times New Roman"/>
                <w:color w:val="000000"/>
                <w:sz w:val="18"/>
                <w:highlight w:val="none"/>
                <w:u w:color="auto"/>
              </w:rPr>
              <w:t xml:space="preserve"> </w:t>
            </w:r>
          </w:p>
        </w:tc>
        <w:tc>
          <w:tcPr>
            <w:tcW w:w="36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highlight w:val="none"/>
              </w:rPr>
            </w:pPr>
          </w:p>
        </w:tc>
        <w:tc>
          <w:tcPr>
            <w:tcW w:w="25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highlight w:val="none"/>
              </w:rPr>
            </w:pPr>
          </w:p>
        </w:tc>
      </w:tr>
    </w:tbl>
    <w:p>
      <w:pPr>
        <w:rPr>
          <w:rFonts w:hint="default" w:cs="宋体"/>
          <w:sz w:val="21"/>
          <w:szCs w:val="21"/>
          <w:highlight w:val="none"/>
        </w:rPr>
      </w:pPr>
      <w:r>
        <w:rPr>
          <w:rFonts w:cs="宋体"/>
          <w:sz w:val="18"/>
          <w:szCs w:val="18"/>
          <w:highlight w:val="none"/>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highlight w:val="none"/>
        </w:rPr>
        <w:br w:type="textWrapping"/>
      </w:r>
      <w:r>
        <w:rPr>
          <w:rFonts w:cs="宋体"/>
          <w:sz w:val="18"/>
          <w:szCs w:val="18"/>
          <w:highlight w:val="none"/>
        </w:rPr>
        <w:t xml:space="preserve">      2.本套报表金额单位转换时可能存在尾数误差。</w:t>
      </w:r>
      <w:r>
        <w:rPr>
          <w:rFonts w:cs="宋体"/>
          <w:sz w:val="18"/>
          <w:szCs w:val="18"/>
          <w:highlight w:val="none"/>
        </w:rPr>
        <w:br w:type="textWrapping"/>
      </w:r>
    </w:p>
    <w:sectPr>
      <w:pgSz w:w="16838" w:h="11906" w:orient="landscape"/>
      <w:pgMar w:top="567" w:right="720" w:bottom="567" w:left="720"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MWM2YmFhNjI2ZjBiMzdmZDQ5YWQxZGNmMDQ4ZWEifQ=="/>
  </w:docVars>
  <w:rsids>
    <w:rsidRoot w:val="00B03CCD"/>
    <w:rsid w:val="000239C6"/>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F73F90"/>
    <w:rsid w:val="00FB4B3B"/>
    <w:rsid w:val="01474EBF"/>
    <w:rsid w:val="01F3521E"/>
    <w:rsid w:val="02663C42"/>
    <w:rsid w:val="02CC480C"/>
    <w:rsid w:val="03B87EA0"/>
    <w:rsid w:val="03E3214F"/>
    <w:rsid w:val="044C50BA"/>
    <w:rsid w:val="05BC6D49"/>
    <w:rsid w:val="06194FF1"/>
    <w:rsid w:val="0657391D"/>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0E362F"/>
    <w:rsid w:val="10257B00"/>
    <w:rsid w:val="107B59E5"/>
    <w:rsid w:val="10EC0126"/>
    <w:rsid w:val="10F70B9A"/>
    <w:rsid w:val="111445C7"/>
    <w:rsid w:val="114278C6"/>
    <w:rsid w:val="1158083A"/>
    <w:rsid w:val="11643A4B"/>
    <w:rsid w:val="11BB65D1"/>
    <w:rsid w:val="11ED0F98"/>
    <w:rsid w:val="11F03528"/>
    <w:rsid w:val="12C921C4"/>
    <w:rsid w:val="13871C70"/>
    <w:rsid w:val="13A71CB4"/>
    <w:rsid w:val="13AF1D43"/>
    <w:rsid w:val="13CE1647"/>
    <w:rsid w:val="13FD55AB"/>
    <w:rsid w:val="14200702"/>
    <w:rsid w:val="163A6CEE"/>
    <w:rsid w:val="173708E3"/>
    <w:rsid w:val="17C374FC"/>
    <w:rsid w:val="182E4AB6"/>
    <w:rsid w:val="187208E3"/>
    <w:rsid w:val="189079DC"/>
    <w:rsid w:val="189B0D0B"/>
    <w:rsid w:val="18B43F7C"/>
    <w:rsid w:val="19395FFE"/>
    <w:rsid w:val="194A1770"/>
    <w:rsid w:val="19B906A4"/>
    <w:rsid w:val="19D0476E"/>
    <w:rsid w:val="1B51567F"/>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092E5E"/>
    <w:rsid w:val="20642787"/>
    <w:rsid w:val="21556F04"/>
    <w:rsid w:val="221E19EC"/>
    <w:rsid w:val="22403BD3"/>
    <w:rsid w:val="24B92327"/>
    <w:rsid w:val="24C14514"/>
    <w:rsid w:val="2533755C"/>
    <w:rsid w:val="25791755"/>
    <w:rsid w:val="26396DF4"/>
    <w:rsid w:val="26BD2265"/>
    <w:rsid w:val="26ED19A3"/>
    <w:rsid w:val="27167136"/>
    <w:rsid w:val="271B442C"/>
    <w:rsid w:val="273B0110"/>
    <w:rsid w:val="27B23302"/>
    <w:rsid w:val="29310A5F"/>
    <w:rsid w:val="29C37A35"/>
    <w:rsid w:val="2A076083"/>
    <w:rsid w:val="2A73162E"/>
    <w:rsid w:val="2B167953"/>
    <w:rsid w:val="2B200583"/>
    <w:rsid w:val="2B8209DE"/>
    <w:rsid w:val="2C636760"/>
    <w:rsid w:val="2C6762A3"/>
    <w:rsid w:val="2D3004D8"/>
    <w:rsid w:val="2EAC3B10"/>
    <w:rsid w:val="2FB50739"/>
    <w:rsid w:val="2FCA4B37"/>
    <w:rsid w:val="2FE029D7"/>
    <w:rsid w:val="2FF06E00"/>
    <w:rsid w:val="30586FEC"/>
    <w:rsid w:val="315F0B22"/>
    <w:rsid w:val="31D84415"/>
    <w:rsid w:val="32285F6F"/>
    <w:rsid w:val="32770556"/>
    <w:rsid w:val="329C0913"/>
    <w:rsid w:val="32AA0460"/>
    <w:rsid w:val="3337290D"/>
    <w:rsid w:val="33E31118"/>
    <w:rsid w:val="33EC0516"/>
    <w:rsid w:val="33EF7674"/>
    <w:rsid w:val="3415021D"/>
    <w:rsid w:val="342D7BC6"/>
    <w:rsid w:val="345D6D24"/>
    <w:rsid w:val="352930DB"/>
    <w:rsid w:val="35573069"/>
    <w:rsid w:val="355F6038"/>
    <w:rsid w:val="358C217E"/>
    <w:rsid w:val="36C9128A"/>
    <w:rsid w:val="3764479F"/>
    <w:rsid w:val="37841E99"/>
    <w:rsid w:val="37BF1123"/>
    <w:rsid w:val="383C3F15"/>
    <w:rsid w:val="38BE4696"/>
    <w:rsid w:val="3928405D"/>
    <w:rsid w:val="3939115E"/>
    <w:rsid w:val="39B82A39"/>
    <w:rsid w:val="39C42CA8"/>
    <w:rsid w:val="39DC4FD6"/>
    <w:rsid w:val="39F03D7A"/>
    <w:rsid w:val="39F33306"/>
    <w:rsid w:val="39FE5795"/>
    <w:rsid w:val="3A2C1C67"/>
    <w:rsid w:val="3ADD7F09"/>
    <w:rsid w:val="3B1705E5"/>
    <w:rsid w:val="3B18334B"/>
    <w:rsid w:val="3B36794F"/>
    <w:rsid w:val="3B6F6EE0"/>
    <w:rsid w:val="3C566AD6"/>
    <w:rsid w:val="3C594871"/>
    <w:rsid w:val="3C6A5B02"/>
    <w:rsid w:val="3D2757A1"/>
    <w:rsid w:val="3D3D4FC4"/>
    <w:rsid w:val="3D9646D4"/>
    <w:rsid w:val="3DDF3AB1"/>
    <w:rsid w:val="3E1D0952"/>
    <w:rsid w:val="3E42660A"/>
    <w:rsid w:val="3E7555B1"/>
    <w:rsid w:val="3E787ED9"/>
    <w:rsid w:val="3E991EC7"/>
    <w:rsid w:val="3F032E93"/>
    <w:rsid w:val="3F0527E5"/>
    <w:rsid w:val="3F694D83"/>
    <w:rsid w:val="3F885DCC"/>
    <w:rsid w:val="3FCD675E"/>
    <w:rsid w:val="4004000C"/>
    <w:rsid w:val="40BD5482"/>
    <w:rsid w:val="40E525F1"/>
    <w:rsid w:val="411B6CE5"/>
    <w:rsid w:val="412070D7"/>
    <w:rsid w:val="41314E40"/>
    <w:rsid w:val="417B255F"/>
    <w:rsid w:val="41E0734B"/>
    <w:rsid w:val="424138E5"/>
    <w:rsid w:val="426C1EA8"/>
    <w:rsid w:val="42736402"/>
    <w:rsid w:val="42E86A87"/>
    <w:rsid w:val="43307B09"/>
    <w:rsid w:val="439A3EB9"/>
    <w:rsid w:val="43BB152F"/>
    <w:rsid w:val="43C01E7A"/>
    <w:rsid w:val="43F95038"/>
    <w:rsid w:val="44C37687"/>
    <w:rsid w:val="45CB699A"/>
    <w:rsid w:val="45E2495B"/>
    <w:rsid w:val="465B470D"/>
    <w:rsid w:val="469D6AD4"/>
    <w:rsid w:val="471E6C84"/>
    <w:rsid w:val="47361B5F"/>
    <w:rsid w:val="4748792B"/>
    <w:rsid w:val="475D719D"/>
    <w:rsid w:val="47674801"/>
    <w:rsid w:val="48225EF7"/>
    <w:rsid w:val="488F422B"/>
    <w:rsid w:val="48E36915"/>
    <w:rsid w:val="48EB6572"/>
    <w:rsid w:val="495C4A24"/>
    <w:rsid w:val="497135DF"/>
    <w:rsid w:val="4A263DF2"/>
    <w:rsid w:val="4A6F6675"/>
    <w:rsid w:val="4B135857"/>
    <w:rsid w:val="4B3D0885"/>
    <w:rsid w:val="4B7951CB"/>
    <w:rsid w:val="4B7C315C"/>
    <w:rsid w:val="4CA52F9A"/>
    <w:rsid w:val="4DAC4ACA"/>
    <w:rsid w:val="4DBE01D2"/>
    <w:rsid w:val="4E6076F5"/>
    <w:rsid w:val="4F0C6BA3"/>
    <w:rsid w:val="4F186D58"/>
    <w:rsid w:val="50F06B6E"/>
    <w:rsid w:val="51D21804"/>
    <w:rsid w:val="52234D33"/>
    <w:rsid w:val="522F6E0C"/>
    <w:rsid w:val="52463BA1"/>
    <w:rsid w:val="52836E8C"/>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5EA3558"/>
    <w:rsid w:val="56530F5D"/>
    <w:rsid w:val="567700D3"/>
    <w:rsid w:val="56A4191A"/>
    <w:rsid w:val="56FF7E9E"/>
    <w:rsid w:val="578867FC"/>
    <w:rsid w:val="5842572D"/>
    <w:rsid w:val="5A3B59D6"/>
    <w:rsid w:val="5A5B4DD3"/>
    <w:rsid w:val="5AAE7E99"/>
    <w:rsid w:val="5AD134D8"/>
    <w:rsid w:val="5B9A01F8"/>
    <w:rsid w:val="5C263CE4"/>
    <w:rsid w:val="5C363C87"/>
    <w:rsid w:val="5C5D2777"/>
    <w:rsid w:val="5CF66BF3"/>
    <w:rsid w:val="5D290C69"/>
    <w:rsid w:val="5F2D4A41"/>
    <w:rsid w:val="607A49E3"/>
    <w:rsid w:val="60C74F6C"/>
    <w:rsid w:val="60D40EE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BC1758E"/>
    <w:rsid w:val="6C0A5AC5"/>
    <w:rsid w:val="6C560CAE"/>
    <w:rsid w:val="6C576495"/>
    <w:rsid w:val="6D903FF5"/>
    <w:rsid w:val="6DA955B8"/>
    <w:rsid w:val="6DE346AB"/>
    <w:rsid w:val="6DE5391A"/>
    <w:rsid w:val="6EFD1324"/>
    <w:rsid w:val="6F5A53AC"/>
    <w:rsid w:val="6FAC003D"/>
    <w:rsid w:val="6FE55E12"/>
    <w:rsid w:val="6FFB2E76"/>
    <w:rsid w:val="708F6F7F"/>
    <w:rsid w:val="70D94BD3"/>
    <w:rsid w:val="70FA76CF"/>
    <w:rsid w:val="711F5C9D"/>
    <w:rsid w:val="71C34D91"/>
    <w:rsid w:val="72DB435C"/>
    <w:rsid w:val="72E2613A"/>
    <w:rsid w:val="72F771F4"/>
    <w:rsid w:val="73934AD2"/>
    <w:rsid w:val="74422739"/>
    <w:rsid w:val="750837F0"/>
    <w:rsid w:val="754758CF"/>
    <w:rsid w:val="763A438D"/>
    <w:rsid w:val="764F62AB"/>
    <w:rsid w:val="765C45EC"/>
    <w:rsid w:val="768A7619"/>
    <w:rsid w:val="772E1EBA"/>
    <w:rsid w:val="781926BC"/>
    <w:rsid w:val="796D60A4"/>
    <w:rsid w:val="79A031D5"/>
    <w:rsid w:val="7A1525F7"/>
    <w:rsid w:val="7A5D509E"/>
    <w:rsid w:val="7B420052"/>
    <w:rsid w:val="7BD06A28"/>
    <w:rsid w:val="7C3A7C0B"/>
    <w:rsid w:val="7C5248E4"/>
    <w:rsid w:val="7C566698"/>
    <w:rsid w:val="7C5866A3"/>
    <w:rsid w:val="7D7406BB"/>
    <w:rsid w:val="7DE94331"/>
    <w:rsid w:val="7E6C611E"/>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0">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style>
  <w:style w:type="paragraph" w:styleId="3">
    <w:name w:val="Balloon Text"/>
    <w:basedOn w:val="1"/>
    <w:link w:val="16"/>
    <w:autoRedefine/>
    <w:qFormat/>
    <w:uiPriority w:val="0"/>
    <w:rPr>
      <w:sz w:val="18"/>
      <w:szCs w:val="18"/>
    </w:rPr>
  </w:style>
  <w:style w:type="paragraph" w:styleId="4">
    <w:name w:val="footer"/>
    <w:basedOn w:val="1"/>
    <w:autoRedefine/>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autoRedefine/>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autoRedefine/>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autoRedefine/>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autoRedefine/>
    <w:qFormat/>
    <w:uiPriority w:val="0"/>
    <w:rPr>
      <w:rFonts w:ascii="宋体" w:hAnsi="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8346</Words>
  <Characters>10452</Characters>
  <Lines>190</Lines>
  <Paragraphs>53</Paragraphs>
  <TotalTime>4</TotalTime>
  <ScaleCrop>false</ScaleCrop>
  <LinksUpToDate>false</LinksUpToDate>
  <CharactersWithSpaces>11466</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WPS_1664260647</cp:lastModifiedBy>
  <dcterms:modified xsi:type="dcterms:W3CDTF">2025-09-24T04:07:57Z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397382ADEB184DFD88647A8DFF92862F_13</vt:lpwstr>
  </property>
  <property fmtid="{D5CDD505-2E9C-101B-9397-08002B2CF9AE}" pid="4" name="KSOTemplateDocerSaveRecord">
    <vt:lpwstr>eyJoZGlkIjoiOWE3ZGQxMWQxY2I0ZTU0ZGQwMDkwNGRkYjk1ZDY3YmUiLCJ1c2VySWQiOiI0MjgwMDc4OTcifQ==</vt:lpwstr>
  </property>
</Properties>
</file>