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D544D">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highlight w:val="none"/>
        </w:rPr>
      </w:pPr>
      <w:r>
        <w:rPr>
          <w:rFonts w:ascii="方正小标宋_GBK" w:hAnsi="方正小标宋_GBK" w:eastAsia="方正小标宋_GBK" w:cs="方正小标宋_GBK"/>
          <w:sz w:val="44"/>
          <w:szCs w:val="44"/>
          <w:highlight w:val="none"/>
        </w:rPr>
        <w:t>垫江县桂阳街道社区文化服务中心</w:t>
      </w:r>
    </w:p>
    <w:p w14:paraId="397BBBA8">
      <w:pPr>
        <w:pStyle w:val="6"/>
        <w:spacing w:before="0" w:beforeAutospacing="0"/>
        <w:jc w:val="center"/>
        <w:rPr>
          <w:rFonts w:hint="default" w:ascii="方正小标宋_GBK" w:hAnsi="方正小标宋_GBK" w:eastAsia="方正小标宋_GBK" w:cs="方正小标宋_GBK"/>
          <w:sz w:val="44"/>
          <w:szCs w:val="44"/>
          <w:highlight w:val="none"/>
          <w:shd w:val="clear" w:color="auto" w:fill="FFFFFF"/>
        </w:rPr>
      </w:pPr>
      <w:r>
        <w:rPr>
          <w:rFonts w:hint="default" w:ascii="Times New Roman" w:hAnsi="Times New Roman" w:eastAsia="方正小标宋_GBK" w:cs="Times New Roman"/>
          <w:sz w:val="44"/>
          <w:szCs w:val="44"/>
          <w:highlight w:val="none"/>
          <w:shd w:val="clear" w:color="auto" w:fill="FFFFFF"/>
        </w:rPr>
        <w:t>2024</w:t>
      </w:r>
      <w:r>
        <w:rPr>
          <w:rFonts w:ascii="方正小标宋_GBK" w:hAnsi="方正小标宋_GBK" w:eastAsia="方正小标宋_GBK" w:cs="方正小标宋_GBK"/>
          <w:sz w:val="44"/>
          <w:szCs w:val="44"/>
          <w:highlight w:val="none"/>
          <w:shd w:val="clear" w:color="auto" w:fill="FFFFFF"/>
        </w:rPr>
        <w:t>年度决算公开说明</w:t>
      </w:r>
    </w:p>
    <w:p w14:paraId="0BFAB99D">
      <w:pPr>
        <w:pStyle w:val="6"/>
        <w:shd w:val="clear" w:color="auto" w:fill="FFFFFF"/>
        <w:ind w:firstLine="643" w:firstLineChars="200"/>
        <w:rPr>
          <w:rFonts w:hint="default" w:ascii="黑体" w:hAnsi="黑体" w:eastAsia="黑体" w:cs="黑体"/>
          <w:sz w:val="32"/>
          <w:szCs w:val="32"/>
          <w:highlight w:val="none"/>
        </w:rPr>
      </w:pPr>
      <w:r>
        <w:rPr>
          <w:rStyle w:val="10"/>
          <w:rFonts w:ascii="黑体" w:hAnsi="黑体" w:eastAsia="黑体" w:cs="黑体"/>
          <w:sz w:val="32"/>
          <w:szCs w:val="32"/>
          <w:highlight w:val="none"/>
          <w:shd w:val="clear" w:color="auto" w:fill="FFFFFF"/>
        </w:rPr>
        <w:t>一、</w:t>
      </w:r>
      <w:r>
        <w:rPr>
          <w:rStyle w:val="10"/>
          <w:rFonts w:hint="eastAsia" w:ascii="黑体" w:hAnsi="黑体" w:eastAsia="黑体" w:cs="黑体"/>
          <w:sz w:val="32"/>
          <w:szCs w:val="32"/>
          <w:highlight w:val="none"/>
          <w:shd w:val="clear" w:color="auto" w:fill="FFFFFF"/>
          <w:lang w:eastAsia="zh-CN"/>
        </w:rPr>
        <w:t>单位</w:t>
      </w:r>
      <w:r>
        <w:rPr>
          <w:rStyle w:val="10"/>
          <w:rFonts w:ascii="黑体" w:hAnsi="黑体" w:eastAsia="黑体" w:cs="黑体"/>
          <w:sz w:val="32"/>
          <w:szCs w:val="32"/>
          <w:highlight w:val="none"/>
          <w:shd w:val="clear" w:color="auto" w:fill="FFFFFF"/>
        </w:rPr>
        <w:t>基本情况</w:t>
      </w:r>
    </w:p>
    <w:p w14:paraId="7B843CD7">
      <w:pPr>
        <w:pStyle w:val="6"/>
        <w:shd w:val="clear" w:color="auto" w:fill="FFFFFF"/>
        <w:ind w:firstLine="420"/>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（一）职能职责</w:t>
      </w:r>
    </w:p>
    <w:p w14:paraId="0619DD3F">
      <w:pPr>
        <w:spacing w:line="594" w:lineRule="exact"/>
        <w:ind w:firstLine="640" w:firstLineChars="200"/>
        <w:rPr>
          <w:rFonts w:hint="default" w:ascii="方正仿宋_GBK" w:hAnsi="方正仿宋_GBK" w:eastAsia="方正仿宋_GBK" w:cs="方正仿宋_GBK"/>
          <w:color w:val="000000"/>
          <w:sz w:val="32"/>
          <w:szCs w:val="32"/>
          <w:highlight w:val="none"/>
        </w:rPr>
      </w:pPr>
      <w:r>
        <w:rPr>
          <w:rFonts w:ascii="方正仿宋_GBK" w:hAnsi="方正仿宋_GBK" w:eastAsia="方正仿宋_GBK" w:cs="方正仿宋_GBK"/>
          <w:sz w:val="32"/>
          <w:szCs w:val="32"/>
          <w:highlight w:val="none"/>
        </w:rPr>
        <w:t>垫江县桂阳街道文化服务中心</w:t>
      </w:r>
      <w:r>
        <w:rPr>
          <w:rFonts w:ascii="方正仿宋_GBK" w:hAnsi="方正仿宋_GBK" w:eastAsia="方正仿宋_GBK" w:cs="方正仿宋_GBK"/>
          <w:color w:val="000000"/>
          <w:sz w:val="32"/>
          <w:szCs w:val="32"/>
          <w:highlight w:val="none"/>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6DA93EAA">
      <w:pPr>
        <w:pStyle w:val="6"/>
        <w:shd w:val="clear" w:color="auto" w:fill="FFFFFF"/>
        <w:ind w:firstLine="643" w:firstLineChars="200"/>
        <w:rPr>
          <w:rStyle w:val="10"/>
          <w:rFonts w:hint="default" w:ascii="楷体" w:hAnsi="楷体" w:eastAsia="楷体" w:cs="楷体"/>
          <w:sz w:val="32"/>
          <w:szCs w:val="32"/>
          <w:highlight w:val="none"/>
          <w:shd w:val="clear" w:color="auto" w:fill="FFFFFF"/>
        </w:rPr>
      </w:pPr>
      <w:r>
        <w:rPr>
          <w:rStyle w:val="10"/>
          <w:rFonts w:ascii="楷体" w:hAnsi="楷体" w:eastAsia="楷体" w:cs="楷体"/>
          <w:sz w:val="32"/>
          <w:szCs w:val="32"/>
          <w:highlight w:val="none"/>
          <w:shd w:val="clear" w:color="auto" w:fill="FFFFFF"/>
        </w:rPr>
        <w:t>（二）机构设置</w:t>
      </w:r>
    </w:p>
    <w:p w14:paraId="6AF3AEDD">
      <w:pPr>
        <w:tabs>
          <w:tab w:val="center" w:pos="4153"/>
          <w:tab w:val="left" w:pos="7275"/>
        </w:tabs>
        <w:spacing w:line="600" w:lineRule="exact"/>
        <w:ind w:firstLine="640" w:firstLineChars="200"/>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rPr>
        <w:t>本单位无内部机构设置，2024年末实有在职职工1人。</w:t>
      </w:r>
      <w:r>
        <w:rPr>
          <w:rFonts w:hint="default" w:ascii="方正仿宋_GBK" w:hAnsi="方正仿宋_GBK" w:eastAsia="方正仿宋_GBK" w:cs="方正仿宋_GBK"/>
          <w:sz w:val="32"/>
          <w:szCs w:val="32"/>
          <w:highlight w:val="none"/>
        </w:rPr>
        <w:t xml:space="preserve"> </w:t>
      </w:r>
    </w:p>
    <w:p w14:paraId="7D4E88D8">
      <w:pPr>
        <w:pStyle w:val="6"/>
        <w:shd w:val="clear" w:color="auto" w:fill="FFFFFF"/>
        <w:ind w:firstLine="643" w:firstLineChars="200"/>
        <w:rPr>
          <w:rFonts w:hint="default" w:ascii="黑体" w:hAnsi="黑体" w:eastAsia="黑体" w:cs="黑体"/>
          <w:b/>
          <w:sz w:val="32"/>
          <w:szCs w:val="32"/>
          <w:highlight w:val="none"/>
          <w:shd w:val="clear" w:color="auto" w:fill="FFFFFF"/>
        </w:rPr>
      </w:pPr>
      <w:r>
        <w:rPr>
          <w:rStyle w:val="10"/>
          <w:rFonts w:ascii="黑体" w:hAnsi="黑体" w:eastAsia="黑体" w:cs="黑体"/>
          <w:sz w:val="32"/>
          <w:szCs w:val="32"/>
          <w:highlight w:val="none"/>
          <w:shd w:val="clear" w:color="auto" w:fill="FFFFFF"/>
        </w:rPr>
        <w:t>二、</w:t>
      </w:r>
      <w:r>
        <w:rPr>
          <w:rStyle w:val="10"/>
          <w:rFonts w:hint="eastAsia" w:ascii="黑体" w:hAnsi="黑体" w:eastAsia="黑体" w:cs="黑体"/>
          <w:sz w:val="32"/>
          <w:szCs w:val="32"/>
          <w:highlight w:val="none"/>
          <w:shd w:val="clear" w:color="auto" w:fill="FFFFFF"/>
          <w:lang w:eastAsia="zh-CN"/>
        </w:rPr>
        <w:t>单位</w:t>
      </w:r>
      <w:r>
        <w:rPr>
          <w:rStyle w:val="10"/>
          <w:rFonts w:ascii="黑体" w:hAnsi="黑体" w:eastAsia="黑体" w:cs="黑体"/>
          <w:sz w:val="32"/>
          <w:szCs w:val="32"/>
          <w:highlight w:val="none"/>
          <w:shd w:val="clear" w:color="auto" w:fill="FFFFFF"/>
        </w:rPr>
        <w:t>决算</w:t>
      </w:r>
      <w:r>
        <w:rPr>
          <w:rStyle w:val="10"/>
          <w:rFonts w:hint="eastAsia" w:ascii="黑体" w:hAnsi="黑体" w:eastAsia="黑体" w:cs="黑体"/>
          <w:sz w:val="32"/>
          <w:szCs w:val="32"/>
          <w:highlight w:val="none"/>
          <w:shd w:val="clear" w:color="auto" w:fill="FFFFFF"/>
          <w:lang w:eastAsia="zh-CN"/>
        </w:rPr>
        <w:t>收支</w:t>
      </w:r>
      <w:r>
        <w:rPr>
          <w:rStyle w:val="10"/>
          <w:rFonts w:ascii="黑体" w:hAnsi="黑体" w:eastAsia="黑体" w:cs="黑体"/>
          <w:sz w:val="32"/>
          <w:szCs w:val="32"/>
          <w:highlight w:val="none"/>
          <w:shd w:val="clear" w:color="auto" w:fill="FFFFFF"/>
        </w:rPr>
        <w:t>情况说明</w:t>
      </w:r>
    </w:p>
    <w:p w14:paraId="621CBA91">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（一）收入支出决算总体情况说明</w:t>
      </w:r>
      <w:bookmarkStart w:id="0" w:name="_GoBack"/>
    </w:p>
    <w:bookmarkEnd w:id="0"/>
    <w:p w14:paraId="55BF86CB">
      <w:pPr>
        <w:pStyle w:val="6"/>
        <w:shd w:val="clear" w:color="auto" w:fill="FFFFFF"/>
        <w:ind w:firstLine="643" w:firstLineChars="200"/>
        <w:rPr>
          <w:rFonts w:hint="default" w:ascii="方正仿宋_GBK" w:hAnsi="方正仿宋_GBK" w:eastAsia="方正仿宋_GBK" w:cs="方正仿宋_GBK"/>
          <w:sz w:val="32"/>
          <w:szCs w:val="32"/>
          <w:highlight w:val="none"/>
          <w:shd w:val="clear" w:color="auto" w:fill="FFFFFF"/>
          <w:woUserID w:val="1"/>
        </w:rPr>
      </w:pPr>
      <w:r>
        <w:rPr>
          <w:rStyle w:val="10"/>
          <w:rFonts w:ascii="方正仿宋_GBK" w:hAnsi="方正仿宋_GBK" w:eastAsia="方正仿宋_GBK" w:cs="方正仿宋_GBK"/>
          <w:sz w:val="32"/>
          <w:szCs w:val="32"/>
          <w:highlight w:val="none"/>
          <w:shd w:val="clear" w:color="auto" w:fill="FFFFFF"/>
        </w:rPr>
        <w:t>1.总体情况。</w:t>
      </w:r>
      <w:r>
        <w:rPr>
          <w:rFonts w:ascii="方正仿宋_GBK" w:hAnsi="方正仿宋_GBK" w:eastAsia="方正仿宋_GBK" w:cs="方正仿宋_GBK"/>
          <w:sz w:val="32"/>
          <w:szCs w:val="32"/>
          <w:highlight w:val="none"/>
          <w:shd w:val="clear" w:color="auto" w:fill="FFFFFF"/>
        </w:rPr>
        <w:t>2024年度收入总计30.50万元，支出总计</w:t>
      </w:r>
      <w:r>
        <w:rPr>
          <w:rFonts w:ascii="方正仿宋_GBK" w:hAnsi="方正仿宋_GBK" w:eastAsia="方正仿宋_GBK" w:cs="方正仿宋_GBK"/>
          <w:sz w:val="32"/>
          <w:szCs w:val="32"/>
          <w:highlight w:val="none"/>
        </w:rPr>
        <w:t>30.50</w:t>
      </w:r>
      <w:r>
        <w:rPr>
          <w:rFonts w:ascii="方正仿宋_GBK" w:hAnsi="方正仿宋_GBK" w:eastAsia="方正仿宋_GBK" w:cs="方正仿宋_GBK"/>
          <w:sz w:val="32"/>
          <w:szCs w:val="32"/>
          <w:highlight w:val="none"/>
          <w:shd w:val="clear" w:color="auto" w:fill="FFFFFF"/>
        </w:rPr>
        <w:t>万元。收、支与2023年度相比，减少15.47万元，下降33.65%，主要原因是</w:t>
      </w:r>
      <w:r>
        <w:rPr>
          <w:rFonts w:ascii="方正仿宋_GBK" w:hAnsi="方正仿宋_GBK" w:eastAsia="方正仿宋_GBK" w:cs="方正仿宋_GBK"/>
          <w:sz w:val="32"/>
          <w:szCs w:val="32"/>
          <w:highlight w:val="none"/>
          <w:shd w:val="clear" w:color="auto" w:fill="FFFFFF"/>
          <w:woUserID w:val="1"/>
        </w:rPr>
        <w:t>2023年年末实有在职职工2人，2024年年末实有在职职工1人，人员减少人员经费相应减少。</w:t>
      </w:r>
    </w:p>
    <w:p w14:paraId="7586AB95">
      <w:pPr>
        <w:pStyle w:val="6"/>
        <w:shd w:val="clear" w:color="auto" w:fill="FFFFFF"/>
        <w:ind w:firstLine="643" w:firstLineChars="200"/>
        <w:rPr>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2.收入情况。</w:t>
      </w:r>
      <w:r>
        <w:rPr>
          <w:rFonts w:ascii="方正仿宋_GBK" w:hAnsi="方正仿宋_GBK" w:eastAsia="方正仿宋_GBK" w:cs="方正仿宋_GBK"/>
          <w:sz w:val="32"/>
          <w:szCs w:val="32"/>
          <w:highlight w:val="none"/>
          <w:shd w:val="clear" w:color="auto" w:fill="FFFFFF"/>
        </w:rPr>
        <w:t>2024年度收入合计30.50万元，与2023年度相比，减少15.47万元，下降33.65%，主要原因</w:t>
      </w:r>
      <w:r>
        <w:rPr>
          <w:rFonts w:ascii="方正仿宋_GBK" w:hAnsi="方正仿宋_GBK" w:eastAsia="方正仿宋_GBK" w:cs="方正仿宋_GBK"/>
          <w:sz w:val="32"/>
          <w:szCs w:val="32"/>
          <w:highlight w:val="none"/>
          <w:shd w:val="clear" w:color="auto" w:fill="FFFFFF"/>
          <w:woUserID w:val="1"/>
        </w:rPr>
        <w:t>是2023年末实有在职职工2人，2024年末实有在职职工1人，人员减少人员经费相应减少。</w:t>
      </w:r>
      <w:r>
        <w:rPr>
          <w:rFonts w:ascii="方正仿宋_GBK" w:hAnsi="方正仿宋_GBK" w:eastAsia="方正仿宋_GBK" w:cs="方正仿宋_GBK"/>
          <w:sz w:val="32"/>
          <w:szCs w:val="32"/>
          <w:highlight w:val="none"/>
          <w:shd w:val="clear" w:color="auto" w:fill="FFFFFF"/>
        </w:rPr>
        <w:t>其中：财政拨款收入</w:t>
      </w:r>
      <w:r>
        <w:rPr>
          <w:rFonts w:ascii="方正仿宋_GBK" w:hAnsi="方正仿宋_GBK" w:eastAsia="方正仿宋_GBK" w:cs="方正仿宋_GBK"/>
          <w:sz w:val="32"/>
          <w:szCs w:val="32"/>
          <w:highlight w:val="none"/>
        </w:rPr>
        <w:t>30.50</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%；事业收入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万元，占0.00%；经营收入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万元，占0.00%；其他收入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万元，占0.00%。此外，使用非财政拨款结余和专用结余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万元，年初结转和结余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0F09176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3.支出情况。</w:t>
      </w:r>
      <w:r>
        <w:rPr>
          <w:rFonts w:ascii="方正仿宋_GBK" w:hAnsi="方正仿宋_GBK" w:eastAsia="方正仿宋_GBK" w:cs="方正仿宋_GBK"/>
          <w:sz w:val="32"/>
          <w:szCs w:val="32"/>
          <w:highlight w:val="none"/>
          <w:shd w:val="clear" w:color="auto" w:fill="FFFFFF"/>
        </w:rPr>
        <w:t>2024年度支出合计</w:t>
      </w:r>
      <w:r>
        <w:rPr>
          <w:rFonts w:ascii="方正仿宋_GBK" w:hAnsi="方正仿宋_GBK" w:eastAsia="方正仿宋_GBK" w:cs="方正仿宋_GBK"/>
          <w:sz w:val="32"/>
          <w:szCs w:val="32"/>
          <w:highlight w:val="none"/>
        </w:rPr>
        <w:t>30.50</w:t>
      </w:r>
      <w:r>
        <w:rPr>
          <w:rFonts w:ascii="方正仿宋_GBK" w:hAnsi="方正仿宋_GBK" w:eastAsia="方正仿宋_GBK" w:cs="方正仿宋_GBK"/>
          <w:sz w:val="32"/>
          <w:szCs w:val="32"/>
          <w:highlight w:val="none"/>
          <w:shd w:val="clear" w:color="auto" w:fill="FFFFFF"/>
        </w:rPr>
        <w:t>万元，与2023年度相比，减少15.47万元，下降33.65%，主要原因是</w:t>
      </w:r>
      <w:r>
        <w:rPr>
          <w:rFonts w:ascii="方正仿宋_GBK" w:hAnsi="方正仿宋_GBK" w:eastAsia="方正仿宋_GBK" w:cs="方正仿宋_GBK"/>
          <w:sz w:val="32"/>
          <w:szCs w:val="32"/>
          <w:highlight w:val="none"/>
          <w:shd w:val="clear" w:color="auto" w:fill="FFFFFF"/>
          <w:woUserID w:val="1"/>
        </w:rPr>
        <w:t>人员减少1人，人员经费相应减少</w:t>
      </w:r>
      <w:r>
        <w:rPr>
          <w:rFonts w:ascii="方正仿宋_GBK" w:hAnsi="方正仿宋_GBK" w:eastAsia="方正仿宋_GBK" w:cs="方正仿宋_GBK"/>
          <w:sz w:val="32"/>
          <w:szCs w:val="32"/>
          <w:highlight w:val="none"/>
          <w:shd w:val="clear" w:color="auto" w:fill="FFFFFF"/>
        </w:rPr>
        <w:t>。其中：基本支出</w:t>
      </w:r>
      <w:r>
        <w:rPr>
          <w:rFonts w:ascii="方正仿宋_GBK" w:hAnsi="方正仿宋_GBK" w:eastAsia="方正仿宋_GBK" w:cs="方正仿宋_GBK"/>
          <w:sz w:val="32"/>
          <w:szCs w:val="32"/>
          <w:highlight w:val="none"/>
        </w:rPr>
        <w:t>30.50</w:t>
      </w:r>
      <w:r>
        <w:rPr>
          <w:rFonts w:ascii="方正仿宋_GBK" w:hAnsi="方正仿宋_GBK" w:eastAsia="方正仿宋_GBK" w:cs="方正仿宋_GBK"/>
          <w:sz w:val="32"/>
          <w:szCs w:val="32"/>
          <w:highlight w:val="none"/>
          <w:shd w:val="clear" w:color="auto" w:fill="FFFFFF"/>
        </w:rPr>
        <w:t>万元，占100.00%；项目支出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万元，占0.00%；经营支出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万元，占0.00%。此外，结余分配</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57E73684">
      <w:pPr>
        <w:pStyle w:val="6"/>
        <w:snapToGrid w:val="0"/>
        <w:spacing w:before="0" w:beforeAutospacing="0" w:after="0" w:afterAutospacing="0" w:line="600" w:lineRule="exact"/>
        <w:ind w:firstLine="321" w:firstLineChars="100"/>
        <w:jc w:val="both"/>
        <w:rPr>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4.结转结余情况。</w:t>
      </w:r>
      <w:r>
        <w:rPr>
          <w:rFonts w:ascii="方正仿宋_GBK" w:hAnsi="方正仿宋_GBK" w:eastAsia="方正仿宋_GBK" w:cs="方正仿宋_GBK"/>
          <w:sz w:val="32"/>
          <w:szCs w:val="32"/>
          <w:highlight w:val="none"/>
          <w:shd w:val="clear" w:color="auto" w:fill="FFFFFF"/>
        </w:rPr>
        <w:t>2024年度年末结转和结余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万元，与2023年度相比，无增减，主要原因是本单位属于全额财政拨款单位，当年收支平衡，财政结转结余财政收回，因此无结转结余。</w:t>
      </w:r>
    </w:p>
    <w:p w14:paraId="30D0AC9C">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highlight w:val="none"/>
          <w:shd w:val="clear" w:color="auto" w:fill="FFFFFF"/>
        </w:rPr>
      </w:pPr>
      <w:r>
        <w:rPr>
          <w:rFonts w:ascii="楷体" w:hAnsi="楷体" w:eastAsia="楷体" w:cs="楷体"/>
          <w:b/>
          <w:bCs/>
          <w:sz w:val="32"/>
          <w:szCs w:val="32"/>
          <w:highlight w:val="none"/>
          <w:shd w:val="clear" w:color="auto" w:fill="FFFFFF"/>
        </w:rPr>
        <w:t>（二）财政拨款收入支出决算总体情况说明</w:t>
      </w:r>
    </w:p>
    <w:p w14:paraId="6675D8F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2024年度财政拨款收、支总计30.50万元。与2023年相比，财政拨款收、支总计各减少15.47万元，下降33.65%。主要原因是</w:t>
      </w:r>
      <w:r>
        <w:rPr>
          <w:rFonts w:ascii="方正仿宋_GBK" w:hAnsi="方正仿宋_GBK" w:eastAsia="方正仿宋_GBK" w:cs="方正仿宋_GBK"/>
          <w:sz w:val="32"/>
          <w:szCs w:val="32"/>
          <w:highlight w:val="none"/>
          <w:shd w:val="clear" w:color="auto" w:fill="FFFFFF"/>
          <w:woUserID w:val="1"/>
        </w:rPr>
        <w:t>2024年人员减少1人，人员经费相应减少</w:t>
      </w:r>
      <w:r>
        <w:rPr>
          <w:rFonts w:ascii="方正仿宋_GBK" w:hAnsi="方正仿宋_GBK" w:eastAsia="方正仿宋_GBK" w:cs="方正仿宋_GBK"/>
          <w:sz w:val="32"/>
          <w:szCs w:val="32"/>
          <w:highlight w:val="none"/>
          <w:shd w:val="clear" w:color="auto" w:fill="FFFFFF"/>
        </w:rPr>
        <w:t>。</w:t>
      </w:r>
    </w:p>
    <w:p w14:paraId="257DA838">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highlight w:val="none"/>
          <w:shd w:val="clear" w:color="auto" w:fill="FFFFFF"/>
        </w:rPr>
      </w:pPr>
      <w:r>
        <w:rPr>
          <w:rFonts w:ascii="楷体" w:hAnsi="楷体" w:eastAsia="楷体" w:cs="楷体"/>
          <w:b/>
          <w:bCs/>
          <w:sz w:val="32"/>
          <w:szCs w:val="32"/>
          <w:highlight w:val="none"/>
          <w:shd w:val="clear" w:color="auto" w:fill="FFFFFF"/>
        </w:rPr>
        <w:t>（三）一般公共预算财政拨款收入支出决算情况说明</w:t>
      </w:r>
    </w:p>
    <w:p w14:paraId="325D0A5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1.收入情况。</w:t>
      </w:r>
      <w:r>
        <w:rPr>
          <w:rFonts w:ascii="方正仿宋_GBK" w:hAnsi="方正仿宋_GBK" w:eastAsia="方正仿宋_GBK" w:cs="方正仿宋_GBK"/>
          <w:sz w:val="32"/>
          <w:szCs w:val="32"/>
          <w:highlight w:val="none"/>
          <w:shd w:val="clear" w:color="auto" w:fill="FFFFFF"/>
        </w:rPr>
        <w:t>2024年度一般公共预算财政拨款收入</w:t>
      </w:r>
      <w:r>
        <w:rPr>
          <w:rFonts w:ascii="方正仿宋_GBK" w:hAnsi="方正仿宋_GBK" w:eastAsia="方正仿宋_GBK" w:cs="方正仿宋_GBK"/>
          <w:sz w:val="32"/>
          <w:szCs w:val="32"/>
          <w:highlight w:val="none"/>
        </w:rPr>
        <w:t>30.50</w:t>
      </w:r>
      <w:r>
        <w:rPr>
          <w:rFonts w:ascii="方正仿宋_GBK" w:hAnsi="方正仿宋_GBK" w:eastAsia="方正仿宋_GBK" w:cs="方正仿宋_GBK"/>
          <w:sz w:val="32"/>
          <w:szCs w:val="32"/>
          <w:highlight w:val="none"/>
          <w:shd w:val="clear" w:color="auto" w:fill="FFFFFF"/>
        </w:rPr>
        <w:t>万元，与2023年度相比，减少15.47万元，下降33.65%。主要原因是</w:t>
      </w:r>
      <w:r>
        <w:rPr>
          <w:rFonts w:ascii="方正仿宋_GBK" w:hAnsi="方正仿宋_GBK" w:eastAsia="方正仿宋_GBK" w:cs="方正仿宋_GBK"/>
          <w:sz w:val="32"/>
          <w:szCs w:val="32"/>
          <w:highlight w:val="none"/>
          <w:shd w:val="clear" w:color="auto" w:fill="FFFFFF"/>
          <w:woUserID w:val="1"/>
        </w:rPr>
        <w:t>2024年减少1人，</w:t>
      </w:r>
      <w:r>
        <w:rPr>
          <w:rFonts w:ascii="方正仿宋_GBK" w:hAnsi="方正仿宋_GBK" w:eastAsia="方正仿宋_GBK" w:cs="方正仿宋_GBK"/>
          <w:sz w:val="32"/>
          <w:szCs w:val="32"/>
          <w:highlight w:val="none"/>
          <w:shd w:val="clear" w:color="auto" w:fill="FFFFFF"/>
        </w:rPr>
        <w:t>减少本年度人员经费。较年初预算数减少11.65万元，下降27.64%。主要原因是人员经费减少。此外，年初财政拨款结转和结余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70D02CA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2.支出情况。</w:t>
      </w:r>
      <w:r>
        <w:rPr>
          <w:rFonts w:ascii="方正仿宋_GBK" w:hAnsi="方正仿宋_GBK" w:eastAsia="方正仿宋_GBK" w:cs="方正仿宋_GBK"/>
          <w:sz w:val="32"/>
          <w:szCs w:val="32"/>
          <w:highlight w:val="none"/>
          <w:shd w:val="clear" w:color="auto" w:fill="FFFFFF"/>
        </w:rPr>
        <w:t>2024年度一般公共预算财政拨款支出</w:t>
      </w:r>
      <w:r>
        <w:rPr>
          <w:rFonts w:ascii="方正仿宋_GBK" w:hAnsi="方正仿宋_GBK" w:eastAsia="方正仿宋_GBK" w:cs="方正仿宋_GBK"/>
          <w:sz w:val="32"/>
          <w:szCs w:val="32"/>
          <w:highlight w:val="none"/>
        </w:rPr>
        <w:t>30.50</w:t>
      </w:r>
      <w:r>
        <w:rPr>
          <w:rFonts w:ascii="方正仿宋_GBK" w:hAnsi="方正仿宋_GBK" w:eastAsia="方正仿宋_GBK" w:cs="方正仿宋_GBK"/>
          <w:sz w:val="32"/>
          <w:szCs w:val="32"/>
          <w:highlight w:val="none"/>
          <w:shd w:val="clear" w:color="auto" w:fill="FFFFFF"/>
        </w:rPr>
        <w:t>万元，与2023年度相比，减少15.47万元，下降33.65%。主要原因是</w:t>
      </w:r>
      <w:r>
        <w:rPr>
          <w:rFonts w:ascii="方正仿宋_GBK" w:hAnsi="方正仿宋_GBK" w:eastAsia="方正仿宋_GBK" w:cs="方正仿宋_GBK"/>
          <w:sz w:val="32"/>
          <w:szCs w:val="32"/>
          <w:highlight w:val="none"/>
          <w:shd w:val="clear" w:color="auto" w:fill="FFFFFF"/>
          <w:woUserID w:val="1"/>
        </w:rPr>
        <w:t>2024年减少1人，</w:t>
      </w:r>
      <w:r>
        <w:rPr>
          <w:rFonts w:ascii="方正仿宋_GBK" w:hAnsi="方正仿宋_GBK" w:eastAsia="方正仿宋_GBK" w:cs="方正仿宋_GBK"/>
          <w:sz w:val="32"/>
          <w:szCs w:val="32"/>
          <w:highlight w:val="none"/>
          <w:shd w:val="clear" w:color="auto" w:fill="FFFFFF"/>
        </w:rPr>
        <w:t>减少本年度人员经费支出。较年初预算数减少11.65万元，下降27.64%。主要原因是人员经费减少。</w:t>
      </w:r>
    </w:p>
    <w:p w14:paraId="1442F46B">
      <w:pPr>
        <w:pStyle w:val="6"/>
        <w:snapToGrid w:val="0"/>
        <w:spacing w:before="0" w:beforeAutospacing="0" w:after="0" w:afterAutospacing="0" w:line="600" w:lineRule="exact"/>
        <w:ind w:firstLine="321" w:firstLineChars="1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3.结转结余情况。</w:t>
      </w:r>
      <w:r>
        <w:rPr>
          <w:rFonts w:ascii="方正仿宋_GBK" w:hAnsi="方正仿宋_GBK" w:eastAsia="方正仿宋_GBK" w:cs="方正仿宋_GBK"/>
          <w:sz w:val="32"/>
          <w:szCs w:val="32"/>
          <w:highlight w:val="none"/>
          <w:shd w:val="clear" w:color="auto" w:fill="FFFFFF"/>
        </w:rPr>
        <w:t>2024年度年末一般公共预算财政拨款结转和结余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万元，与2023年度相比，无增减，主要原因是本单位属于全额财政拨款单位，当年收支平衡，财政结转结余</w:t>
      </w:r>
      <w:r>
        <w:rPr>
          <w:rFonts w:hint="eastAsia" w:ascii="方正仿宋_GBK" w:hAnsi="方正仿宋_GBK" w:eastAsia="方正仿宋_GBK" w:cs="方正仿宋_GBK"/>
          <w:sz w:val="32"/>
          <w:szCs w:val="32"/>
          <w:highlight w:val="none"/>
          <w:shd w:val="clear" w:color="auto" w:fill="FFFFFF"/>
          <w:lang w:eastAsia="zh-CN"/>
        </w:rPr>
        <w:t>财</w:t>
      </w:r>
      <w:r>
        <w:rPr>
          <w:rFonts w:ascii="方正仿宋_GBK" w:hAnsi="方正仿宋_GBK" w:eastAsia="方正仿宋_GBK" w:cs="方正仿宋_GBK"/>
          <w:sz w:val="32"/>
          <w:szCs w:val="32"/>
          <w:highlight w:val="none"/>
          <w:shd w:val="clear" w:color="auto" w:fill="FFFFFF"/>
        </w:rPr>
        <w:t>政收回，因此无结转结余。</w:t>
      </w:r>
    </w:p>
    <w:p w14:paraId="3949B557">
      <w:pPr>
        <w:pStyle w:val="6"/>
        <w:snapToGrid w:val="0"/>
        <w:spacing w:before="0" w:beforeAutospacing="0" w:after="0" w:afterAutospacing="0" w:line="600" w:lineRule="exact"/>
        <w:ind w:firstLine="321" w:firstLineChars="100"/>
        <w:jc w:val="both"/>
        <w:rPr>
          <w:rFonts w:hint="default" w:ascii="方正仿宋_GBK" w:hAnsi="方正仿宋_GBK" w:eastAsia="方正仿宋_GBK" w:cs="方正仿宋_GBK"/>
          <w:color w:val="FF0000"/>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 xml:space="preserve"> 4.比较情况。</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2024年度一般公共预算财政拨款支出主要用于以下几个方面：</w:t>
      </w:r>
    </w:p>
    <w:p w14:paraId="1570C78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（1）文化旅游体育与传媒支出</w:t>
      </w:r>
      <w:r>
        <w:rPr>
          <w:rFonts w:ascii="方正仿宋_GBK" w:hAnsi="方正仿宋_GBK" w:eastAsia="方正仿宋_GBK" w:cs="方正仿宋_GBK"/>
          <w:sz w:val="32"/>
          <w:szCs w:val="32"/>
          <w:highlight w:val="none"/>
        </w:rPr>
        <w:t>21.54</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70.63</w:t>
      </w:r>
      <w:r>
        <w:rPr>
          <w:rFonts w:ascii="方正仿宋_GBK" w:hAnsi="方正仿宋_GBK" w:eastAsia="方正仿宋_GBK" w:cs="方正仿宋_GBK"/>
          <w:sz w:val="32"/>
          <w:szCs w:val="32"/>
          <w:highlight w:val="none"/>
          <w:shd w:val="clear" w:color="auto" w:fill="FFFFFF"/>
        </w:rPr>
        <w:t>%，较年初预算数减少12.81万元，下降37.29%，主要原因是人员经费减少。</w:t>
      </w:r>
    </w:p>
    <w:p w14:paraId="0745F00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（2）社会保障与就业支出</w:t>
      </w:r>
      <w:r>
        <w:rPr>
          <w:rFonts w:ascii="方正仿宋_GBK" w:hAnsi="方正仿宋_GBK" w:eastAsia="方正仿宋_GBK" w:cs="方正仿宋_GBK"/>
          <w:sz w:val="32"/>
          <w:szCs w:val="32"/>
          <w:highlight w:val="none"/>
        </w:rPr>
        <w:t>5.69</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18.64</w:t>
      </w:r>
      <w:r>
        <w:rPr>
          <w:rFonts w:ascii="方正仿宋_GBK" w:hAnsi="方正仿宋_GBK" w:eastAsia="方正仿宋_GBK" w:cs="方正仿宋_GBK"/>
          <w:sz w:val="32"/>
          <w:szCs w:val="32"/>
          <w:highlight w:val="none"/>
          <w:shd w:val="clear" w:color="auto" w:fill="FFFFFF"/>
        </w:rPr>
        <w:t>%，较年初预算数增加1.62万元，增长39.80%，主要原因是补缴事业人员职业年金、养老保险等费用。</w:t>
      </w:r>
    </w:p>
    <w:p w14:paraId="22C503E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（3）卫生健康支出</w:t>
      </w:r>
      <w:r>
        <w:rPr>
          <w:rFonts w:ascii="方正仿宋_GBK" w:hAnsi="方正仿宋_GBK" w:eastAsia="方正仿宋_GBK" w:cs="方正仿宋_GBK"/>
          <w:sz w:val="32"/>
          <w:szCs w:val="32"/>
          <w:highlight w:val="none"/>
        </w:rPr>
        <w:t>1.24</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4.05</w:t>
      </w:r>
      <w:r>
        <w:rPr>
          <w:rFonts w:ascii="方正仿宋_GBK" w:hAnsi="方正仿宋_GBK" w:eastAsia="方正仿宋_GBK" w:cs="方正仿宋_GBK"/>
          <w:sz w:val="32"/>
          <w:szCs w:val="32"/>
          <w:highlight w:val="none"/>
          <w:shd w:val="clear" w:color="auto" w:fill="FFFFFF"/>
        </w:rPr>
        <w:t>%，较年初预算数减少0.46万元，下降27.06%，主要原因是人员经费减少。</w:t>
      </w:r>
    </w:p>
    <w:p w14:paraId="159FFE1E">
      <w:pPr>
        <w:pStyle w:val="6"/>
        <w:snapToGrid w:val="0"/>
        <w:spacing w:before="0" w:beforeAutospacing="0" w:after="0" w:afterAutospacing="0" w:line="600" w:lineRule="exact"/>
        <w:ind w:firstLine="320" w:firstLineChars="100"/>
        <w:jc w:val="both"/>
        <w:rPr>
          <w:rFonts w:hint="default" w:ascii="方正仿宋_GBK" w:hAnsi="方正仿宋_GBK" w:eastAsia="方正仿宋_GBK" w:cs="方正仿宋_GBK"/>
          <w:sz w:val="32"/>
          <w:szCs w:val="32"/>
          <w:highlight w:val="none"/>
          <w:shd w:val="clear" w:color="auto" w:fill="FFFFFF"/>
        </w:rPr>
      </w:pPr>
      <w:r>
        <w:rPr>
          <w:rFonts w:cs="宋体"/>
          <w:sz w:val="32"/>
          <w:szCs w:val="32"/>
          <w:highlight w:val="none"/>
          <w:shd w:val="clear" w:color="auto" w:fill="FFFFFF"/>
        </w:rPr>
        <w:t> </w:t>
      </w:r>
      <w:r>
        <w:rPr>
          <w:rFonts w:ascii="方正仿宋_GBK" w:hAnsi="方正仿宋_GBK" w:eastAsia="方正仿宋_GBK" w:cs="方正仿宋_GBK"/>
          <w:sz w:val="32"/>
          <w:szCs w:val="32"/>
          <w:highlight w:val="none"/>
          <w:shd w:val="clear" w:color="auto" w:fill="FFFFFF"/>
        </w:rPr>
        <w:t>（4）</w:t>
      </w:r>
      <w:r>
        <w:rPr>
          <w:rFonts w:ascii="方正仿宋_GBK" w:hAnsi="方正仿宋_GBK" w:eastAsia="方正仿宋_GBK" w:cs="方正仿宋_GBK"/>
          <w:sz w:val="32"/>
          <w:szCs w:val="32"/>
          <w:highlight w:val="none"/>
        </w:rPr>
        <w:t>住房保障支出2.04</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6.67</w:t>
      </w:r>
      <w:r>
        <w:rPr>
          <w:rFonts w:ascii="方正仿宋_GBK" w:hAnsi="方正仿宋_GBK" w:eastAsia="方正仿宋_GBK" w:cs="方正仿宋_GBK"/>
          <w:sz w:val="32"/>
          <w:szCs w:val="32"/>
          <w:highlight w:val="none"/>
          <w:shd w:val="clear" w:color="auto" w:fill="FFFFFF"/>
        </w:rPr>
        <w:t>%，较年初预算数无增减，主要原因是严格按预算执行。</w:t>
      </w:r>
    </w:p>
    <w:p w14:paraId="61B4D78A">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（四）一般公共预算财政拨款基本支出决算情况说明</w:t>
      </w:r>
    </w:p>
    <w:p w14:paraId="6D38F62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2024年度一般公共财政拨款基本支出</w:t>
      </w:r>
      <w:r>
        <w:rPr>
          <w:rFonts w:ascii="方正仿宋_GBK" w:hAnsi="方正仿宋_GBK" w:eastAsia="方正仿宋_GBK" w:cs="方正仿宋_GBK"/>
          <w:sz w:val="32"/>
          <w:szCs w:val="32"/>
          <w:highlight w:val="none"/>
        </w:rPr>
        <w:t>30.50</w:t>
      </w:r>
      <w:r>
        <w:rPr>
          <w:rFonts w:ascii="方正仿宋_GBK" w:hAnsi="方正仿宋_GBK" w:eastAsia="方正仿宋_GBK" w:cs="方正仿宋_GBK"/>
          <w:sz w:val="32"/>
          <w:szCs w:val="32"/>
          <w:highlight w:val="none"/>
          <w:shd w:val="clear" w:color="auto" w:fill="FFFFFF"/>
        </w:rPr>
        <w:t>万元。其中：人员经费</w:t>
      </w:r>
      <w:r>
        <w:rPr>
          <w:rFonts w:ascii="方正仿宋_GBK" w:hAnsi="方正仿宋_GBK" w:eastAsia="方正仿宋_GBK" w:cs="方正仿宋_GBK"/>
          <w:sz w:val="32"/>
          <w:szCs w:val="32"/>
          <w:highlight w:val="none"/>
        </w:rPr>
        <w:t>26.75</w:t>
      </w:r>
      <w:r>
        <w:rPr>
          <w:rFonts w:ascii="方正仿宋_GBK" w:hAnsi="方正仿宋_GBK" w:eastAsia="方正仿宋_GBK" w:cs="方正仿宋_GBK"/>
          <w:sz w:val="32"/>
          <w:szCs w:val="32"/>
          <w:highlight w:val="none"/>
          <w:shd w:val="clear" w:color="auto" w:fill="FFFFFF"/>
        </w:rPr>
        <w:t>万元，与2023年度相比，减少13.87万元，下降34.15%，主要原因是人员变动导致工资、绩效、公用经费等下降。人员经费用途主要包括</w:t>
      </w:r>
      <w:r>
        <w:rPr>
          <w:rFonts w:ascii="方正仿宋_GBK" w:hAnsi="方正仿宋_GBK" w:eastAsia="方正仿宋_GBK" w:cs="方正仿宋_GBK"/>
          <w:sz w:val="32"/>
          <w:szCs w:val="32"/>
          <w:highlight w:val="none"/>
        </w:rPr>
        <w:t>人员基本工资、津贴、补贴、基础绩效、超额绩效、社会保障费、住房公积金等。</w:t>
      </w:r>
      <w:r>
        <w:rPr>
          <w:rFonts w:ascii="方正仿宋_GBK" w:hAnsi="方正仿宋_GBK" w:eastAsia="方正仿宋_GBK" w:cs="方正仿宋_GBK"/>
          <w:sz w:val="32"/>
          <w:szCs w:val="32"/>
          <w:highlight w:val="none"/>
          <w:shd w:val="clear" w:color="auto" w:fill="FFFFFF"/>
        </w:rPr>
        <w:t>公用经费</w:t>
      </w:r>
      <w:r>
        <w:rPr>
          <w:rFonts w:ascii="方正仿宋_GBK" w:hAnsi="方正仿宋_GBK" w:eastAsia="方正仿宋_GBK" w:cs="方正仿宋_GBK"/>
          <w:sz w:val="32"/>
          <w:szCs w:val="32"/>
          <w:highlight w:val="none"/>
        </w:rPr>
        <w:t>3.74</w:t>
      </w:r>
      <w:r>
        <w:rPr>
          <w:rFonts w:ascii="方正仿宋_GBK" w:hAnsi="方正仿宋_GBK" w:eastAsia="方正仿宋_GBK" w:cs="方正仿宋_GBK"/>
          <w:sz w:val="32"/>
          <w:szCs w:val="32"/>
          <w:highlight w:val="none"/>
          <w:shd w:val="clear" w:color="auto" w:fill="FFFFFF"/>
        </w:rPr>
        <w:t>万元，与2023年度相比，减少1.61万元，下降30.09%，主要原因是人员减少</w:t>
      </w:r>
      <w:r>
        <w:rPr>
          <w:rFonts w:ascii="方正仿宋_GBK" w:hAnsi="方正仿宋_GBK" w:eastAsia="方正仿宋_GBK" w:cs="方正仿宋_GBK"/>
          <w:sz w:val="32"/>
          <w:szCs w:val="32"/>
          <w:highlight w:val="none"/>
          <w:shd w:val="clear" w:color="auto" w:fill="FFFFFF"/>
          <w:woUserID w:val="1"/>
        </w:rPr>
        <w:t>，减少</w:t>
      </w:r>
      <w:r>
        <w:rPr>
          <w:rFonts w:ascii="方正仿宋_GBK" w:hAnsi="方正仿宋_GBK" w:eastAsia="方正仿宋_GBK" w:cs="方正仿宋_GBK"/>
          <w:sz w:val="32"/>
          <w:szCs w:val="32"/>
          <w:highlight w:val="none"/>
          <w:shd w:val="clear" w:color="auto" w:fill="FFFFFF"/>
        </w:rPr>
        <w:t>日常公用经费支出。公用经费用途主要包括差旅费、办公费、工会经费等。</w:t>
      </w:r>
    </w:p>
    <w:p w14:paraId="7FB85E47">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（五）政府性基金预算收支决算情况说明</w:t>
      </w:r>
    </w:p>
    <w:p w14:paraId="77AECC4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2024年度政府性基金预算财政拨款年初结转结余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万元，年末结转结余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万元。本年收入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万元，与2023年度相比，无增减，主要原因是</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2024年度无政府性基金预算财政拨款收入。本年支出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万元，与2023年度相比，无增减，主要原因是</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2024年度无政府性基金预算财政拨款支出。</w:t>
      </w:r>
    </w:p>
    <w:p w14:paraId="571DED32">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（六）国有资本经营预算财政拨款支出决算情况说明</w:t>
      </w:r>
    </w:p>
    <w:p w14:paraId="5C69F7A1">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 </w:t>
      </w:r>
      <w:r>
        <w:rPr>
          <w:rFonts w:hint="eastAsia" w:ascii="方正仿宋_GBK" w:hAnsi="方正仿宋_GBK" w:eastAsia="方正仿宋_GBK" w:cs="方正仿宋_GBK"/>
          <w:sz w:val="32"/>
          <w:szCs w:val="32"/>
          <w:highlight w:val="none"/>
          <w:shd w:val="clear" w:color="auto" w:fill="FFFFFF"/>
          <w:lang w:val="en-US" w:eastAsia="zh-CN"/>
        </w:rPr>
        <w:t xml:space="preserve">   </w:t>
      </w:r>
      <w:r>
        <w:rPr>
          <w:rFonts w:ascii="方正仿宋_GBK" w:hAnsi="方正仿宋_GBK" w:eastAsia="方正仿宋_GBK" w:cs="方正仿宋_GBK"/>
          <w:sz w:val="32"/>
          <w:szCs w:val="32"/>
          <w:highlight w:val="none"/>
          <w:shd w:val="clear" w:color="auto" w:fill="FFFFFF"/>
        </w:rPr>
        <w:t>2024年度国有资本经营预算财政拨本年支出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万元，基本支出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万元，项目支出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2024年度无国有资本经营预算财政拨款支出。</w:t>
      </w:r>
    </w:p>
    <w:p w14:paraId="11380818">
      <w:pPr>
        <w:pStyle w:val="6"/>
        <w:shd w:val="clear" w:color="auto" w:fill="FFFFFF"/>
        <w:ind w:firstLine="643" w:firstLineChars="200"/>
        <w:rPr>
          <w:rStyle w:val="10"/>
          <w:rFonts w:hint="default"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三、</w:t>
      </w:r>
      <w:r>
        <w:rPr>
          <w:rStyle w:val="10"/>
          <w:rFonts w:hint="eastAsia" w:ascii="黑体" w:hAnsi="黑体" w:eastAsia="黑体" w:cs="黑体"/>
          <w:sz w:val="32"/>
          <w:szCs w:val="32"/>
          <w:highlight w:val="none"/>
          <w:shd w:val="clear" w:color="auto" w:fill="FFFFFF"/>
          <w:lang w:eastAsia="zh-CN"/>
        </w:rPr>
        <w:t>财政拨款</w:t>
      </w:r>
      <w:r>
        <w:rPr>
          <w:rStyle w:val="10"/>
          <w:rFonts w:ascii="黑体" w:hAnsi="黑体" w:eastAsia="黑体" w:cs="黑体"/>
          <w:sz w:val="32"/>
          <w:szCs w:val="32"/>
          <w:highlight w:val="none"/>
          <w:shd w:val="clear" w:color="auto" w:fill="FFFFFF"/>
        </w:rPr>
        <w:t>“三公”经费情况说明</w:t>
      </w:r>
    </w:p>
    <w:p w14:paraId="0EFB6111">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（一）“三公”经费支出总体情况说明</w:t>
      </w:r>
    </w:p>
    <w:p w14:paraId="726676B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2024年度“三公”经费支出共计</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万元，较年初预算数无增减，主要原因是我单位2024年未发生“三公”经费支出。较上年支出数无增减，主要原因是我单位本年及上年均未发生“三公”经费支出。</w:t>
      </w:r>
    </w:p>
    <w:p w14:paraId="298AE807">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highlight w:val="none"/>
          <w:shd w:val="clear" w:color="auto" w:fill="FFFFFF"/>
        </w:rPr>
      </w:pPr>
      <w:r>
        <w:rPr>
          <w:rFonts w:ascii="楷体" w:hAnsi="楷体" w:eastAsia="楷体" w:cs="楷体"/>
          <w:b/>
          <w:bCs/>
          <w:sz w:val="32"/>
          <w:szCs w:val="32"/>
          <w:highlight w:val="none"/>
          <w:shd w:val="clear" w:color="auto" w:fill="FFFFFF"/>
        </w:rPr>
        <w:t>（二）“三公”经费分项支出情况</w:t>
      </w:r>
    </w:p>
    <w:p w14:paraId="6E43DBDA">
      <w:pPr>
        <w:adjustRightInd w:val="0"/>
        <w:snapToGrid w:val="0"/>
        <w:spacing w:line="600" w:lineRule="exact"/>
        <w:ind w:firstLine="640" w:firstLineChars="200"/>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2024年度</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因公出国（境）费用</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万元，费用支出较年初预算数无增减，主要原因是年初预算数未安排因公出国（境）费用，本年度也未发生因公出国（境）费用。较上年支出数无增减，主要原因是上年和本年均未发生因公出国（境）费用。</w:t>
      </w:r>
    </w:p>
    <w:p w14:paraId="1F65D2F6">
      <w:pPr>
        <w:adjustRightInd w:val="0"/>
        <w:snapToGrid w:val="0"/>
        <w:spacing w:line="600" w:lineRule="exact"/>
        <w:ind w:firstLine="640" w:firstLineChars="200"/>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公务车购置费</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万元，费用支出较年初预算数无增减，主要原因是年初预算数未安排且本年未发生公务车购置费用。较上年支出数无增减，主要原因是上年和本年均未发生公务车购置费用。</w:t>
      </w:r>
    </w:p>
    <w:p w14:paraId="4EDE3DE9">
      <w:pPr>
        <w:adjustRightInd w:val="0"/>
        <w:snapToGrid w:val="0"/>
        <w:spacing w:line="600" w:lineRule="exact"/>
        <w:ind w:firstLine="640" w:firstLineChars="200"/>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公务车运行维护费</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万元，费用支出较年初预算数无增减，主要原因是年初预算数未安排且本年未发生公务车运行维护费用。较上年支出数无增减，主要原因是上年和本年均未发生公务车运行维护费用。</w:t>
      </w:r>
    </w:p>
    <w:p w14:paraId="321D4D6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公务接待费</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万元，费用支出较年初预算数无增减，主要原因是</w:t>
      </w:r>
      <w:r>
        <w:rPr>
          <w:rFonts w:ascii="方正仿宋_GBK" w:eastAsia="方正仿宋_GBK"/>
          <w:sz w:val="32"/>
          <w:szCs w:val="32"/>
          <w:highlight w:val="none"/>
        </w:rPr>
        <w:t>年初预算数未安排且本年未发生公务接待费用</w:t>
      </w:r>
      <w:r>
        <w:rPr>
          <w:rFonts w:ascii="方正仿宋_GBK" w:hAnsi="方正仿宋_GBK" w:eastAsia="方正仿宋_GBK" w:cs="方正仿宋_GBK"/>
          <w:sz w:val="32"/>
          <w:szCs w:val="32"/>
          <w:highlight w:val="none"/>
          <w:shd w:val="clear" w:color="auto" w:fill="FFFFFF"/>
        </w:rPr>
        <w:t>。较上年支出数无增减，主要原因是</w:t>
      </w:r>
      <w:r>
        <w:rPr>
          <w:rFonts w:ascii="方正仿宋_GBK" w:eastAsia="方正仿宋_GBK"/>
          <w:sz w:val="32"/>
          <w:szCs w:val="32"/>
          <w:highlight w:val="none"/>
        </w:rPr>
        <w:t>上年和本年均未发生公务接待费用。</w:t>
      </w:r>
    </w:p>
    <w:p w14:paraId="4D7F755D">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highlight w:val="none"/>
          <w:shd w:val="clear" w:color="auto" w:fill="FFFFFF"/>
        </w:rPr>
      </w:pPr>
      <w:r>
        <w:rPr>
          <w:rFonts w:ascii="楷体" w:hAnsi="楷体" w:eastAsia="楷体" w:cs="楷体"/>
          <w:b/>
          <w:bCs/>
          <w:sz w:val="32"/>
          <w:szCs w:val="32"/>
          <w:highlight w:val="none"/>
          <w:shd w:val="clear" w:color="auto" w:fill="FFFFFF"/>
        </w:rPr>
        <w:t>（三）“三公”经费实物量情况</w:t>
      </w:r>
    </w:p>
    <w:p w14:paraId="3C7BE84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2024年度</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因公出国（境）共计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个团组，</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人；公务用车购置</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辆，公务车保有量为</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辆；国内公务接待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人，其中：国内外事接待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人；国（境）外公务接待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人。2024年</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人均接待费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元，车均购置费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万元，车均维护费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w:t>
      </w:r>
    </w:p>
    <w:p w14:paraId="56C7D0EF">
      <w:pPr>
        <w:pStyle w:val="6"/>
        <w:shd w:val="clear" w:color="auto" w:fill="FFFFFF"/>
        <w:ind w:firstLine="643" w:firstLineChars="200"/>
        <w:rPr>
          <w:rStyle w:val="10"/>
          <w:rFonts w:hint="default"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四、其他需要说明的事项</w:t>
      </w:r>
    </w:p>
    <w:p w14:paraId="2767CFB3">
      <w:pPr>
        <w:pStyle w:val="11"/>
        <w:autoSpaceDE w:val="0"/>
        <w:ind w:firstLine="418" w:firstLineChars="13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（一）财政拨款会议费和培训费情况说明</w:t>
      </w:r>
    </w:p>
    <w:p w14:paraId="56B2271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本年度会议费支出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万元，与2023年度相比，无增减，主要原因是本单位无大型会议，无会议费用；本年度培训费支出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万元，与2023年度相比，无变化，主要原因是本单位未举行业务培训无费用支出。</w:t>
      </w:r>
    </w:p>
    <w:p w14:paraId="0B41B224">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（二）机关运行经费情况说明</w:t>
      </w:r>
    </w:p>
    <w:p w14:paraId="0800CC0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none"/>
        </w:rPr>
      </w:pPr>
      <w:r>
        <w:rPr>
          <w:rFonts w:ascii="方正仿宋_GBK" w:hAnsi="方正仿宋_GBK" w:eastAsia="方正仿宋_GBK" w:cs="方正仿宋_GBK"/>
          <w:sz w:val="32"/>
          <w:szCs w:val="32"/>
          <w:highlight w:val="none"/>
          <w:shd w:val="clear" w:color="auto" w:fill="FFFFFF"/>
        </w:rPr>
        <w:t>2024年度</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机关运行经费支出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万元，机关运行经费较上年支出数无增减，主要原因是</w:t>
      </w:r>
      <w:r>
        <w:rPr>
          <w:rFonts w:ascii="方正仿宋_GBK" w:eastAsia="方正仿宋_GBK"/>
          <w:bCs/>
          <w:sz w:val="32"/>
          <w:szCs w:val="32"/>
          <w:highlight w:val="none"/>
        </w:rPr>
        <w:t>按照部门决算列报口径，我单位不在机关运行经费统计范围之内。</w:t>
      </w:r>
    </w:p>
    <w:p w14:paraId="7D9D0DBF">
      <w:pPr>
        <w:pStyle w:val="11"/>
        <w:autoSpaceDE w:val="0"/>
        <w:ind w:firstLine="418" w:firstLineChars="13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（三）国有资产占用情况说明</w:t>
      </w:r>
    </w:p>
    <w:p w14:paraId="2A286A4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截至2024年12月31日，</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共有车辆</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辆，其中，副部（省）级及以上领导用车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辆、主要负责人用车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辆、机要通信用车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辆、应急保障用车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辆、执法执勤用车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辆，特种专业技术用车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辆，离退休干部用车</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辆。单价100万元（含）以上专用设备</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台（套）。</w:t>
      </w:r>
    </w:p>
    <w:p w14:paraId="261E5B27">
      <w:pPr>
        <w:pStyle w:val="11"/>
        <w:autoSpaceDE w:val="0"/>
        <w:ind w:firstLine="418" w:firstLineChars="13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（四）政府采购支出情况说明</w:t>
      </w:r>
    </w:p>
    <w:p w14:paraId="4FEAECC8">
      <w:pPr>
        <w:pStyle w:val="6"/>
        <w:snapToGrid w:val="0"/>
        <w:spacing w:before="0" w:beforeAutospacing="0" w:after="0" w:afterAutospacing="0" w:line="600" w:lineRule="exact"/>
        <w:ind w:firstLine="480" w:firstLineChars="15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 xml:space="preserve"> 2024年度</w:t>
      </w:r>
      <w:r>
        <w:rPr>
          <w:rFonts w:hint="eastAsia" w:ascii="方正仿宋_GBK" w:hAnsi="方正仿宋_GBK" w:eastAsia="方正仿宋_GBK" w:cs="方正仿宋_GBK"/>
          <w:sz w:val="32"/>
          <w:szCs w:val="32"/>
          <w:highlight w:val="none"/>
          <w:shd w:val="clear" w:color="auto" w:fill="FFFFFF"/>
          <w:lang w:eastAsia="zh-CN"/>
        </w:rPr>
        <w:t>本单位</w:t>
      </w:r>
      <w:r>
        <w:rPr>
          <w:rFonts w:ascii="方正仿宋_GBK" w:hAnsi="方正仿宋_GBK" w:eastAsia="方正仿宋_GBK" w:cs="方正仿宋_GBK"/>
          <w:sz w:val="32"/>
          <w:szCs w:val="32"/>
          <w:highlight w:val="none"/>
          <w:shd w:val="clear" w:color="auto" w:fill="FFFFFF"/>
        </w:rPr>
        <w:t>政府采购支出总额</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万元，其中：政府采购货物支出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万元、政府采购工程支出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万元、政府采购服务支出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万元。授予中小企业合同金额</w:t>
      </w:r>
      <w:r>
        <w:rPr>
          <w:rFonts w:ascii="方正仿宋_GBK" w:hAnsi="方正仿宋_GBK" w:eastAsia="方正仿宋_GBK" w:cs="方正仿宋_GBK"/>
          <w:sz w:val="32"/>
          <w:szCs w:val="32"/>
          <w:highlight w:val="none"/>
        </w:rPr>
        <w:t>0.00万</w:t>
      </w:r>
      <w:r>
        <w:rPr>
          <w:rFonts w:ascii="方正仿宋_GBK" w:hAnsi="方正仿宋_GBK" w:eastAsia="方正仿宋_GBK" w:cs="方正仿宋_GBK"/>
          <w:sz w:val="32"/>
          <w:szCs w:val="32"/>
          <w:highlight w:val="none"/>
          <w:shd w:val="clear" w:color="auto" w:fill="FFFFFF"/>
        </w:rPr>
        <w:t>元，占政府采购支出总额的</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%，其中：授予小微企业合同金额</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万元，占政府采购支出总额的</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 xml:space="preserve"> %。2024年度我单位未发生政府采购事项，无相关经费支出。</w:t>
      </w:r>
    </w:p>
    <w:p w14:paraId="1FD65EEF">
      <w:pPr>
        <w:pStyle w:val="6"/>
        <w:shd w:val="clear" w:color="auto" w:fill="FFFFFF"/>
        <w:ind w:firstLine="643" w:firstLineChars="200"/>
        <w:rPr>
          <w:rStyle w:val="10"/>
          <w:rFonts w:hint="default" w:ascii="黑体" w:hAnsi="黑体" w:eastAsia="黑体" w:cs="黑体"/>
          <w:sz w:val="32"/>
          <w:szCs w:val="32"/>
          <w:highlight w:val="none"/>
          <w:shd w:val="clear" w:color="auto" w:fill="FFFFFF"/>
        </w:rPr>
      </w:pPr>
      <w:r>
        <w:rPr>
          <w:rStyle w:val="10"/>
          <w:rFonts w:hint="eastAsia" w:ascii="黑体" w:hAnsi="黑体" w:eastAsia="黑体" w:cs="黑体"/>
          <w:sz w:val="32"/>
          <w:szCs w:val="32"/>
          <w:highlight w:val="none"/>
          <w:shd w:val="clear" w:color="auto" w:fill="FFFFFF"/>
          <w:lang w:val="en-US" w:eastAsia="zh-CN" w:bidi="ar-SA"/>
        </w:rPr>
        <w:t>五、2024年度预算绩效管理情况说明</w:t>
      </w:r>
    </w:p>
    <w:p w14:paraId="087D20B8">
      <w:pPr>
        <w:pStyle w:val="11"/>
        <w:autoSpaceDE w:val="0"/>
        <w:ind w:firstLine="418" w:firstLineChars="130"/>
        <w:rPr>
          <w:rFonts w:hint="eastAsia"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w:t>
      </w:r>
      <w:r>
        <w:rPr>
          <w:rFonts w:hint="eastAsia" w:ascii="楷体" w:hAnsi="楷体" w:eastAsia="楷体" w:cs="楷体"/>
          <w:b/>
          <w:bCs/>
          <w:sz w:val="32"/>
          <w:szCs w:val="32"/>
          <w:highlight w:val="none"/>
          <w:shd w:val="clear" w:color="auto" w:fill="FFFFFF"/>
          <w:lang w:val="en-US" w:eastAsia="zh-CN"/>
        </w:rPr>
        <w:t>单位</w:t>
      </w:r>
      <w:r>
        <w:rPr>
          <w:rFonts w:hint="eastAsia" w:ascii="楷体" w:hAnsi="楷体" w:eastAsia="楷体" w:cs="楷体"/>
          <w:b/>
          <w:bCs/>
          <w:sz w:val="32"/>
          <w:szCs w:val="32"/>
          <w:highlight w:val="none"/>
          <w:shd w:val="clear" w:color="auto" w:fill="FFFFFF"/>
        </w:rPr>
        <w:t>自评情况</w:t>
      </w:r>
    </w:p>
    <w:p w14:paraId="42C5CC49">
      <w:pPr>
        <w:pStyle w:val="11"/>
        <w:autoSpaceDE w:val="0"/>
        <w:ind w:firstLine="416" w:firstLineChars="130"/>
        <w:rPr>
          <w:rFonts w:ascii="楷体" w:hAnsi="楷体" w:eastAsia="楷体" w:cs="楷体"/>
          <w:b/>
          <w:bCs/>
          <w:sz w:val="32"/>
          <w:szCs w:val="32"/>
          <w:highlight w:val="none"/>
          <w:shd w:val="clear" w:color="auto" w:fill="FFFFFF"/>
        </w:rPr>
      </w:pPr>
      <w:r>
        <w:rPr>
          <w:rFonts w:hint="eastAsia" w:ascii="方正仿宋_GBK" w:hAnsi="等线" w:eastAsia="方正仿宋_GBK"/>
          <w:kern w:val="2"/>
          <w:sz w:val="32"/>
          <w:szCs w:val="32"/>
          <w:highlight w:val="none"/>
        </w:rPr>
        <w:t xml:space="preserve">  </w:t>
      </w:r>
      <w:r>
        <w:rPr>
          <w:rFonts w:hint="eastAsia" w:ascii="方正仿宋_GBK" w:hAnsi="等线" w:eastAsia="方正仿宋_GBK"/>
          <w:kern w:val="2"/>
          <w:sz w:val="32"/>
          <w:szCs w:val="32"/>
          <w:highlight w:val="none"/>
          <w:lang w:eastAsia="zh-CN"/>
        </w:rPr>
        <w:t>本单位无项目支出，</w:t>
      </w:r>
      <w:r>
        <w:rPr>
          <w:rFonts w:ascii="方正仿宋_GBK" w:hAnsi="等线" w:eastAsia="方正仿宋_GBK"/>
          <w:kern w:val="2"/>
          <w:sz w:val="32"/>
          <w:szCs w:val="32"/>
          <w:highlight w:val="none"/>
        </w:rPr>
        <w:t>未组织开展绩效自评。</w:t>
      </w:r>
      <w:r>
        <w:rPr>
          <w:rFonts w:ascii="方正仿宋_GBK" w:hAnsi="方正仿宋_GBK" w:eastAsia="方正仿宋_GBK" w:cs="方正仿宋_GBK"/>
          <w:sz w:val="32"/>
          <w:szCs w:val="32"/>
          <w:highlight w:val="none"/>
        </w:rPr>
        <w:fldChar w:fldCharType="begin"/>
      </w:r>
      <w:r>
        <w:rPr>
          <w:rFonts w:ascii="方正仿宋_GBK" w:hAnsi="方正仿宋_GBK" w:eastAsia="方正仿宋_GBK" w:cs="方正仿宋_GBK"/>
          <w:sz w:val="32"/>
          <w:szCs w:val="32"/>
          <w:highlight w:val="none"/>
        </w:rPr>
        <w:instrText xml:space="preserve"> INCLUDEPICTURE  "C:\\KSVDUS~1\\Users\\ADMINI~1\\AppData\\Local\\Temp\\1335bc9cbe6d457987858077ced446ae\\Users\\215\\AppData\\Local\\Temp\\~tmp{171f5b8d-f314-409d-80c2-590436aac052}67358.files\\~tmp{171f5b8d-f314-409d-80c2-590436aac052}673587679.png" \* MERGEFORMATINET </w:instrText>
      </w:r>
      <w:r>
        <w:rPr>
          <w:rFonts w:ascii="方正仿宋_GBK" w:hAnsi="方正仿宋_GBK" w:eastAsia="方正仿宋_GBK" w:cs="方正仿宋_GBK"/>
          <w:sz w:val="32"/>
          <w:szCs w:val="32"/>
          <w:highlight w:val="none"/>
        </w:rPr>
        <w:fldChar w:fldCharType="end"/>
      </w:r>
    </w:p>
    <w:p w14:paraId="1D367713">
      <w:pPr>
        <w:pStyle w:val="11"/>
        <w:autoSpaceDE w:val="0"/>
        <w:ind w:firstLine="418" w:firstLineChars="13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w:t>
      </w:r>
      <w:r>
        <w:rPr>
          <w:rFonts w:hint="eastAsia" w:ascii="楷体" w:hAnsi="楷体" w:eastAsia="楷体" w:cs="楷体"/>
          <w:b/>
          <w:bCs/>
          <w:sz w:val="32"/>
          <w:szCs w:val="32"/>
          <w:highlight w:val="none"/>
          <w:shd w:val="clear" w:color="auto" w:fill="FFFFFF"/>
          <w:lang w:val="en-US" w:eastAsia="zh-CN"/>
        </w:rPr>
        <w:t>单位</w:t>
      </w:r>
      <w:r>
        <w:rPr>
          <w:rFonts w:hint="eastAsia" w:ascii="楷体" w:hAnsi="楷体" w:eastAsia="楷体" w:cs="楷体"/>
          <w:b/>
          <w:bCs/>
          <w:sz w:val="32"/>
          <w:szCs w:val="32"/>
          <w:highlight w:val="none"/>
          <w:shd w:val="clear" w:color="auto" w:fill="FFFFFF"/>
        </w:rPr>
        <w:t>绩效评价情况</w:t>
      </w:r>
    </w:p>
    <w:p w14:paraId="4B2C5F82">
      <w:pPr>
        <w:pStyle w:val="11"/>
        <w:autoSpaceDE w:val="0"/>
        <w:ind w:firstLine="416" w:firstLineChars="130"/>
        <w:rPr>
          <w:rFonts w:ascii="方正仿宋_GBK" w:hAnsi="等线" w:eastAsia="方正仿宋_GBK"/>
          <w:kern w:val="2"/>
          <w:sz w:val="32"/>
          <w:szCs w:val="32"/>
          <w:highlight w:val="none"/>
        </w:rPr>
      </w:pPr>
      <w:r>
        <w:rPr>
          <w:rFonts w:hint="eastAsia" w:ascii="方正仿宋_GBK" w:hAnsi="等线" w:eastAsia="方正仿宋_GBK"/>
          <w:kern w:val="2"/>
          <w:sz w:val="32"/>
          <w:szCs w:val="32"/>
          <w:highlight w:val="none"/>
        </w:rPr>
        <w:t xml:space="preserve"> </w:t>
      </w:r>
      <w:r>
        <w:rPr>
          <w:rFonts w:hint="eastAsia" w:ascii="方正仿宋_GBK" w:hAnsi="等线" w:eastAsia="方正仿宋_GBK"/>
          <w:kern w:val="2"/>
          <w:sz w:val="32"/>
          <w:szCs w:val="32"/>
          <w:highlight w:val="none"/>
          <w:lang w:eastAsia="zh-CN"/>
        </w:rPr>
        <w:t>本单位无项目支出，</w:t>
      </w:r>
      <w:r>
        <w:rPr>
          <w:rFonts w:hint="eastAsia" w:ascii="方正仿宋_GBK" w:hAnsi="等线" w:eastAsia="方正仿宋_GBK"/>
          <w:kern w:val="2"/>
          <w:sz w:val="32"/>
          <w:szCs w:val="32"/>
          <w:highlight w:val="none"/>
        </w:rPr>
        <w:t>未组织开展绩效评价。</w:t>
      </w:r>
    </w:p>
    <w:p w14:paraId="7EF230BD">
      <w:pPr>
        <w:pStyle w:val="11"/>
        <w:autoSpaceDE w:val="0"/>
        <w:ind w:firstLine="418" w:firstLineChars="13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（三）财政绩效评价情况</w:t>
      </w:r>
    </w:p>
    <w:p w14:paraId="24B51F2C">
      <w:pPr>
        <w:pStyle w:val="14"/>
        <w:autoSpaceDE w:val="0"/>
        <w:ind w:firstLine="640"/>
        <w:rPr>
          <w:rFonts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lang w:eastAsia="zh-CN"/>
        </w:rPr>
        <w:t>县</w:t>
      </w:r>
      <w:r>
        <w:rPr>
          <w:rFonts w:hint="eastAsia" w:ascii="方正仿宋_GBK" w:hAnsi="方正仿宋_GBK" w:eastAsia="方正仿宋_GBK" w:cs="方正仿宋_GBK"/>
          <w:sz w:val="32"/>
          <w:szCs w:val="32"/>
          <w:highlight w:val="none"/>
          <w:shd w:val="clear" w:color="auto" w:fill="FFFFFF"/>
        </w:rPr>
        <w:t>财政局未委托第三方对</w:t>
      </w:r>
      <w:r>
        <w:rPr>
          <w:rFonts w:hint="eastAsia" w:ascii="方正仿宋_GBK" w:hAnsi="方正仿宋_GBK" w:eastAsia="方正仿宋_GBK" w:cs="方正仿宋_GBK"/>
          <w:sz w:val="32"/>
          <w:szCs w:val="32"/>
          <w:highlight w:val="none"/>
          <w:shd w:val="clear" w:color="auto" w:fill="FFFFFF"/>
          <w:lang w:eastAsia="zh-CN"/>
        </w:rPr>
        <w:t>我单位</w:t>
      </w:r>
      <w:r>
        <w:rPr>
          <w:rFonts w:hint="eastAsia" w:ascii="方正仿宋_GBK" w:hAnsi="方正仿宋_GBK" w:eastAsia="方正仿宋_GBK" w:cs="方正仿宋_GBK"/>
          <w:sz w:val="32"/>
          <w:szCs w:val="32"/>
          <w:highlight w:val="none"/>
          <w:shd w:val="clear" w:color="auto" w:fill="FFFFFF"/>
        </w:rPr>
        <w:t>开展绩效评价。</w:t>
      </w:r>
    </w:p>
    <w:p w14:paraId="72B2FEDC">
      <w:pPr>
        <w:pStyle w:val="6"/>
        <w:shd w:val="clear" w:color="auto" w:fill="FFFFFF"/>
        <w:ind w:firstLine="643" w:firstLineChars="200"/>
        <w:rPr>
          <w:rStyle w:val="10"/>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 </w:t>
      </w:r>
      <w:r>
        <w:rPr>
          <w:rStyle w:val="10"/>
          <w:rFonts w:ascii="黑体" w:hAnsi="黑体" w:eastAsia="黑体" w:cs="黑体"/>
          <w:sz w:val="32"/>
          <w:szCs w:val="32"/>
          <w:highlight w:val="none"/>
          <w:shd w:val="clear" w:color="auto" w:fill="FFFFFF"/>
        </w:rPr>
        <w:t>六、专业名词解释</w:t>
      </w:r>
    </w:p>
    <w:p w14:paraId="43025A0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Fonts w:ascii="楷体" w:hAnsi="楷体" w:eastAsia="楷体" w:cs="楷体"/>
          <w:b/>
          <w:bCs/>
          <w:sz w:val="32"/>
          <w:szCs w:val="32"/>
          <w:highlight w:val="none"/>
          <w:shd w:val="clear" w:color="auto" w:fill="FFFFFF"/>
        </w:rPr>
        <w:t>（一）财政拨款收入：</w:t>
      </w:r>
      <w:r>
        <w:rPr>
          <w:rFonts w:ascii="方正仿宋_GBK" w:hAnsi="方正仿宋_GBK" w:eastAsia="方正仿宋_GBK" w:cs="方正仿宋_GBK"/>
          <w:sz w:val="32"/>
          <w:szCs w:val="32"/>
          <w:highlight w:val="none"/>
          <w:shd w:val="clear" w:color="auto" w:fill="FFFFFF"/>
        </w:rPr>
        <w:t>指本年度从本级财政部门取得的财政拨款，包括一般公共预算财政拨款和政府性基金预算财政拨款。</w:t>
      </w:r>
    </w:p>
    <w:p w14:paraId="2045D06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（二）事业收入</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指事业单位开展专业业务活动及其辅助活动取得的现金流入；事业单位收到的财政专户实际核拨的教育收费等资金在此反映。</w:t>
      </w:r>
    </w:p>
    <w:p w14:paraId="0659539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（三）经营收入</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指事业单位在专业业务活动及其辅助活动之外开展非独立核算经营活动取得的现金流入。</w:t>
      </w:r>
    </w:p>
    <w:p w14:paraId="0C43B33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（四）其他收入</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指单位取得的除“财政拨款收入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事业收入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E90FBA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（五）使用非财政拨款结余</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指单位在当年的“财政拨款收入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事业收入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经营收入</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其他收入”等不足以安排当年支出的情况下，使用以前年度积累的非财政拨款结余弥补本年度收支缺口的资金。</w:t>
      </w:r>
    </w:p>
    <w:p w14:paraId="3E580E5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（六）年初结转和结余</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指单位上年结转本年使用的基本支出结转、项目支出结转和结余、经营结余。</w:t>
      </w:r>
    </w:p>
    <w:p w14:paraId="2218FC9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（七）结余分配</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指单位按照国家有关规定，缴纳所得税、提取专用基金、转入非财政拨款结余等当年结余的分配情况。</w:t>
      </w:r>
    </w:p>
    <w:p w14:paraId="45987CF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（八）年末结转和结余</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指单位结转下年的基本支出结转、项目支出结转和结余、经营结余。</w:t>
      </w:r>
    </w:p>
    <w:p w14:paraId="09629E8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（九）基本支出</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AF072E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（十）项目支出</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指在基本支出之外为完成特定行政任务和事业发展目标所发生的支出。</w:t>
      </w:r>
    </w:p>
    <w:p w14:paraId="1303C24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（十一）经营支出</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指事业单位在专业业务活动及其辅助活动之外开展非独立核算经营活动发生的支出。</w:t>
      </w:r>
    </w:p>
    <w:p w14:paraId="582B968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（十二）“三公”经费</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D114EA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（十三）机关运行经费</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8396DB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（十四）工资福利支出（支出经济分类科目类级）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反映单位开支的在职职工和编制外长期聘用人员的各类劳动报酬，以及为上述人员缴纳的各项社会保险费等。</w:t>
      </w:r>
    </w:p>
    <w:p w14:paraId="60CBFCB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（十五）商品和服务支出（支出经济分类科目类级）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反映单位购买商品和服务的支出（不包括用于购置固定资产的支出、战略性和应急储备支出）。</w:t>
      </w:r>
    </w:p>
    <w:p w14:paraId="036C8B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（十六）对个人和家庭的补助（支出经济分类科目类级）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反映用于对个人和家庭的补助支出。</w:t>
      </w:r>
    </w:p>
    <w:p w14:paraId="20D5B33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楷体" w:hAnsi="楷体" w:eastAsia="楷体" w:cs="楷体"/>
          <w:sz w:val="32"/>
          <w:szCs w:val="32"/>
          <w:highlight w:val="none"/>
          <w:shd w:val="clear" w:color="auto" w:fill="FFFFFF"/>
        </w:rPr>
        <w:t>（十七）其他资本性支出（支出经济分类科目类级）</w:t>
      </w:r>
      <w:r>
        <w:rPr>
          <w:rFonts w:ascii="楷体" w:hAnsi="楷体" w:eastAsia="楷体" w:cs="楷体"/>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14:paraId="0B82C3CA">
      <w:pPr>
        <w:pStyle w:val="6"/>
        <w:shd w:val="clear" w:color="auto" w:fill="FFFFFF"/>
        <w:rPr>
          <w:rStyle w:val="10"/>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 xml:space="preserve">  </w:t>
      </w:r>
      <w:r>
        <w:rPr>
          <w:rStyle w:val="10"/>
          <w:rFonts w:ascii="黑体" w:hAnsi="黑体" w:eastAsia="黑体" w:cs="黑体"/>
          <w:sz w:val="32"/>
          <w:szCs w:val="32"/>
          <w:highlight w:val="none"/>
          <w:shd w:val="clear" w:color="auto" w:fill="FFFFFF"/>
        </w:rPr>
        <w:t>七、决算公开联系方式及信息反馈渠道</w:t>
      </w:r>
    </w:p>
    <w:p w14:paraId="6ED0572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本单位决算公开信息反馈和联系方式：</w:t>
      </w:r>
      <w:r>
        <w:rPr>
          <w:rFonts w:hint="eastAsia" w:ascii="方正仿宋_GBK" w:hAnsi="方正仿宋_GBK" w:eastAsia="方正仿宋_GBK" w:cs="方正仿宋_GBK"/>
          <w:sz w:val="32"/>
          <w:szCs w:val="32"/>
          <w:highlight w:val="none"/>
          <w:shd w:val="clear" w:color="auto" w:fill="FFFFFF"/>
          <w:lang w:val="en-US" w:eastAsia="zh-CN"/>
        </w:rPr>
        <w:t>洪老师</w:t>
      </w:r>
      <w:r>
        <w:rPr>
          <w:rFonts w:ascii="方正仿宋_GBK" w:hAnsi="方正仿宋_GBK" w:eastAsia="方正仿宋_GBK" w:cs="方正仿宋_GBK"/>
          <w:sz w:val="32"/>
          <w:szCs w:val="32"/>
          <w:highlight w:val="none"/>
          <w:shd w:val="clear" w:color="auto" w:fill="FFFFFF"/>
        </w:rPr>
        <w:t>023-74501855</w:t>
      </w:r>
    </w:p>
    <w:p w14:paraId="72A39FEB">
      <w:pPr>
        <w:pStyle w:val="11"/>
        <w:autoSpaceDE w:val="0"/>
        <w:ind w:firstLine="0" w:firstLineChars="0"/>
        <w:rPr>
          <w:rStyle w:val="10"/>
          <w:rFonts w:ascii="方正仿宋_GBK" w:hAnsi="方正仿宋_GBK" w:eastAsia="方正仿宋_GBK" w:cs="方正仿宋_GBK"/>
          <w:sz w:val="32"/>
          <w:szCs w:val="32"/>
          <w:highlight w:val="none"/>
          <w:shd w:val="clear" w:color="auto" w:fill="FFFF00"/>
        </w:rPr>
      </w:pPr>
    </w:p>
    <w:p w14:paraId="5189190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0"/>
          <w:rFonts w:ascii="方正仿宋_GBK" w:hAnsi="方正仿宋_GBK" w:eastAsia="方正仿宋_GBK" w:cs="方正仿宋_GBK"/>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highlight w:val="none"/>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highlight w:val="none"/>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highlight w:val="none"/>
              </w:rPr>
            </w:pPr>
            <w:r>
              <w:rPr>
                <w:rFonts w:cs="宋体"/>
                <w:sz w:val="20"/>
                <w:szCs w:val="20"/>
                <w:highlight w:val="none"/>
              </w:rPr>
              <w:t>单位：</w:t>
            </w:r>
            <w:r>
              <w:rPr>
                <w:sz w:val="20"/>
                <w:highlight w:val="none"/>
                <w:u w:color="auto"/>
              </w:rPr>
              <w:t>垫江县桂阳街道社区文化服务中心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30.50</w:t>
            </w:r>
            <w:r>
              <w:rPr>
                <w:rFonts w:ascii="Times New Roman" w:hAnsi="Times New Roman"/>
                <w:color w:val="000000"/>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5.69</w:t>
            </w:r>
            <w:r>
              <w:rPr>
                <w:rFonts w:ascii="Times New Roman" w:hAnsi="Times New Roman"/>
                <w:color w:val="000000"/>
                <w:sz w:val="20"/>
                <w:highlight w:val="none"/>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1.24</w:t>
            </w:r>
            <w:r>
              <w:rPr>
                <w:rFonts w:ascii="Times New Roman" w:hAnsi="Times New Roman"/>
                <w:color w:val="000000"/>
                <w:sz w:val="20"/>
                <w:highlight w:val="none"/>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2.04</w:t>
            </w:r>
            <w:r>
              <w:rPr>
                <w:rFonts w:ascii="Times New Roman" w:hAnsi="Times New Roman"/>
                <w:color w:val="000000"/>
                <w:sz w:val="20"/>
                <w:highlight w:val="none"/>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30.50</w:t>
            </w:r>
            <w:r>
              <w:rPr>
                <w:rFonts w:ascii="Times New Roman" w:hAnsi="Times New Roman"/>
                <w:color w:val="000000"/>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30.50</w:t>
            </w:r>
            <w:r>
              <w:rPr>
                <w:rFonts w:ascii="Times New Roman" w:hAnsi="Times New Roman"/>
                <w:color w:val="000000"/>
                <w:sz w:val="20"/>
                <w:highlight w:val="none"/>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30.50</w:t>
            </w:r>
            <w:r>
              <w:rPr>
                <w:rFonts w:ascii="Times New Roman" w:hAnsi="Times New Roman"/>
                <w:color w:val="000000"/>
                <w:sz w:val="20"/>
                <w:highlight w:val="none"/>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30.50</w:t>
            </w:r>
            <w:r>
              <w:rPr>
                <w:rFonts w:ascii="Times New Roman" w:hAnsi="Times New Roman"/>
                <w:color w:val="000000"/>
                <w:sz w:val="20"/>
                <w:highlight w:val="none"/>
                <w:u w:color="auto"/>
              </w:rPr>
              <w:t xml:space="preserve"> </w:t>
            </w:r>
          </w:p>
        </w:tc>
      </w:tr>
    </w:tbl>
    <w:p w14:paraId="5EF6E31A">
      <w:pPr>
        <w:rPr>
          <w:rFonts w:hint="default" w:cs="宋体"/>
          <w:sz w:val="21"/>
          <w:szCs w:val="21"/>
          <w:highlight w:val="none"/>
        </w:rPr>
      </w:pPr>
    </w:p>
    <w:p w14:paraId="648A4BBD">
      <w:pPr>
        <w:spacing w:line="240" w:lineRule="exact"/>
        <w:rPr>
          <w:rFonts w:hint="default" w:cs="宋体"/>
          <w:sz w:val="20"/>
          <w:szCs w:val="20"/>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sz w:val="20"/>
                <w:highlight w:val="none"/>
                <w:u w:color="auto"/>
              </w:rPr>
              <w:t>垫江县桂阳街道社区文化服务中心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highlight w:val="none"/>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highlight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highlight w:val="none"/>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highlight w:val="none"/>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highlight w:val="none"/>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highlight w:val="none"/>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30.50</w:t>
            </w:r>
            <w:r>
              <w:rPr>
                <w:rFonts w:ascii="Times New Roman" w:hAnsi="Times New Roman"/>
                <w:b/>
                <w:color w:val="000000"/>
                <w:sz w:val="20"/>
                <w:highlight w:val="none"/>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30.50</w:t>
            </w:r>
            <w:r>
              <w:rPr>
                <w:rFonts w:ascii="Times New Roman" w:hAnsi="Times New Roman"/>
                <w:b/>
                <w:color w:val="000000"/>
                <w:sz w:val="20"/>
                <w:highlight w:val="none"/>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highlight w:val="none"/>
              </w:rPr>
            </w:pPr>
            <w:r>
              <w:rPr>
                <w:rFonts w:cs="宋体"/>
                <w:b/>
                <w:color w:val="000000"/>
                <w:sz w:val="20"/>
                <w:szCs w:val="20"/>
                <w:highlight w:val="none"/>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52A0F1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B400">
            <w:pPr>
              <w:textAlignment w:val="center"/>
              <w:rPr>
                <w:rFonts w:hint="default" w:cs="宋体"/>
                <w:color w:val="000000"/>
                <w:sz w:val="20"/>
                <w:szCs w:val="20"/>
                <w:highlight w:val="none"/>
              </w:rPr>
            </w:pPr>
            <w:r>
              <w:rPr>
                <w:rFonts w:cs="宋体"/>
                <w:b/>
                <w:color w:val="000000"/>
                <w:sz w:val="20"/>
                <w:szCs w:val="20"/>
                <w:highlight w:val="none"/>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276FD">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0D4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BE2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AB4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346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550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EB8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7C1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31F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7F9F5E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4156">
            <w:pPr>
              <w:textAlignment w:val="center"/>
              <w:rPr>
                <w:rFonts w:hint="default" w:cs="宋体"/>
                <w:color w:val="000000"/>
                <w:sz w:val="20"/>
                <w:szCs w:val="20"/>
                <w:highlight w:val="none"/>
              </w:rPr>
            </w:pPr>
            <w:r>
              <w:rPr>
                <w:rFonts w:cs="宋体"/>
                <w:color w:val="000000"/>
                <w:sz w:val="20"/>
                <w:szCs w:val="20"/>
                <w:highlight w:val="none"/>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782BE">
            <w:pPr>
              <w:textAlignment w:val="center"/>
              <w:rPr>
                <w:rFonts w:hint="default" w:cs="宋体"/>
                <w:color w:val="000000"/>
                <w:sz w:val="20"/>
                <w:szCs w:val="20"/>
                <w:highlight w:val="none"/>
              </w:rPr>
            </w:pPr>
            <w:r>
              <w:rPr>
                <w:rFonts w:cs="宋体"/>
                <w:color w:val="000000"/>
                <w:sz w:val="20"/>
                <w:szCs w:val="20"/>
                <w:highlight w:val="none"/>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515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F0A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2FE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4BE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817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1B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DA79">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C0D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17947C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DF1A">
            <w:pPr>
              <w:textAlignment w:val="center"/>
              <w:rPr>
                <w:rFonts w:hint="default" w:cs="宋体"/>
                <w:color w:val="000000"/>
                <w:sz w:val="20"/>
                <w:szCs w:val="20"/>
                <w:highlight w:val="none"/>
              </w:rPr>
            </w:pPr>
            <w:r>
              <w:rPr>
                <w:rFonts w:cs="宋体"/>
                <w:b/>
                <w:color w:val="000000"/>
                <w:sz w:val="20"/>
                <w:szCs w:val="20"/>
                <w:highlight w:val="none"/>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B4276">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0A5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5.69</w:t>
            </w:r>
            <w:r>
              <w:rPr>
                <w:rFonts w:ascii="Times New Roman" w:hAnsi="Times New Roman"/>
                <w:b/>
                <w:color w:val="000000"/>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E89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5.69</w:t>
            </w:r>
            <w:r>
              <w:rPr>
                <w:rFonts w:ascii="Times New Roman" w:hAnsi="Times New Roman"/>
                <w:b/>
                <w:color w:val="000000"/>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FCE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EE9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064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E0E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5BB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3D0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22A553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3BE5">
            <w:pPr>
              <w:textAlignment w:val="center"/>
              <w:rPr>
                <w:rFonts w:hint="default" w:cs="宋体"/>
                <w:color w:val="000000"/>
                <w:sz w:val="20"/>
                <w:szCs w:val="20"/>
                <w:highlight w:val="none"/>
              </w:rPr>
            </w:pPr>
            <w:r>
              <w:rPr>
                <w:rFonts w:cs="宋体"/>
                <w:b/>
                <w:color w:val="000000"/>
                <w:sz w:val="20"/>
                <w:szCs w:val="20"/>
                <w:highlight w:val="none"/>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89AC1">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F92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5.69</w:t>
            </w:r>
            <w:r>
              <w:rPr>
                <w:rFonts w:ascii="Times New Roman" w:hAnsi="Times New Roman"/>
                <w:b/>
                <w:color w:val="000000"/>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84C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5.69</w:t>
            </w:r>
            <w:r>
              <w:rPr>
                <w:rFonts w:ascii="Times New Roman" w:hAnsi="Times New Roman"/>
                <w:b/>
                <w:color w:val="000000"/>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18C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D5B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603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99E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E6F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859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2C912E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765B">
            <w:pPr>
              <w:textAlignment w:val="center"/>
              <w:rPr>
                <w:rFonts w:hint="default" w:cs="宋体"/>
                <w:color w:val="000000"/>
                <w:sz w:val="20"/>
                <w:szCs w:val="20"/>
                <w:highlight w:val="none"/>
              </w:rPr>
            </w:pPr>
            <w:r>
              <w:rPr>
                <w:rFonts w:cs="宋体"/>
                <w:color w:val="000000"/>
                <w:sz w:val="20"/>
                <w:szCs w:val="20"/>
                <w:highlight w:val="none"/>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6D7D7">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FD9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3.78</w:t>
            </w:r>
            <w:r>
              <w:rPr>
                <w:rFonts w:ascii="Times New Roman" w:hAnsi="Times New Roman"/>
                <w:color w:val="000000"/>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A95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3.78</w:t>
            </w:r>
            <w:r>
              <w:rPr>
                <w:rFonts w:ascii="Times New Roman" w:hAnsi="Times New Roman"/>
                <w:color w:val="000000"/>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8EE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31E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A12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E9B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514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1AD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6C83F8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09C3">
            <w:pPr>
              <w:textAlignment w:val="center"/>
              <w:rPr>
                <w:rFonts w:hint="default" w:cs="宋体"/>
                <w:color w:val="000000"/>
                <w:sz w:val="20"/>
                <w:szCs w:val="20"/>
                <w:highlight w:val="none"/>
              </w:rPr>
            </w:pPr>
            <w:r>
              <w:rPr>
                <w:rFonts w:cs="宋体"/>
                <w:color w:val="000000"/>
                <w:sz w:val="20"/>
                <w:szCs w:val="20"/>
                <w:highlight w:val="none"/>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88A86">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F70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A9B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39B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396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EB8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E7F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BF1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180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3F5EFE1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A0D3">
            <w:pPr>
              <w:textAlignment w:val="center"/>
              <w:rPr>
                <w:rFonts w:hint="default" w:cs="宋体"/>
                <w:color w:val="000000"/>
                <w:sz w:val="20"/>
                <w:szCs w:val="20"/>
                <w:highlight w:val="none"/>
              </w:rPr>
            </w:pPr>
            <w:r>
              <w:rPr>
                <w:rFonts w:cs="宋体"/>
                <w:b/>
                <w:color w:val="000000"/>
                <w:sz w:val="20"/>
                <w:szCs w:val="20"/>
                <w:highlight w:val="none"/>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DD363">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E93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w:t>
            </w:r>
            <w:r>
              <w:rPr>
                <w:rFonts w:ascii="Times New Roman" w:hAnsi="Times New Roman"/>
                <w:b/>
                <w:color w:val="000000"/>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F43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w:t>
            </w:r>
            <w:r>
              <w:rPr>
                <w:rFonts w:ascii="Times New Roman" w:hAnsi="Times New Roman"/>
                <w:b/>
                <w:color w:val="000000"/>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E5E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965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EE6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ABE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8F0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8D7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1D8144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5F42">
            <w:pPr>
              <w:textAlignment w:val="center"/>
              <w:rPr>
                <w:rFonts w:hint="default" w:cs="宋体"/>
                <w:color w:val="000000"/>
                <w:sz w:val="20"/>
                <w:szCs w:val="20"/>
                <w:highlight w:val="none"/>
              </w:rPr>
            </w:pPr>
            <w:r>
              <w:rPr>
                <w:rFonts w:cs="宋体"/>
                <w:b/>
                <w:color w:val="000000"/>
                <w:sz w:val="20"/>
                <w:szCs w:val="20"/>
                <w:highlight w:val="none"/>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B3966">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77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w:t>
            </w:r>
            <w:r>
              <w:rPr>
                <w:rFonts w:ascii="Times New Roman" w:hAnsi="Times New Roman"/>
                <w:b/>
                <w:color w:val="000000"/>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3D0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w:t>
            </w:r>
            <w:r>
              <w:rPr>
                <w:rFonts w:ascii="Times New Roman" w:hAnsi="Times New Roman"/>
                <w:b/>
                <w:color w:val="000000"/>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763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C53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470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477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5F0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9B7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4B065BE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4AD4">
            <w:pPr>
              <w:textAlignment w:val="center"/>
              <w:rPr>
                <w:rFonts w:hint="default" w:cs="宋体"/>
                <w:color w:val="000000"/>
                <w:sz w:val="20"/>
                <w:szCs w:val="20"/>
                <w:highlight w:val="none"/>
              </w:rPr>
            </w:pPr>
            <w:r>
              <w:rPr>
                <w:rFonts w:cs="宋体"/>
                <w:color w:val="000000"/>
                <w:sz w:val="20"/>
                <w:szCs w:val="20"/>
                <w:highlight w:val="none"/>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E0D4F">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0D9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1.24</w:t>
            </w:r>
            <w:r>
              <w:rPr>
                <w:rFonts w:ascii="Times New Roman" w:hAnsi="Times New Roman"/>
                <w:color w:val="000000"/>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920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1.24</w:t>
            </w:r>
            <w:r>
              <w:rPr>
                <w:rFonts w:ascii="Times New Roman" w:hAnsi="Times New Roman"/>
                <w:color w:val="000000"/>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762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934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CF5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F3E2A">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0D8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8A2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22018C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E3F2">
            <w:pPr>
              <w:textAlignment w:val="center"/>
              <w:rPr>
                <w:rFonts w:hint="default" w:cs="宋体"/>
                <w:color w:val="000000"/>
                <w:sz w:val="20"/>
                <w:szCs w:val="20"/>
                <w:highlight w:val="none"/>
              </w:rPr>
            </w:pPr>
            <w:r>
              <w:rPr>
                <w:rFonts w:cs="宋体"/>
                <w:b/>
                <w:color w:val="000000"/>
                <w:sz w:val="20"/>
                <w:szCs w:val="20"/>
                <w:highlight w:val="none"/>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26381">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ACC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2.04</w:t>
            </w:r>
            <w:r>
              <w:rPr>
                <w:rFonts w:ascii="Times New Roman" w:hAnsi="Times New Roman"/>
                <w:b/>
                <w:color w:val="000000"/>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450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2.04</w:t>
            </w:r>
            <w:r>
              <w:rPr>
                <w:rFonts w:ascii="Times New Roman" w:hAnsi="Times New Roman"/>
                <w:b/>
                <w:color w:val="000000"/>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4ED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5F9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6A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D29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778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BBE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4BC16E3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8D6C">
            <w:pPr>
              <w:textAlignment w:val="center"/>
              <w:rPr>
                <w:rFonts w:hint="default" w:cs="宋体"/>
                <w:color w:val="000000"/>
                <w:sz w:val="20"/>
                <w:szCs w:val="20"/>
                <w:highlight w:val="none"/>
              </w:rPr>
            </w:pPr>
            <w:r>
              <w:rPr>
                <w:rFonts w:cs="宋体"/>
                <w:b/>
                <w:color w:val="000000"/>
                <w:sz w:val="20"/>
                <w:szCs w:val="20"/>
                <w:highlight w:val="none"/>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CDFF8">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669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2.04</w:t>
            </w:r>
            <w:r>
              <w:rPr>
                <w:rFonts w:ascii="Times New Roman" w:hAnsi="Times New Roman"/>
                <w:b/>
                <w:color w:val="000000"/>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C90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2.04</w:t>
            </w:r>
            <w:r>
              <w:rPr>
                <w:rFonts w:ascii="Times New Roman" w:hAnsi="Times New Roman"/>
                <w:b/>
                <w:color w:val="000000"/>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059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14D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71B6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8E7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7EC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65D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144E52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4A89">
            <w:pPr>
              <w:textAlignment w:val="center"/>
              <w:rPr>
                <w:rFonts w:hint="default" w:cs="宋体"/>
                <w:color w:val="000000"/>
                <w:sz w:val="20"/>
                <w:szCs w:val="20"/>
                <w:highlight w:val="none"/>
              </w:rPr>
            </w:pPr>
            <w:r>
              <w:rPr>
                <w:rFonts w:cs="宋体"/>
                <w:color w:val="000000"/>
                <w:sz w:val="20"/>
                <w:szCs w:val="20"/>
                <w:highlight w:val="none"/>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56FD5">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CCE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2.04</w:t>
            </w:r>
            <w:r>
              <w:rPr>
                <w:rFonts w:ascii="Times New Roman" w:hAnsi="Times New Roman"/>
                <w:color w:val="000000"/>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4AD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2.04</w:t>
            </w:r>
            <w:r>
              <w:rPr>
                <w:rFonts w:ascii="Times New Roman" w:hAnsi="Times New Roman"/>
                <w:color w:val="000000"/>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006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EA2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41A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7B5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17F6">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6F0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14:paraId="0E046D64">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14:paraId="01297F16">
      <w:pPr>
        <w:rPr>
          <w:rFonts w:hint="default" w:cs="宋体"/>
          <w:sz w:val="20"/>
          <w:szCs w:val="20"/>
          <w:highlight w:val="none"/>
        </w:rPr>
      </w:pPr>
      <w:r>
        <w:rPr>
          <w:rFonts w:cs="宋体"/>
          <w:sz w:val="20"/>
          <w:szCs w:val="20"/>
          <w:highlight w:val="none"/>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 xml:space="preserve">垫江县桂阳街道社区文化服务中心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highlight w:val="none"/>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highlight w:val="none"/>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highlight w:val="none"/>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highlight w:val="none"/>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30.50</w:t>
            </w:r>
            <w:r>
              <w:rPr>
                <w:rFonts w:ascii="Times New Roman" w:hAnsi="Times New Roman"/>
                <w:b/>
                <w:color w:val="000000"/>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30.50</w:t>
            </w:r>
            <w:r>
              <w:rPr>
                <w:rFonts w:ascii="Times New Roman" w:hAnsi="Times New Roman"/>
                <w:b/>
                <w:color w:val="000000"/>
                <w:sz w:val="20"/>
                <w:highlight w:val="none"/>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highlight w:val="none"/>
              </w:rPr>
            </w:pPr>
            <w:r>
              <w:rPr>
                <w:rFonts w:cs="宋体"/>
                <w:b/>
                <w:color w:val="000000"/>
                <w:sz w:val="20"/>
                <w:szCs w:val="20"/>
                <w:highlight w:val="none"/>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7679A5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0AD2">
            <w:pPr>
              <w:textAlignment w:val="center"/>
              <w:rPr>
                <w:rFonts w:hint="default" w:cs="宋体"/>
                <w:color w:val="000000"/>
                <w:sz w:val="20"/>
                <w:szCs w:val="20"/>
                <w:highlight w:val="none"/>
              </w:rPr>
            </w:pPr>
            <w:r>
              <w:rPr>
                <w:rFonts w:cs="宋体"/>
                <w:b/>
                <w:color w:val="000000"/>
                <w:sz w:val="20"/>
                <w:szCs w:val="20"/>
                <w:highlight w:val="none"/>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2A5C5">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966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11B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6A6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9F8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73E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93B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391AB8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0E6D">
            <w:pPr>
              <w:textAlignment w:val="center"/>
              <w:rPr>
                <w:rFonts w:hint="default" w:cs="宋体"/>
                <w:color w:val="000000"/>
                <w:sz w:val="20"/>
                <w:szCs w:val="20"/>
                <w:highlight w:val="none"/>
              </w:rPr>
            </w:pPr>
            <w:r>
              <w:rPr>
                <w:rFonts w:cs="宋体"/>
                <w:color w:val="000000"/>
                <w:sz w:val="20"/>
                <w:szCs w:val="20"/>
                <w:highlight w:val="none"/>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28C18">
            <w:pPr>
              <w:textAlignment w:val="center"/>
              <w:rPr>
                <w:rFonts w:hint="default" w:cs="宋体"/>
                <w:color w:val="000000"/>
                <w:sz w:val="20"/>
                <w:szCs w:val="20"/>
                <w:highlight w:val="none"/>
              </w:rPr>
            </w:pPr>
            <w:r>
              <w:rPr>
                <w:rFonts w:cs="宋体"/>
                <w:color w:val="000000"/>
                <w:sz w:val="20"/>
                <w:szCs w:val="20"/>
                <w:highlight w:val="none"/>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03F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852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0C6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9874">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923F">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EB4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58B183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5BD1">
            <w:pPr>
              <w:textAlignment w:val="center"/>
              <w:rPr>
                <w:rFonts w:hint="default" w:cs="宋体"/>
                <w:color w:val="000000"/>
                <w:sz w:val="20"/>
                <w:szCs w:val="20"/>
                <w:highlight w:val="none"/>
              </w:rPr>
            </w:pPr>
            <w:r>
              <w:rPr>
                <w:rFonts w:cs="宋体"/>
                <w:b/>
                <w:color w:val="000000"/>
                <w:sz w:val="20"/>
                <w:szCs w:val="20"/>
                <w:highlight w:val="none"/>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B1C0F">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0DC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5.69</w:t>
            </w:r>
            <w:r>
              <w:rPr>
                <w:rFonts w:ascii="Times New Roman" w:hAnsi="Times New Roman"/>
                <w:b/>
                <w:color w:val="000000"/>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603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5.69</w:t>
            </w:r>
            <w:r>
              <w:rPr>
                <w:rFonts w:ascii="Times New Roman" w:hAnsi="Times New Roman"/>
                <w:b/>
                <w:color w:val="000000"/>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22D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227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D7B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3EFA">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7E9742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45C6">
            <w:pPr>
              <w:textAlignment w:val="center"/>
              <w:rPr>
                <w:rFonts w:hint="default" w:cs="宋体"/>
                <w:color w:val="000000"/>
                <w:sz w:val="20"/>
                <w:szCs w:val="20"/>
                <w:highlight w:val="none"/>
              </w:rPr>
            </w:pPr>
            <w:r>
              <w:rPr>
                <w:rFonts w:cs="宋体"/>
                <w:b/>
                <w:color w:val="000000"/>
                <w:sz w:val="20"/>
                <w:szCs w:val="20"/>
                <w:highlight w:val="none"/>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4E66B">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415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5.69</w:t>
            </w:r>
            <w:r>
              <w:rPr>
                <w:rFonts w:ascii="Times New Roman" w:hAnsi="Times New Roman"/>
                <w:b/>
                <w:color w:val="000000"/>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983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5.69</w:t>
            </w:r>
            <w:r>
              <w:rPr>
                <w:rFonts w:ascii="Times New Roman" w:hAnsi="Times New Roman"/>
                <w:b/>
                <w:color w:val="000000"/>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C2F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7CC8">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5DC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C14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513A47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7D36">
            <w:pPr>
              <w:textAlignment w:val="center"/>
              <w:rPr>
                <w:rFonts w:hint="default" w:cs="宋体"/>
                <w:color w:val="000000"/>
                <w:sz w:val="20"/>
                <w:szCs w:val="20"/>
                <w:highlight w:val="none"/>
              </w:rPr>
            </w:pPr>
            <w:r>
              <w:rPr>
                <w:rFonts w:cs="宋体"/>
                <w:color w:val="000000"/>
                <w:sz w:val="20"/>
                <w:szCs w:val="20"/>
                <w:highlight w:val="none"/>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2987E">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597E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3.78</w:t>
            </w:r>
            <w:r>
              <w:rPr>
                <w:rFonts w:ascii="Times New Roman" w:hAnsi="Times New Roman"/>
                <w:color w:val="000000"/>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4A5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3.78</w:t>
            </w:r>
            <w:r>
              <w:rPr>
                <w:rFonts w:ascii="Times New Roman" w:hAnsi="Times New Roman"/>
                <w:color w:val="000000"/>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D9E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E72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360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A0D5">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30D153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05E6">
            <w:pPr>
              <w:textAlignment w:val="center"/>
              <w:rPr>
                <w:rFonts w:hint="default" w:cs="宋体"/>
                <w:color w:val="000000"/>
                <w:sz w:val="20"/>
                <w:szCs w:val="20"/>
                <w:highlight w:val="none"/>
              </w:rPr>
            </w:pPr>
            <w:r>
              <w:rPr>
                <w:rFonts w:cs="宋体"/>
                <w:color w:val="000000"/>
                <w:sz w:val="20"/>
                <w:szCs w:val="20"/>
                <w:highlight w:val="none"/>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D96FC">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FE17">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790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0A7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4F9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6A4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CD5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1898D3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B13AC">
            <w:pPr>
              <w:textAlignment w:val="center"/>
              <w:rPr>
                <w:rFonts w:hint="default" w:cs="宋体"/>
                <w:color w:val="000000"/>
                <w:sz w:val="20"/>
                <w:szCs w:val="20"/>
                <w:highlight w:val="none"/>
              </w:rPr>
            </w:pPr>
            <w:r>
              <w:rPr>
                <w:rFonts w:cs="宋体"/>
                <w:b/>
                <w:color w:val="000000"/>
                <w:sz w:val="20"/>
                <w:szCs w:val="20"/>
                <w:highlight w:val="none"/>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55EC0">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C270">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w:t>
            </w:r>
            <w:r>
              <w:rPr>
                <w:rFonts w:ascii="Times New Roman" w:hAnsi="Times New Roman"/>
                <w:b/>
                <w:color w:val="000000"/>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163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w:t>
            </w:r>
            <w:r>
              <w:rPr>
                <w:rFonts w:ascii="Times New Roman" w:hAnsi="Times New Roman"/>
                <w:b/>
                <w:color w:val="000000"/>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E50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AF2D">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625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370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426C58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2280">
            <w:pPr>
              <w:textAlignment w:val="center"/>
              <w:rPr>
                <w:rFonts w:hint="default" w:cs="宋体"/>
                <w:color w:val="000000"/>
                <w:sz w:val="20"/>
                <w:szCs w:val="20"/>
                <w:highlight w:val="none"/>
              </w:rPr>
            </w:pPr>
            <w:r>
              <w:rPr>
                <w:rFonts w:cs="宋体"/>
                <w:b/>
                <w:color w:val="000000"/>
                <w:sz w:val="20"/>
                <w:szCs w:val="20"/>
                <w:highlight w:val="none"/>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323CE">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9A5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w:t>
            </w:r>
            <w:r>
              <w:rPr>
                <w:rFonts w:ascii="Times New Roman" w:hAnsi="Times New Roman"/>
                <w:b/>
                <w:color w:val="000000"/>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F1B9">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1.24</w:t>
            </w:r>
            <w:r>
              <w:rPr>
                <w:rFonts w:ascii="Times New Roman" w:hAnsi="Times New Roman"/>
                <w:b/>
                <w:color w:val="000000"/>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CCD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29D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0A82">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247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5A8EC75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1FCF">
            <w:pPr>
              <w:textAlignment w:val="center"/>
              <w:rPr>
                <w:rFonts w:hint="default" w:cs="宋体"/>
                <w:color w:val="000000"/>
                <w:sz w:val="20"/>
                <w:szCs w:val="20"/>
                <w:highlight w:val="none"/>
              </w:rPr>
            </w:pPr>
            <w:r>
              <w:rPr>
                <w:rFonts w:cs="宋体"/>
                <w:color w:val="000000"/>
                <w:sz w:val="20"/>
                <w:szCs w:val="20"/>
                <w:highlight w:val="none"/>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BF468">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7F9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1.24</w:t>
            </w:r>
            <w:r>
              <w:rPr>
                <w:rFonts w:ascii="Times New Roman" w:hAnsi="Times New Roman"/>
                <w:color w:val="000000"/>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595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1.24</w:t>
            </w:r>
            <w:r>
              <w:rPr>
                <w:rFonts w:ascii="Times New Roman" w:hAnsi="Times New Roman"/>
                <w:color w:val="000000"/>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2D9D">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BE30">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7831">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E2B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795486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4EAB">
            <w:pPr>
              <w:textAlignment w:val="center"/>
              <w:rPr>
                <w:rFonts w:hint="default" w:cs="宋体"/>
                <w:color w:val="000000"/>
                <w:sz w:val="20"/>
                <w:szCs w:val="20"/>
                <w:highlight w:val="none"/>
              </w:rPr>
            </w:pPr>
            <w:r>
              <w:rPr>
                <w:rFonts w:cs="宋体"/>
                <w:b/>
                <w:color w:val="000000"/>
                <w:sz w:val="20"/>
                <w:szCs w:val="20"/>
                <w:highlight w:val="none"/>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C82B6">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BCE4">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2.04</w:t>
            </w:r>
            <w:r>
              <w:rPr>
                <w:rFonts w:ascii="Times New Roman" w:hAnsi="Times New Roman"/>
                <w:b/>
                <w:color w:val="000000"/>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700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2.04</w:t>
            </w:r>
            <w:r>
              <w:rPr>
                <w:rFonts w:ascii="Times New Roman" w:hAnsi="Times New Roman"/>
                <w:b/>
                <w:color w:val="000000"/>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C195">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A03F">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97A6">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E313">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5C10C8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96FA">
            <w:pPr>
              <w:textAlignment w:val="center"/>
              <w:rPr>
                <w:rFonts w:hint="default" w:cs="宋体"/>
                <w:color w:val="000000"/>
                <w:sz w:val="20"/>
                <w:szCs w:val="20"/>
                <w:highlight w:val="none"/>
              </w:rPr>
            </w:pPr>
            <w:r>
              <w:rPr>
                <w:rFonts w:cs="宋体"/>
                <w:b/>
                <w:color w:val="000000"/>
                <w:sz w:val="20"/>
                <w:szCs w:val="20"/>
                <w:highlight w:val="none"/>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81C24">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7361">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2.04</w:t>
            </w:r>
            <w:r>
              <w:rPr>
                <w:rFonts w:ascii="Times New Roman" w:hAnsi="Times New Roman"/>
                <w:b/>
                <w:color w:val="000000"/>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5E17">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2.04</w:t>
            </w:r>
            <w:r>
              <w:rPr>
                <w:rFonts w:ascii="Times New Roman" w:hAnsi="Times New Roman"/>
                <w:b/>
                <w:color w:val="000000"/>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C26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132B">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5A9E">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045C">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7431E6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EB70">
            <w:pPr>
              <w:textAlignment w:val="center"/>
              <w:rPr>
                <w:rFonts w:hint="default" w:cs="宋体"/>
                <w:color w:val="000000"/>
                <w:sz w:val="20"/>
                <w:szCs w:val="20"/>
                <w:highlight w:val="none"/>
              </w:rPr>
            </w:pPr>
            <w:r>
              <w:rPr>
                <w:rFonts w:cs="宋体"/>
                <w:color w:val="000000"/>
                <w:sz w:val="20"/>
                <w:szCs w:val="20"/>
                <w:highlight w:val="none"/>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19343">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30BC">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2.04</w:t>
            </w:r>
            <w:r>
              <w:rPr>
                <w:rFonts w:ascii="Times New Roman" w:hAnsi="Times New Roman"/>
                <w:color w:val="000000"/>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2263">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2.04</w:t>
            </w:r>
            <w:r>
              <w:rPr>
                <w:rFonts w:ascii="Times New Roman" w:hAnsi="Times New Roman"/>
                <w:color w:val="000000"/>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1D18">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53D2">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A7EB">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FE8E">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14:paraId="64DDB41A">
      <w:pPr>
        <w:rPr>
          <w:rFonts w:hint="default" w:cs="宋体"/>
          <w:sz w:val="20"/>
          <w:szCs w:val="20"/>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14:paraId="662055B1">
      <w:pPr>
        <w:rPr>
          <w:rFonts w:hint="default" w:cs="宋体"/>
          <w:sz w:val="21"/>
          <w:szCs w:val="21"/>
          <w:highlight w:val="none"/>
        </w:rPr>
      </w:pPr>
      <w:r>
        <w:rPr>
          <w:rFonts w:cs="宋体"/>
          <w:sz w:val="21"/>
          <w:szCs w:val="21"/>
          <w:highlight w:val="none"/>
        </w:rPr>
        <w:br w:type="page"/>
      </w:r>
    </w:p>
    <w:p w14:paraId="4EB0B5F9">
      <w:pPr>
        <w:rPr>
          <w:rFonts w:hint="default" w:cs="宋体"/>
          <w:sz w:val="21"/>
          <w:szCs w:val="21"/>
          <w:highlight w:val="none"/>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垫江县桂阳街道社区文化服务中心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highlight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highlight w:val="none"/>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30.50</w:t>
            </w:r>
            <w:r>
              <w:rPr>
                <w:rFonts w:ascii="Times New Roman" w:hAnsi="Times New Roman"/>
                <w:color w:val="000000"/>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21.54</w:t>
            </w: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21.54</w:t>
            </w: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5.69</w:t>
            </w: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5.69</w:t>
            </w: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1.24</w:t>
            </w: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1.24</w:t>
            </w: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2.04</w:t>
            </w: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2.04</w:t>
            </w: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30.50</w:t>
            </w:r>
            <w:r>
              <w:rPr>
                <w:rFonts w:ascii="Times New Roman" w:hAnsi="Times New Roman"/>
                <w:color w:val="000000"/>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30.50</w:t>
            </w: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30.50</w:t>
            </w: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highlight w:val="none"/>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highlight w:val="none"/>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highlight w:val="none"/>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30.50</w:t>
            </w:r>
            <w:r>
              <w:rPr>
                <w:rFonts w:ascii="Times New Roman" w:hAnsi="Times New Roman"/>
                <w:color w:val="000000"/>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30.50</w:t>
            </w: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30.50</w:t>
            </w:r>
            <w:r>
              <w:rPr>
                <w:rFonts w:ascii="Times New Roman" w:hAnsi="Times New Roman"/>
                <w:color w:val="000000"/>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14:paraId="59C95711">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垫江县桂阳街道社区文化服务中心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highlight w:val="none"/>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highlight w:val="none"/>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highlight w:val="none"/>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30.50</w:t>
            </w:r>
            <w:r>
              <w:rPr>
                <w:rFonts w:ascii="Times New Roman" w:hAnsi="Times New Roman"/>
                <w:b/>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30.50</w:t>
            </w:r>
            <w:r>
              <w:rPr>
                <w:rFonts w:ascii="Times New Roman" w:hAnsi="Times New Roman"/>
                <w:b/>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highlight w:val="none"/>
              </w:rPr>
            </w:pPr>
            <w:r>
              <w:rPr>
                <w:rFonts w:cs="宋体"/>
                <w:b/>
                <w:color w:val="000000"/>
                <w:sz w:val="20"/>
                <w:szCs w:val="20"/>
                <w:highlight w:val="none"/>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0274BF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5A58">
            <w:pPr>
              <w:textAlignment w:val="center"/>
              <w:rPr>
                <w:rFonts w:hint="default" w:cs="宋体"/>
                <w:color w:val="000000"/>
                <w:sz w:val="20"/>
                <w:szCs w:val="20"/>
                <w:highlight w:val="none"/>
              </w:rPr>
            </w:pPr>
            <w:r>
              <w:rPr>
                <w:rFonts w:cs="宋体"/>
                <w:b/>
                <w:color w:val="000000"/>
                <w:sz w:val="20"/>
                <w:szCs w:val="20"/>
                <w:highlight w:val="none"/>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C6E76">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6710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3559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21.54</w:t>
            </w:r>
            <w:r>
              <w:rPr>
                <w:rFonts w:ascii="Times New Roman" w:hAnsi="Times New Roman"/>
                <w:b/>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E8BF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763BFA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A439">
            <w:pPr>
              <w:textAlignment w:val="center"/>
              <w:rPr>
                <w:rFonts w:hint="default" w:cs="宋体"/>
                <w:color w:val="000000"/>
                <w:sz w:val="20"/>
                <w:szCs w:val="20"/>
                <w:highlight w:val="none"/>
              </w:rPr>
            </w:pPr>
            <w:r>
              <w:rPr>
                <w:rFonts w:cs="宋体"/>
                <w:color w:val="000000"/>
                <w:sz w:val="20"/>
                <w:szCs w:val="20"/>
                <w:highlight w:val="none"/>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26D17">
            <w:pPr>
              <w:textAlignment w:val="center"/>
              <w:rPr>
                <w:rFonts w:hint="default" w:cs="宋体"/>
                <w:color w:val="000000"/>
                <w:sz w:val="20"/>
                <w:szCs w:val="20"/>
                <w:highlight w:val="none"/>
              </w:rPr>
            </w:pPr>
            <w:r>
              <w:rPr>
                <w:rFonts w:cs="宋体"/>
                <w:color w:val="000000"/>
                <w:sz w:val="20"/>
                <w:szCs w:val="20"/>
                <w:highlight w:val="none"/>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EA09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ED33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21.54</w:t>
            </w:r>
            <w:r>
              <w:rPr>
                <w:rFonts w:ascii="Times New Roman" w:hAnsi="Times New Roman"/>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CEBF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3BFA7B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E726">
            <w:pPr>
              <w:textAlignment w:val="center"/>
              <w:rPr>
                <w:rFonts w:hint="default" w:cs="宋体"/>
                <w:color w:val="000000"/>
                <w:sz w:val="20"/>
                <w:szCs w:val="20"/>
                <w:highlight w:val="none"/>
              </w:rPr>
            </w:pPr>
            <w:r>
              <w:rPr>
                <w:rFonts w:cs="宋体"/>
                <w:b/>
                <w:color w:val="000000"/>
                <w:sz w:val="20"/>
                <w:szCs w:val="20"/>
                <w:highlight w:val="none"/>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44275">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118A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5.69</w:t>
            </w:r>
            <w:r>
              <w:rPr>
                <w:rFonts w:ascii="Times New Roman" w:hAnsi="Times New Roman"/>
                <w:b/>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63C1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5.69</w:t>
            </w:r>
            <w:r>
              <w:rPr>
                <w:rFonts w:ascii="Times New Roman" w:hAnsi="Times New Roman"/>
                <w:b/>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FAD7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6AE1D1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8CD6">
            <w:pPr>
              <w:textAlignment w:val="center"/>
              <w:rPr>
                <w:rFonts w:hint="default" w:cs="宋体"/>
                <w:color w:val="000000"/>
                <w:sz w:val="20"/>
                <w:szCs w:val="20"/>
                <w:highlight w:val="none"/>
              </w:rPr>
            </w:pPr>
            <w:r>
              <w:rPr>
                <w:rFonts w:cs="宋体"/>
                <w:b/>
                <w:color w:val="000000"/>
                <w:sz w:val="20"/>
                <w:szCs w:val="20"/>
                <w:highlight w:val="none"/>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7DB36">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B1AD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5.69</w:t>
            </w:r>
            <w:r>
              <w:rPr>
                <w:rFonts w:ascii="Times New Roman" w:hAnsi="Times New Roman"/>
                <w:b/>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EA166">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5.69</w:t>
            </w:r>
            <w:r>
              <w:rPr>
                <w:rFonts w:ascii="Times New Roman" w:hAnsi="Times New Roman"/>
                <w:b/>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8A1B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244940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3855">
            <w:pPr>
              <w:textAlignment w:val="center"/>
              <w:rPr>
                <w:rFonts w:hint="default" w:cs="宋体"/>
                <w:color w:val="000000"/>
                <w:sz w:val="20"/>
                <w:szCs w:val="20"/>
                <w:highlight w:val="none"/>
              </w:rPr>
            </w:pPr>
            <w:r>
              <w:rPr>
                <w:rFonts w:cs="宋体"/>
                <w:color w:val="000000"/>
                <w:sz w:val="20"/>
                <w:szCs w:val="20"/>
                <w:highlight w:val="none"/>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85792">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3D33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3.78</w:t>
            </w:r>
            <w:r>
              <w:rPr>
                <w:rFonts w:ascii="Times New Roman" w:hAnsi="Times New Roman"/>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001D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3.78</w:t>
            </w:r>
            <w:r>
              <w:rPr>
                <w:rFonts w:ascii="Times New Roman" w:hAnsi="Times New Roman"/>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1E9F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124B21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444C">
            <w:pPr>
              <w:textAlignment w:val="center"/>
              <w:rPr>
                <w:rFonts w:hint="default" w:cs="宋体"/>
                <w:color w:val="000000"/>
                <w:sz w:val="20"/>
                <w:szCs w:val="20"/>
                <w:highlight w:val="none"/>
              </w:rPr>
            </w:pPr>
            <w:r>
              <w:rPr>
                <w:rFonts w:cs="宋体"/>
                <w:color w:val="000000"/>
                <w:sz w:val="20"/>
                <w:szCs w:val="20"/>
                <w:highlight w:val="none"/>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B35E3">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8BA8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4262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4EE0C">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5A272D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F985">
            <w:pPr>
              <w:textAlignment w:val="center"/>
              <w:rPr>
                <w:rFonts w:hint="default" w:cs="宋体"/>
                <w:color w:val="000000"/>
                <w:sz w:val="20"/>
                <w:szCs w:val="20"/>
                <w:highlight w:val="none"/>
              </w:rPr>
            </w:pPr>
            <w:r>
              <w:rPr>
                <w:rFonts w:cs="宋体"/>
                <w:b/>
                <w:color w:val="000000"/>
                <w:sz w:val="20"/>
                <w:szCs w:val="20"/>
                <w:highlight w:val="none"/>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9F673">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B060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1.24</w:t>
            </w:r>
            <w:r>
              <w:rPr>
                <w:rFonts w:ascii="Times New Roman" w:hAnsi="Times New Roman"/>
                <w:b/>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F1B5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1.24</w:t>
            </w:r>
            <w:r>
              <w:rPr>
                <w:rFonts w:ascii="Times New Roman" w:hAnsi="Times New Roman"/>
                <w:b/>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0E9E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1B6E0E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CF20">
            <w:pPr>
              <w:textAlignment w:val="center"/>
              <w:rPr>
                <w:rFonts w:hint="default" w:cs="宋体"/>
                <w:color w:val="000000"/>
                <w:sz w:val="20"/>
                <w:szCs w:val="20"/>
                <w:highlight w:val="none"/>
              </w:rPr>
            </w:pPr>
            <w:r>
              <w:rPr>
                <w:rFonts w:cs="宋体"/>
                <w:b/>
                <w:color w:val="000000"/>
                <w:sz w:val="20"/>
                <w:szCs w:val="20"/>
                <w:highlight w:val="none"/>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BBB19">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0E7C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1.24</w:t>
            </w:r>
            <w:r>
              <w:rPr>
                <w:rFonts w:ascii="Times New Roman" w:hAnsi="Times New Roman"/>
                <w:b/>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066B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1.24</w:t>
            </w:r>
            <w:r>
              <w:rPr>
                <w:rFonts w:ascii="Times New Roman" w:hAnsi="Times New Roman"/>
                <w:b/>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6CC49">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1DD41D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BE5B">
            <w:pPr>
              <w:textAlignment w:val="center"/>
              <w:rPr>
                <w:rFonts w:hint="default" w:cs="宋体"/>
                <w:color w:val="000000"/>
                <w:sz w:val="20"/>
                <w:szCs w:val="20"/>
                <w:highlight w:val="none"/>
              </w:rPr>
            </w:pPr>
            <w:r>
              <w:rPr>
                <w:rFonts w:cs="宋体"/>
                <w:color w:val="000000"/>
                <w:sz w:val="20"/>
                <w:szCs w:val="20"/>
                <w:highlight w:val="none"/>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6F82E">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26C9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1.24</w:t>
            </w:r>
            <w:r>
              <w:rPr>
                <w:rFonts w:ascii="Times New Roman" w:hAnsi="Times New Roman"/>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4C8D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1.24</w:t>
            </w:r>
            <w:r>
              <w:rPr>
                <w:rFonts w:ascii="Times New Roman" w:hAnsi="Times New Roman"/>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6E89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14:paraId="390423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B464">
            <w:pPr>
              <w:textAlignment w:val="center"/>
              <w:rPr>
                <w:rFonts w:hint="default" w:cs="宋体"/>
                <w:color w:val="000000"/>
                <w:sz w:val="20"/>
                <w:szCs w:val="20"/>
                <w:highlight w:val="none"/>
              </w:rPr>
            </w:pPr>
            <w:r>
              <w:rPr>
                <w:rFonts w:cs="宋体"/>
                <w:b/>
                <w:color w:val="000000"/>
                <w:sz w:val="20"/>
                <w:szCs w:val="20"/>
                <w:highlight w:val="none"/>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AB10B">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33D6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2.04</w:t>
            </w:r>
            <w:r>
              <w:rPr>
                <w:rFonts w:ascii="Times New Roman" w:hAnsi="Times New Roman"/>
                <w:b/>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7625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2.04</w:t>
            </w:r>
            <w:r>
              <w:rPr>
                <w:rFonts w:ascii="Times New Roman" w:hAnsi="Times New Roman"/>
                <w:b/>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E1C7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591045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B486">
            <w:pPr>
              <w:textAlignment w:val="center"/>
              <w:rPr>
                <w:rFonts w:hint="default" w:cs="宋体"/>
                <w:color w:val="000000"/>
                <w:sz w:val="20"/>
                <w:szCs w:val="20"/>
                <w:highlight w:val="none"/>
              </w:rPr>
            </w:pPr>
            <w:r>
              <w:rPr>
                <w:rFonts w:cs="宋体"/>
                <w:b/>
                <w:color w:val="000000"/>
                <w:sz w:val="20"/>
                <w:szCs w:val="20"/>
                <w:highlight w:val="none"/>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C3A76">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02DB0">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2.04</w:t>
            </w:r>
            <w:r>
              <w:rPr>
                <w:rFonts w:ascii="Times New Roman" w:hAnsi="Times New Roman"/>
                <w:b/>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1427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2.04</w:t>
            </w:r>
            <w:r>
              <w:rPr>
                <w:rFonts w:ascii="Times New Roman" w:hAnsi="Times New Roman"/>
                <w:b/>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9F6E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14:paraId="5EC3E8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528F">
            <w:pPr>
              <w:textAlignment w:val="center"/>
              <w:rPr>
                <w:rFonts w:hint="default" w:cs="宋体"/>
                <w:color w:val="000000"/>
                <w:sz w:val="20"/>
                <w:szCs w:val="20"/>
                <w:highlight w:val="none"/>
              </w:rPr>
            </w:pPr>
            <w:r>
              <w:rPr>
                <w:rFonts w:cs="宋体"/>
                <w:color w:val="000000"/>
                <w:sz w:val="20"/>
                <w:szCs w:val="20"/>
                <w:highlight w:val="none"/>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3B006">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BF8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2.04</w:t>
            </w:r>
            <w:r>
              <w:rPr>
                <w:rFonts w:ascii="Times New Roman" w:hAnsi="Times New Roman"/>
                <w:color w:val="000000"/>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09597">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2.04</w:t>
            </w:r>
            <w:r>
              <w:rPr>
                <w:rFonts w:ascii="Times New Roman" w:hAnsi="Times New Roman"/>
                <w:color w:val="000000"/>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66714">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14:paraId="234849FC">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14:paraId="1BE34012">
      <w:pPr>
        <w:ind w:firstLine="630" w:firstLineChars="300"/>
        <w:rPr>
          <w:rFonts w:hint="default" w:cs="宋体"/>
          <w:sz w:val="21"/>
          <w:szCs w:val="21"/>
          <w:highlight w:val="none"/>
        </w:rPr>
      </w:pPr>
      <w:r>
        <w:rPr>
          <w:rFonts w:cs="宋体"/>
          <w:sz w:val="21"/>
          <w:szCs w:val="21"/>
          <w:highlight w:val="none"/>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垫江县桂阳街道社区文化服务中心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26.75</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3.74</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4.22</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1.97</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0.15</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12.90</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3.78</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1.90</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1.24</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0.04</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1.58</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2.04</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0.16</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0.32</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0.20</w:t>
            </w: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w:t>
            </w:r>
            <w:r>
              <w:rPr>
                <w:rFonts w:hint="eastAsia" w:cs="宋体"/>
                <w:color w:val="000000"/>
                <w:sz w:val="18"/>
                <w:szCs w:val="18"/>
                <w:highlight w:val="none"/>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资本性</w:t>
            </w:r>
            <w:r>
              <w:rPr>
                <w:rFonts w:hint="eastAsia" w:cs="宋体"/>
                <w:color w:val="000000"/>
                <w:sz w:val="18"/>
                <w:szCs w:val="18"/>
                <w:highlight w:val="none"/>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26.75</w:t>
            </w:r>
            <w:r>
              <w:rPr>
                <w:rFonts w:ascii="Times New Roman" w:hAnsi="Times New Roman"/>
                <w:color w:val="000000"/>
                <w:sz w:val="18"/>
                <w:highlight w:val="none"/>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3.74</w:t>
            </w:r>
            <w:r>
              <w:rPr>
                <w:rFonts w:ascii="Times New Roman" w:hAnsi="Times New Roman"/>
                <w:color w:val="000000"/>
                <w:sz w:val="18"/>
                <w:highlight w:val="none"/>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垫江县桂阳街道社区文化服务中心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highlight w:val="none"/>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highlight w:val="none"/>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highlight w:val="none"/>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highlight w:val="none"/>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highlight w:val="none"/>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highlight w:val="none"/>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14:paraId="4D7FE484">
      <w:pPr>
        <w:rPr>
          <w:rFonts w:hint="default" w:cs="宋体"/>
          <w:sz w:val="21"/>
          <w:szCs w:val="21"/>
          <w:highlight w:val="none"/>
        </w:rPr>
      </w:pPr>
      <w:r>
        <w:rPr>
          <w:rFonts w:cs="宋体"/>
          <w:sz w:val="20"/>
          <w:szCs w:val="20"/>
          <w:highlight w:val="none"/>
        </w:rPr>
        <w:t>备注：本表反映单位本年度政府性基金预算财政拨款收入支出及结转和结余情况。本单位无政府性基金收支，故本表无数据。</w:t>
      </w:r>
      <w:r>
        <w:rPr>
          <w:rFonts w:cs="宋体"/>
          <w:sz w:val="20"/>
          <w:szCs w:val="20"/>
          <w:highlight w:val="none"/>
        </w:rPr>
        <w:br w:type="textWrapping"/>
      </w:r>
      <w:r>
        <w:rPr>
          <w:rFonts w:cs="宋体"/>
          <w:sz w:val="20"/>
          <w:szCs w:val="20"/>
          <w:highlight w:val="none"/>
        </w:rPr>
        <w:br w:type="textWrapping"/>
      </w:r>
    </w:p>
    <w:p w14:paraId="301B1AC8">
      <w:pPr>
        <w:rPr>
          <w:rFonts w:hint="default" w:cs="宋体"/>
          <w:sz w:val="21"/>
          <w:szCs w:val="21"/>
          <w:highlight w:val="none"/>
        </w:rPr>
      </w:pPr>
      <w:r>
        <w:rPr>
          <w:rFonts w:cs="宋体"/>
          <w:sz w:val="21"/>
          <w:szCs w:val="21"/>
          <w:highlight w:val="none"/>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垫江县桂阳街道社区文化服务中心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highlight w:val="none"/>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highlight w:val="none"/>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highlight w:val="none"/>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highlight w:val="none"/>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highlight w:val="none"/>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highlight w:val="none"/>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14:paraId="272AFADC">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14:paraId="5A362445">
      <w:pPr>
        <w:rPr>
          <w:rFonts w:hint="default" w:cs="宋体"/>
          <w:sz w:val="21"/>
          <w:szCs w:val="21"/>
          <w:highlight w:val="none"/>
        </w:rPr>
      </w:pPr>
      <w:r>
        <w:rPr>
          <w:rFonts w:hint="default" w:cs="宋体"/>
          <w:sz w:val="21"/>
          <w:szCs w:val="21"/>
          <w:highlight w:val="none"/>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highlight w:val="none"/>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highlight w:val="none"/>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highlight w:val="none"/>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highlight w:val="none"/>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highlight w:val="none"/>
              </w:rPr>
            </w:pPr>
            <w:r>
              <w:rPr>
                <w:rFonts w:hint="eastAsia" w:cs="宋体"/>
                <w:kern w:val="2"/>
                <w:sz w:val="20"/>
                <w:szCs w:val="20"/>
                <w:highlight w:val="none"/>
                <w:lang w:eastAsia="zh-CN"/>
              </w:rPr>
              <w:t>单位</w:t>
            </w:r>
            <w:r>
              <w:rPr>
                <w:rFonts w:cs="宋体"/>
                <w:color w:val="000000"/>
                <w:kern w:val="2"/>
                <w:sz w:val="20"/>
                <w:szCs w:val="20"/>
                <w:highlight w:val="none"/>
              </w:rPr>
              <w:t>：</w:t>
            </w:r>
            <w:r>
              <w:rPr>
                <w:color w:val="000000"/>
                <w:sz w:val="20"/>
                <w:highlight w:val="none"/>
                <w:u w:color="auto"/>
              </w:rPr>
              <w:t>垫江县桂阳街道社区文化服务中心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highlight w:val="none"/>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highlight w:val="none"/>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4.</w:t>
            </w:r>
            <w:r>
              <w:rPr>
                <w:rFonts w:cs="宋体"/>
                <w:b/>
                <w:bCs/>
                <w:color w:val="000000"/>
                <w:kern w:val="2"/>
                <w:sz w:val="16"/>
                <w:szCs w:val="16"/>
                <w:highlight w:val="none"/>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5.</w:t>
            </w:r>
            <w:r>
              <w:rPr>
                <w:rFonts w:cs="宋体"/>
                <w:b/>
                <w:bCs/>
                <w:color w:val="000000"/>
                <w:kern w:val="2"/>
                <w:sz w:val="16"/>
                <w:szCs w:val="16"/>
                <w:highlight w:val="none"/>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6.</w:t>
            </w:r>
            <w:r>
              <w:rPr>
                <w:rFonts w:cs="宋体"/>
                <w:b/>
                <w:bCs/>
                <w:color w:val="000000"/>
                <w:kern w:val="2"/>
                <w:sz w:val="16"/>
                <w:szCs w:val="16"/>
                <w:highlight w:val="none"/>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7.</w:t>
            </w:r>
            <w:r>
              <w:rPr>
                <w:rFonts w:cs="宋体"/>
                <w:b/>
                <w:bCs/>
                <w:color w:val="000000"/>
                <w:kern w:val="2"/>
                <w:sz w:val="16"/>
                <w:szCs w:val="16"/>
                <w:highlight w:val="none"/>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8.</w:t>
            </w:r>
            <w:r>
              <w:rPr>
                <w:rFonts w:cs="宋体"/>
                <w:b/>
                <w:bCs/>
                <w:color w:val="000000"/>
                <w:kern w:val="2"/>
                <w:sz w:val="16"/>
                <w:szCs w:val="16"/>
                <w:highlight w:val="none"/>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4.</w:t>
            </w:r>
            <w:r>
              <w:rPr>
                <w:rFonts w:cs="宋体"/>
                <w:b/>
                <w:bCs/>
                <w:color w:val="000000"/>
                <w:kern w:val="2"/>
                <w:sz w:val="16"/>
                <w:szCs w:val="16"/>
                <w:highlight w:val="none"/>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5.</w:t>
            </w:r>
            <w:r>
              <w:rPr>
                <w:rFonts w:cs="宋体"/>
                <w:b/>
                <w:bCs/>
                <w:color w:val="000000"/>
                <w:kern w:val="2"/>
                <w:sz w:val="16"/>
                <w:szCs w:val="16"/>
                <w:highlight w:val="none"/>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1.</w:t>
            </w:r>
            <w:r>
              <w:rPr>
                <w:rFonts w:cs="宋体"/>
                <w:b/>
                <w:bCs/>
                <w:color w:val="000000"/>
                <w:kern w:val="2"/>
                <w:sz w:val="16"/>
                <w:szCs w:val="16"/>
                <w:highlight w:val="none"/>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6.</w:t>
            </w:r>
            <w:r>
              <w:rPr>
                <w:rFonts w:cs="宋体"/>
                <w:b/>
                <w:bCs/>
                <w:color w:val="000000"/>
                <w:kern w:val="2"/>
                <w:sz w:val="16"/>
                <w:szCs w:val="16"/>
                <w:highlight w:val="none"/>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2.</w:t>
            </w:r>
            <w:r>
              <w:rPr>
                <w:rFonts w:cs="宋体"/>
                <w:b/>
                <w:bCs/>
                <w:color w:val="000000"/>
                <w:kern w:val="2"/>
                <w:sz w:val="16"/>
                <w:szCs w:val="16"/>
                <w:highlight w:val="none"/>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3.</w:t>
            </w:r>
            <w:r>
              <w:rPr>
                <w:rFonts w:cs="宋体"/>
                <w:b/>
                <w:bCs/>
                <w:color w:val="000000"/>
                <w:kern w:val="2"/>
                <w:sz w:val="16"/>
                <w:szCs w:val="16"/>
                <w:highlight w:val="none"/>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7.</w:t>
            </w:r>
            <w:r>
              <w:rPr>
                <w:rFonts w:cs="宋体"/>
                <w:b/>
                <w:bCs/>
                <w:color w:val="000000"/>
                <w:kern w:val="2"/>
                <w:sz w:val="16"/>
                <w:szCs w:val="16"/>
                <w:highlight w:val="none"/>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w:t>
            </w:r>
            <w:r>
              <w:rPr>
                <w:rFonts w:hint="eastAsia" w:cs="宋体"/>
                <w:b/>
                <w:bCs/>
                <w:color w:val="000000"/>
                <w:kern w:val="2"/>
                <w:sz w:val="16"/>
                <w:szCs w:val="16"/>
                <w:highlight w:val="none"/>
                <w:lang w:eastAsia="zh-CN"/>
              </w:rPr>
              <w:t>8.</w:t>
            </w:r>
            <w:r>
              <w:rPr>
                <w:rFonts w:cs="宋体"/>
                <w:b/>
                <w:bCs/>
                <w:color w:val="000000"/>
                <w:kern w:val="2"/>
                <w:sz w:val="16"/>
                <w:szCs w:val="16"/>
                <w:highlight w:val="none"/>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1.58</w:t>
            </w:r>
            <w:r>
              <w:rPr>
                <w:rFonts w:ascii="Times New Roman" w:hAnsi="Times New Roman"/>
                <w:color w:val="000000"/>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14:paraId="6BFFF105">
      <w:pPr>
        <w:rPr>
          <w:rFonts w:hint="default"/>
          <w:highlight w:val="none"/>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BEC8">
    <w:pPr>
      <w:pStyle w:val="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958164">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2958164">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D60">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54C98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F54C98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B11253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A1UVNgAAAAKAQAADwAAAAAAAAABACAAAAAiAAAAZHJzL2Rvd25yZXYu&#10;eG1sUEsBAhQAFAAAAAgAh07iQGAXIVE0AgAAYgQAAA4AAAAAAAAAAQAgAAAAJwEAAGRycy9lMm9E&#10;b2MueG1sUEsFBgAAAAAGAAYAWQEAAM0FAAAAAA==&#10;">
              <v:fill on="f" focussize="0,0"/>
              <v:stroke on="f" weight="0.5pt"/>
              <v:imagedata o:title=""/>
              <o:lock v:ext="edit" aspectratio="f"/>
              <v:textbox inset="0mm,0mm,0mm,0mm">
                <w:txbxContent>
                  <w:p w14:paraId="0B11253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18A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806E3"/>
    <w:rsid w:val="000C01CC"/>
    <w:rsid w:val="000D7702"/>
    <w:rsid w:val="001B2188"/>
    <w:rsid w:val="00261065"/>
    <w:rsid w:val="002D0E5A"/>
    <w:rsid w:val="002E5443"/>
    <w:rsid w:val="0032196C"/>
    <w:rsid w:val="0038033F"/>
    <w:rsid w:val="00407895"/>
    <w:rsid w:val="004C12FF"/>
    <w:rsid w:val="00550ABE"/>
    <w:rsid w:val="00596F6F"/>
    <w:rsid w:val="005B023C"/>
    <w:rsid w:val="00600322"/>
    <w:rsid w:val="006137D7"/>
    <w:rsid w:val="00634FA8"/>
    <w:rsid w:val="0063613A"/>
    <w:rsid w:val="00675407"/>
    <w:rsid w:val="006E2034"/>
    <w:rsid w:val="00732392"/>
    <w:rsid w:val="00792285"/>
    <w:rsid w:val="007A0D2E"/>
    <w:rsid w:val="007A3314"/>
    <w:rsid w:val="007B419D"/>
    <w:rsid w:val="007C1BA4"/>
    <w:rsid w:val="00810F13"/>
    <w:rsid w:val="00944711"/>
    <w:rsid w:val="00974520"/>
    <w:rsid w:val="009821E3"/>
    <w:rsid w:val="00984852"/>
    <w:rsid w:val="009B67B8"/>
    <w:rsid w:val="00A03B1E"/>
    <w:rsid w:val="00A400E0"/>
    <w:rsid w:val="00A5680F"/>
    <w:rsid w:val="00A61216"/>
    <w:rsid w:val="00A67739"/>
    <w:rsid w:val="00A820B7"/>
    <w:rsid w:val="00AC5566"/>
    <w:rsid w:val="00B03CCD"/>
    <w:rsid w:val="00B40138"/>
    <w:rsid w:val="00B84D34"/>
    <w:rsid w:val="00BC69AA"/>
    <w:rsid w:val="00BE1DA5"/>
    <w:rsid w:val="00BF5A85"/>
    <w:rsid w:val="00C307F6"/>
    <w:rsid w:val="00C96B11"/>
    <w:rsid w:val="00CC6B99"/>
    <w:rsid w:val="00DF7706"/>
    <w:rsid w:val="00E05175"/>
    <w:rsid w:val="00E654E2"/>
    <w:rsid w:val="00E66435"/>
    <w:rsid w:val="00E76362"/>
    <w:rsid w:val="00EC4E5D"/>
    <w:rsid w:val="00F137D3"/>
    <w:rsid w:val="00F13C36"/>
    <w:rsid w:val="00F23C68"/>
    <w:rsid w:val="00F32C53"/>
    <w:rsid w:val="00F73F90"/>
    <w:rsid w:val="00F7623D"/>
    <w:rsid w:val="00F8598B"/>
    <w:rsid w:val="00FA0819"/>
    <w:rsid w:val="00FA3319"/>
    <w:rsid w:val="00FF5EF7"/>
    <w:rsid w:val="01474EBF"/>
    <w:rsid w:val="01F3521E"/>
    <w:rsid w:val="027754FB"/>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9C2D35"/>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3CF421E"/>
    <w:rsid w:val="44C37687"/>
    <w:rsid w:val="45CB699A"/>
    <w:rsid w:val="465B470D"/>
    <w:rsid w:val="469D6AD4"/>
    <w:rsid w:val="471E6C84"/>
    <w:rsid w:val="4748792B"/>
    <w:rsid w:val="475D719D"/>
    <w:rsid w:val="47674801"/>
    <w:rsid w:val="47D94F74"/>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394455"/>
    <w:rsid w:val="5B6503B1"/>
    <w:rsid w:val="5C263CE4"/>
    <w:rsid w:val="5C5D2777"/>
    <w:rsid w:val="5CF66BF3"/>
    <w:rsid w:val="5D290C69"/>
    <w:rsid w:val="5DF635A9"/>
    <w:rsid w:val="5F2D4A41"/>
    <w:rsid w:val="5FCF404C"/>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B77FDA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19</Pages>
  <Words>4866</Words>
  <Characters>5388</Characters>
  <Lines>93</Lines>
  <Paragraphs>26</Paragraphs>
  <TotalTime>17</TotalTime>
  <ScaleCrop>false</ScaleCrop>
  <LinksUpToDate>false</LinksUpToDate>
  <CharactersWithSpaces>5446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聊鸭鼗陈本</cp:lastModifiedBy>
  <dcterms:modified xsi:type="dcterms:W3CDTF">2025-09-18T06:45:10Z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eyJoZGlkIjoiYzgzZDQxYzdkNzUwNGYxNDNhNWE2YWY2YWQ2MWVkYTUiLCJ1c2VySWQiOiIxNzMwMzMyODcwIn0=</vt:lpwstr>
  </property>
</Properties>
</file>