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垫江县桂阳街道劳动就业和社会保障服</w:t>
      </w:r>
      <w:bookmarkStart w:id="0" w:name="_GoBack"/>
      <w:bookmarkEnd w:id="0"/>
      <w:r>
        <w:rPr>
          <w:rFonts w:hint="eastAsia" w:ascii="方正小标宋_GBK" w:hAnsi="方正小标宋_GBK" w:eastAsia="方正小标宋_GBK" w:cs="方正小标宋_GBK"/>
          <w:sz w:val="44"/>
          <w:szCs w:val="44"/>
          <w:lang w:eastAsia="zh-CN"/>
        </w:rPr>
        <w:t>务</w:t>
      </w:r>
      <w:r>
        <w:rPr>
          <w:rFonts w:ascii="方正小标宋_GBK" w:hAnsi="方正小标宋_GBK" w:eastAsia="方正小标宋_GBK" w:cs="方正小标宋_GBK"/>
          <w:sz w:val="44"/>
          <w:szCs w:val="44"/>
        </w:rPr>
        <w:t>所</w:t>
      </w:r>
    </w:p>
    <w:p w14:paraId="21BF84E1">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1A8B106">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7BD9818A">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60CB7F8">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垫江县桂阳街道劳动就业和社会保障所的主要职责： 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37A371E1">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13A6BD7">
      <w:pPr>
        <w:spacing w:line="594" w:lineRule="exact"/>
        <w:ind w:firstLine="640" w:firstLineChars="200"/>
        <w:rPr>
          <w:rFonts w:hint="default" w:ascii="方正仿宋_GBK" w:hAnsi="方正仿宋_GBK" w:eastAsia="方正仿宋_GBK" w:cs="方正仿宋_GBK"/>
          <w:bCs/>
          <w:sz w:val="32"/>
          <w:szCs w:val="32"/>
        </w:rPr>
      </w:pPr>
      <w:r>
        <w:rPr>
          <w:rFonts w:ascii="方正仿宋_GBK" w:hAnsi="方正仿宋_GBK" w:eastAsia="方正仿宋_GBK" w:cs="方正仿宋_GBK"/>
          <w:color w:val="333333"/>
          <w:sz w:val="32"/>
          <w:szCs w:val="32"/>
          <w:shd w:val="clear" w:color="auto" w:fill="FEFEFE"/>
        </w:rPr>
        <w:t>本单位无内部机构设置，2024年年末实有在职职工7人，事业编制8人。</w:t>
      </w:r>
    </w:p>
    <w:p w14:paraId="60A59ACE">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0105580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5276DF1">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2024年度收入总计152.20万元，支出总计</w:t>
      </w:r>
      <w:r>
        <w:rPr>
          <w:rFonts w:ascii="方正仿宋_GBK" w:hAnsi="方正仿宋_GBK" w:eastAsia="方正仿宋_GBK" w:cs="方正仿宋_GBK"/>
          <w:sz w:val="32"/>
          <w:szCs w:val="32"/>
        </w:rPr>
        <w:t>152.20</w:t>
      </w:r>
      <w:r>
        <w:rPr>
          <w:rFonts w:ascii="方正仿宋_GBK" w:hAnsi="方正仿宋_GBK" w:eastAsia="方正仿宋_GBK" w:cs="方正仿宋_GBK"/>
          <w:sz w:val="32"/>
          <w:szCs w:val="32"/>
          <w:shd w:val="clear" w:color="auto" w:fill="FFFFFF"/>
        </w:rPr>
        <w:t>万元。收、支与2023年度相比，增加2.01万元，增长1.34%，主要原因是事业人员工资薪级晋升及社保基数调整，补缴事业人员养老保险、职业年金等费用。</w:t>
      </w:r>
    </w:p>
    <w:p w14:paraId="29C70B3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2024年度收入合计152.20万元，与2023年度相比，增加2.01万元，增长1.34%，主要原因是事业人员工资薪级晋升及社保基数调整，人员经费增加。其中：财政拨款收入</w:t>
      </w:r>
      <w:r>
        <w:rPr>
          <w:rFonts w:ascii="方正仿宋_GBK" w:hAnsi="方正仿宋_GBK" w:eastAsia="方正仿宋_GBK" w:cs="方正仿宋_GBK"/>
          <w:sz w:val="32"/>
          <w:szCs w:val="32"/>
        </w:rPr>
        <w:t>152.20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5ADB081">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152.20</w:t>
      </w:r>
      <w:r>
        <w:rPr>
          <w:rFonts w:ascii="方正仿宋_GBK" w:hAnsi="方正仿宋_GBK" w:eastAsia="方正仿宋_GBK" w:cs="方正仿宋_GBK"/>
          <w:sz w:val="32"/>
          <w:szCs w:val="32"/>
          <w:shd w:val="clear" w:color="auto" w:fill="FFFFFF"/>
        </w:rPr>
        <w:t>万元，与2023年度相比，增加2.01万元，增长1.34%，主要原因是事业人员工资薪级晋升及社保基数调整，补缴事业人员养老保险、职业年金等费用。其中：基本支出</w:t>
      </w:r>
      <w:r>
        <w:rPr>
          <w:rFonts w:ascii="方正仿宋_GBK" w:hAnsi="方正仿宋_GBK" w:eastAsia="方正仿宋_GBK" w:cs="方正仿宋_GBK"/>
          <w:sz w:val="32"/>
          <w:szCs w:val="32"/>
        </w:rPr>
        <w:t>152.20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EE0FBF4">
      <w:pPr>
        <w:pStyle w:val="6"/>
        <w:snapToGrid w:val="0"/>
        <w:spacing w:before="0" w:beforeAutospacing="0" w:after="0" w:afterAutospacing="0" w:line="600" w:lineRule="exact"/>
        <w:ind w:firstLine="472" w:firstLineChars="147"/>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0D2DE065">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19F4D038">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2024年度财政拨款收、支总计152.20万元。与2023年相比，财政拨款收、支总计各增加2.01万元，增长1.34%。主要原因是事业人员工资薪级晋升及社保基数调整，补缴事业人员养老保险、职业年金等费用。</w:t>
      </w:r>
    </w:p>
    <w:p w14:paraId="499F6285">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14:paraId="41CF62E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152.20</w:t>
      </w:r>
      <w:r>
        <w:rPr>
          <w:rFonts w:ascii="方正仿宋_GBK" w:hAnsi="方正仿宋_GBK" w:eastAsia="方正仿宋_GBK" w:cs="方正仿宋_GBK"/>
          <w:sz w:val="32"/>
          <w:szCs w:val="32"/>
          <w:shd w:val="clear" w:color="auto" w:fill="FFFFFF"/>
        </w:rPr>
        <w:t>万元，与2023年度相比，增加2.01万元，增长1.34%。主要原因是事业人员工资薪级晋升及社保基数调整，人员经费增加。较年初预算数增加18.31万元，增长13.68%。主要原因是事业人员工资薪级晋升及社保基数调整，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5ECCD35">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152.20</w:t>
      </w:r>
      <w:r>
        <w:rPr>
          <w:rFonts w:ascii="方正仿宋_GBK" w:hAnsi="方正仿宋_GBK" w:eastAsia="方正仿宋_GBK" w:cs="方正仿宋_GBK"/>
          <w:sz w:val="32"/>
          <w:szCs w:val="32"/>
          <w:shd w:val="clear" w:color="auto" w:fill="FFFFFF"/>
        </w:rPr>
        <w:t>万元，与2023年度相比，增加2.01万元，增长1.34%。主要原因是事业人员工资薪级晋升及社保基数调整，补缴事业人员养老保险、职业年金等费用。较年初预算数增加18.31万元，增长13.68%。主要原因是事业人员工资薪级晋升及社保基数调整，补缴事业人员养老保险、职业年金等费用。</w:t>
      </w:r>
    </w:p>
    <w:p w14:paraId="2B1E845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7494A72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2024年度一般公共预算财政拨款支出主要用于以下几个方面：</w:t>
      </w:r>
    </w:p>
    <w:p w14:paraId="7954A00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138.64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91.09</w:t>
      </w:r>
      <w:r>
        <w:rPr>
          <w:rFonts w:ascii="方正仿宋_GBK" w:hAnsi="方正仿宋_GBK" w:eastAsia="方正仿宋_GBK" w:cs="方正仿宋_GBK"/>
          <w:sz w:val="32"/>
          <w:szCs w:val="32"/>
          <w:shd w:val="clear" w:color="auto" w:fill="FFFFFF"/>
        </w:rPr>
        <w:t>%，较年初预算数增加15.87万元，增长12.93%，主要原因是补缴事业人员养老保险、职业年金等费用。</w:t>
      </w:r>
    </w:p>
    <w:p w14:paraId="6643B8EE">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7.49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%，较年初预算数增加2.44万元，增长48.32%，主要原因是医疗保险支出增加。</w:t>
      </w:r>
    </w:p>
    <w:p w14:paraId="7B4141F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住房保障支出6.06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3.98</w:t>
      </w:r>
      <w:r>
        <w:rPr>
          <w:rFonts w:ascii="方正仿宋_GBK" w:hAnsi="方正仿宋_GBK" w:eastAsia="方正仿宋_GBK" w:cs="方正仿宋_GBK"/>
          <w:sz w:val="32"/>
          <w:szCs w:val="32"/>
          <w:shd w:val="clear" w:color="auto" w:fill="FFFFFF"/>
        </w:rPr>
        <w:t>%，较年初预算数无增减，主要原因是单位严格预算约束。</w:t>
      </w:r>
    </w:p>
    <w:p w14:paraId="33335A5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483920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152.20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139.86</w:t>
      </w:r>
      <w:r>
        <w:rPr>
          <w:rFonts w:ascii="方正仿宋_GBK" w:hAnsi="方正仿宋_GBK" w:eastAsia="方正仿宋_GBK" w:cs="方正仿宋_GBK"/>
          <w:sz w:val="32"/>
          <w:szCs w:val="32"/>
          <w:shd w:val="clear" w:color="auto" w:fill="FFFFFF"/>
        </w:rPr>
        <w:t>万元，与2023年度相比，增加7.38万元，增长5.57%，主要原因是补缴事业人员养老保险和职业年金。人员经费用途主要包括</w:t>
      </w:r>
      <w:r>
        <w:rPr>
          <w:rFonts w:ascii="方正仿宋_GBK" w:hAnsi="方正仿宋_GBK" w:eastAsia="方正仿宋_GBK" w:cs="方正仿宋_GBK"/>
          <w:sz w:val="32"/>
          <w:szCs w:val="32"/>
        </w:rPr>
        <w:t>人员基本工资、津贴、补贴、基础绩效、超额绩效、社会保障费、住房公积金等。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12.34</w:t>
      </w:r>
      <w:r>
        <w:rPr>
          <w:rFonts w:ascii="方正仿宋_GBK" w:hAnsi="方正仿宋_GBK" w:eastAsia="方正仿宋_GBK" w:cs="方正仿宋_GBK"/>
          <w:sz w:val="32"/>
          <w:szCs w:val="32"/>
          <w:shd w:val="clear" w:color="auto" w:fill="FFFFFF"/>
        </w:rPr>
        <w:t>万元，与2023年度相比，减少5.37万元，下降30.32%，主要原因是厉行节约，压缩公用经费开支。公用经费用途主要包括差旅费、印刷费、工会经费等。</w:t>
      </w:r>
    </w:p>
    <w:p w14:paraId="4F95DFF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5BD7ED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Style w:val="10"/>
          <w:rFonts w:hint="eastAsia" w:ascii="方正仿宋_GBK" w:hAnsi="方正仿宋_GBK" w:eastAsia="方正仿宋_GBK" w:cs="方正仿宋_GBK"/>
          <w:b w:val="0"/>
          <w:sz w:val="32"/>
          <w:szCs w:val="32"/>
          <w:shd w:val="clear" w:color="auto" w:fill="FFFFFF"/>
          <w:lang w:eastAsia="zh-CN"/>
        </w:rPr>
        <w:t>本单位</w:t>
      </w:r>
      <w:r>
        <w:rPr>
          <w:rStyle w:val="10"/>
          <w:rFonts w:ascii="方正仿宋_GBK" w:hAnsi="方正仿宋_GBK" w:eastAsia="方正仿宋_GBK" w:cs="方正仿宋_GBK"/>
          <w:b w:val="0"/>
          <w:sz w:val="32"/>
          <w:szCs w:val="32"/>
          <w:shd w:val="clear" w:color="auto" w:fill="FFFFFF"/>
        </w:rPr>
        <w:t>2024年度</w:t>
      </w:r>
      <w:r>
        <w:rPr>
          <w:rFonts w:ascii="方正仿宋_GBK" w:hAnsi="方正仿宋_GBK" w:eastAsia="方正仿宋_GBK" w:cs="方正仿宋_GBK"/>
          <w:sz w:val="32"/>
          <w:szCs w:val="32"/>
          <w:shd w:val="clear" w:color="auto" w:fill="FFFFFF"/>
        </w:rPr>
        <w:t>无政府性基金拨款收入；本年支出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Style w:val="10"/>
          <w:rFonts w:hint="eastAsia" w:ascii="方正仿宋_GBK" w:hAnsi="方正仿宋_GBK" w:eastAsia="方正仿宋_GBK" w:cs="方正仿宋_GBK"/>
          <w:b w:val="0"/>
          <w:sz w:val="32"/>
          <w:szCs w:val="32"/>
          <w:shd w:val="clear" w:color="auto" w:fill="FFFFFF"/>
          <w:lang w:eastAsia="zh-CN"/>
        </w:rPr>
        <w:t>本单位</w:t>
      </w:r>
      <w:r>
        <w:rPr>
          <w:rStyle w:val="10"/>
          <w:rFonts w:ascii="方正仿宋_GBK" w:hAnsi="方正仿宋_GBK" w:eastAsia="方正仿宋_GBK" w:cs="方正仿宋_GBK"/>
          <w:b w:val="0"/>
          <w:sz w:val="32"/>
          <w:szCs w:val="32"/>
          <w:shd w:val="clear" w:color="auto" w:fill="FFFFFF"/>
        </w:rPr>
        <w:t>2024年度</w:t>
      </w:r>
      <w:r>
        <w:rPr>
          <w:rFonts w:ascii="方正仿宋_GBK" w:hAnsi="方正仿宋_GBK" w:eastAsia="方正仿宋_GBK" w:cs="方正仿宋_GBK"/>
          <w:sz w:val="32"/>
          <w:szCs w:val="32"/>
          <w:shd w:val="clear" w:color="auto" w:fill="FFFFFF"/>
        </w:rPr>
        <w:t>无政府性基金拨款支出。</w:t>
      </w:r>
    </w:p>
    <w:p w14:paraId="0A53A4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45C8EDD">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2024年度无国有资本经营预算财政拨款支出。</w:t>
      </w:r>
    </w:p>
    <w:p w14:paraId="5C2F7891">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657A3A1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64D1897">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eastAsia="zh-CN"/>
        </w:rPr>
        <w:t>我单位</w:t>
      </w:r>
      <w:r>
        <w:rPr>
          <w:rFonts w:ascii="方正仿宋_GBK" w:hAnsi="方正仿宋_GBK" w:eastAsia="方正仿宋_GBK" w:cs="方正仿宋_GBK"/>
          <w:sz w:val="32"/>
          <w:szCs w:val="32"/>
          <w:shd w:val="clear" w:color="auto" w:fill="FFFFFF"/>
        </w:rPr>
        <w:t>2024年未发生“三公”经费支出。较上年支出数无增减，主要原因是本年及上年均未发生“三公”经费支出。</w:t>
      </w:r>
    </w:p>
    <w:p w14:paraId="584EAED5">
      <w:pPr>
        <w:pStyle w:val="6"/>
        <w:snapToGrid w:val="0"/>
        <w:spacing w:before="0" w:beforeAutospacing="0" w:after="0" w:afterAutospacing="0" w:line="600"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4A37E115">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313CE531">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6CCEE3ED">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51A2569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sz w:val="32"/>
          <w:szCs w:val="32"/>
        </w:rPr>
        <w:t>上年和本年均未发生公务接待费用。</w:t>
      </w:r>
    </w:p>
    <w:p w14:paraId="4E7EE718">
      <w:pPr>
        <w:pStyle w:val="6"/>
        <w:snapToGrid w:val="0"/>
        <w:spacing w:before="0" w:beforeAutospacing="0" w:after="0" w:afterAutospacing="0" w:line="600" w:lineRule="exact"/>
        <w:ind w:firstLine="315" w:firstLineChars="98"/>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4073AF1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2ECEC6C">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045D32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5221C4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万元，与2023年度相比，无增减，主要原因是本单位无大型会议，无会议费用。本年度培训费支出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万元，与2023年度相比，无变化，主要原因本单位本年度无培训计划、培训费用支出。</w:t>
      </w:r>
    </w:p>
    <w:p w14:paraId="513C49A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F9D3A7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ascii="方正仿宋_GBK" w:eastAsia="方正仿宋_GBK"/>
          <w:bCs/>
          <w:sz w:val="32"/>
          <w:szCs w:val="32"/>
        </w:rPr>
        <w:t>按照部门决算列报口径，我单位不在机关运行经费统计范围之内。</w:t>
      </w:r>
    </w:p>
    <w:p w14:paraId="574A408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EAD473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5DD978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FE9CE9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14:paraId="7A5EC934">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6924347C">
      <w:pPr>
        <w:widowControl w:val="0"/>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ascii="楷体" w:hAnsi="楷体" w:eastAsia="楷体" w:cs="楷体"/>
          <w:b/>
          <w:bCs/>
          <w:sz w:val="32"/>
          <w:szCs w:val="32"/>
          <w:shd w:val="clear" w:color="auto" w:fill="FFFFFF"/>
        </w:rPr>
        <w:t>自评情况</w:t>
      </w:r>
    </w:p>
    <w:p w14:paraId="755D55C1">
      <w:pPr>
        <w:widowControl w:val="0"/>
        <w:ind w:firstLine="640" w:firstLineChars="200"/>
        <w:jc w:val="both"/>
        <w:rPr>
          <w:rFonts w:hint="default" w:ascii="方正仿宋_GBK" w:hAnsi="等线" w:eastAsia="方正仿宋_GBK"/>
          <w:kern w:val="2"/>
          <w:sz w:val="32"/>
          <w:szCs w:val="32"/>
        </w:rPr>
      </w:pPr>
      <w:r>
        <w:rPr>
          <w:rFonts w:hint="eastAsia" w:ascii="方正仿宋_GBK" w:hAnsi="等线" w:eastAsia="方正仿宋_GBK"/>
          <w:kern w:val="2"/>
          <w:sz w:val="32"/>
          <w:szCs w:val="32"/>
          <w:lang w:eastAsia="zh-CN"/>
        </w:rPr>
        <w:t>我单位本年无项目支出，</w:t>
      </w:r>
      <w:r>
        <w:rPr>
          <w:rFonts w:ascii="方正仿宋_GBK" w:hAnsi="等线" w:eastAsia="方正仿宋_GBK"/>
          <w:kern w:val="2"/>
          <w:sz w:val="32"/>
          <w:szCs w:val="32"/>
        </w:rPr>
        <w:t>未组织开展绩效自评。</w:t>
      </w:r>
    </w:p>
    <w:p w14:paraId="673B1AE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3F84C9DC">
      <w:pPr>
        <w:widowControl w:val="0"/>
        <w:ind w:firstLine="640" w:firstLineChars="200"/>
        <w:jc w:val="both"/>
        <w:rPr>
          <w:rFonts w:hint="default" w:ascii="方正仿宋_GBK" w:hAnsi="等线" w:eastAsia="方正仿宋_GBK"/>
          <w:kern w:val="2"/>
          <w:sz w:val="32"/>
          <w:szCs w:val="32"/>
        </w:rPr>
      </w:pPr>
      <w:r>
        <w:rPr>
          <w:rFonts w:hint="eastAsia" w:ascii="方正仿宋_GBK" w:hAnsi="等线" w:eastAsia="方正仿宋_GBK"/>
          <w:kern w:val="2"/>
          <w:sz w:val="32"/>
          <w:szCs w:val="32"/>
          <w:lang w:eastAsia="zh-CN"/>
        </w:rPr>
        <w:t>我单位本年无项目支出，</w:t>
      </w:r>
      <w:r>
        <w:rPr>
          <w:rFonts w:ascii="方正仿宋_GBK" w:hAnsi="等线" w:eastAsia="方正仿宋_GBK"/>
          <w:kern w:val="2"/>
          <w:sz w:val="32"/>
          <w:szCs w:val="32"/>
        </w:rPr>
        <w:t>未组织开展绩效评价。</w:t>
      </w:r>
    </w:p>
    <w:p w14:paraId="6BCC5BA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8C45984">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rPr>
        <w:t>开展绩效评价。</w:t>
      </w:r>
    </w:p>
    <w:p w14:paraId="48B56467">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14:paraId="48ACD88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A3619D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729BE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C74B83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DCC2F01">
      <w:pPr>
        <w:pStyle w:val="6"/>
        <w:snapToGrid w:val="0"/>
        <w:spacing w:before="0" w:beforeAutospacing="0" w:after="0" w:afterAutospacing="0" w:line="600" w:lineRule="exact"/>
        <w:ind w:firstLine="630" w:firstLineChars="196"/>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14D111F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64CC96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36A97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16F7BB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76597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57D4BC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055897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F5CD3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BC2690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E5C7FC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BB98FC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A94810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81E592F">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4E5AFC26">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洪老师</w:t>
      </w:r>
      <w:r>
        <w:rPr>
          <w:rFonts w:hint="eastAsia" w:ascii="方正仿宋_GBK" w:hAnsi="方正仿宋_GBK" w:eastAsia="方正仿宋_GBK" w:cs="方正仿宋_GBK"/>
          <w:sz w:val="32"/>
          <w:szCs w:val="32"/>
          <w:shd w:val="clear" w:color="auto" w:fill="FFFFFF"/>
        </w:rPr>
        <w:t>023-74501855</w:t>
      </w:r>
    </w:p>
    <w:p w14:paraId="0FCC3A9A">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14F34E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垫江县桂阳街道劳动就业和社会保障服务所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138.64</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152.20</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152.20</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垫江县桂阳街道劳动就业和社会保障服务所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ABF7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98D4">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40745">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A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0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6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7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F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6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2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EF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54E4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56E7">
            <w:pPr>
              <w:textAlignment w:val="center"/>
              <w:rPr>
                <w:rFonts w:hint="default"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C0BD">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45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C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1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B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5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0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E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4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8C4C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6BD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F381">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4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D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1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E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3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D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3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8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C487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ED0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4652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D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6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6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D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B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4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2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5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054C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21F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75D4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8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A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5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1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B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7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E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0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4583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F97B">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0C13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9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1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5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56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3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D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8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7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0127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37F1">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F5F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1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9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2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1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2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8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3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F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ECD4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D0D1">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26C16">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8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F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6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8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E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2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1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0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69FEF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4C06">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1AE2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C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2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8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D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0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4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7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7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FDA9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0C6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04E3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8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A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0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6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8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9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3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D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9014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1FF9">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9B7D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3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0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3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8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C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C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3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垫江县桂阳街道劳动就业和社会保障服务所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4B19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5ED7">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ACC0">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A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6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E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3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5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C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84FA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AEFF">
            <w:pPr>
              <w:textAlignment w:val="center"/>
              <w:rPr>
                <w:rFonts w:hint="default"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9AFA2">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5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6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9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3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C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0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0053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6CF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1AC0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A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4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AB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1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E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3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5B81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EAE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C76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0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C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3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F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C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F84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A402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651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C9D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2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D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5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8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5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8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5F36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0FB8">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E6A4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5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1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A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4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3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D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171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090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B7DE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1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D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7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8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9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A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80D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7E61">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F7A7A">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F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2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B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D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2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B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18E8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2812">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79770">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7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5C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A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6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F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E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AECB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114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35C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7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D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0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F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3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F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FF45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BE0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8C87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1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C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F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4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8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2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152.20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152.20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A1D8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93AC">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141E">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34B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556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1DA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1265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E0E5">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6D81">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B2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02C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31D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56FD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24A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D8BB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AF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DC1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E0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D168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0AC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87EF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76A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E0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566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B004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906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3496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51D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663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15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D3CA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A78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FCAE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70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946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777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31B0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AB8E">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9AE9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CE5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F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D9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0D17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3091">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1F881">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F56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D93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912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5578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A28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E806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B2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C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9FA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1AE0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0B25">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2C5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D76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F2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6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CE2C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B1F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D946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3AD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11A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2A7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139.86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垫江县桂阳街道劳动就业和社会保障服务所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474AB86">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71EA9FD-28EF-4C85-A423-032A6CEA2A79}"/>
  </w:font>
  <w:font w:name="黑体">
    <w:panose1 w:val="02010609060101010101"/>
    <w:charset w:val="86"/>
    <w:family w:val="auto"/>
    <w:pitch w:val="default"/>
    <w:sig w:usb0="800002BF" w:usb1="38CF7CFA" w:usb2="00000016" w:usb3="00000000" w:csb0="00040001" w:csb1="00000000"/>
    <w:embedRegular r:id="rId2" w:fontKey="{704EDDD8-560A-4B2A-A9FE-51E05F1BB6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3" w:fontKey="{90A9350D-3BBA-4913-822C-109744AEE16F}"/>
  </w:font>
  <w:font w:name="方正小标宋_GBK">
    <w:panose1 w:val="03000509000000000000"/>
    <w:charset w:val="86"/>
    <w:family w:val="script"/>
    <w:pitch w:val="default"/>
    <w:sig w:usb0="00000001" w:usb1="080E0000" w:usb2="00000000" w:usb3="00000000" w:csb0="00040000" w:csb1="00000000"/>
    <w:embedRegular r:id="rId4" w:fontKey="{FFDBCAA1-32B0-423D-AED2-70032D60E99E}"/>
  </w:font>
  <w:font w:name="楷体">
    <w:panose1 w:val="02010609060101010101"/>
    <w:charset w:val="86"/>
    <w:family w:val="modern"/>
    <w:pitch w:val="default"/>
    <w:sig w:usb0="800002BF" w:usb1="38CF7CFA" w:usb2="00000016" w:usb3="00000000" w:csb0="00040001" w:csb1="00000000"/>
    <w:embedRegular r:id="rId5" w:fontKey="{B9465082-153D-492B-A7A8-84C96C35CA5C}"/>
  </w:font>
  <w:font w:name="等线">
    <w:panose1 w:val="02010600030101010101"/>
    <w:charset w:val="86"/>
    <w:family w:val="auto"/>
    <w:pitch w:val="default"/>
    <w:sig w:usb0="A00002BF" w:usb1="38CF7CFA" w:usb2="00000016" w:usb3="00000000" w:csb0="0004000F" w:csb1="00000000"/>
    <w:embedRegular r:id="rId6" w:fontKey="{3DC47979-4567-4A99-ADBB-D143D10A35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05D5">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53DB46">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53DB46">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BA3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E3869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2E3869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0E4D5F">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70E4D5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A1B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1557C"/>
    <w:rsid w:val="000C01CC"/>
    <w:rsid w:val="000D7702"/>
    <w:rsid w:val="00120E5B"/>
    <w:rsid w:val="00261065"/>
    <w:rsid w:val="002B38A5"/>
    <w:rsid w:val="002D0E5A"/>
    <w:rsid w:val="002E5443"/>
    <w:rsid w:val="00315965"/>
    <w:rsid w:val="0032196C"/>
    <w:rsid w:val="004C12FF"/>
    <w:rsid w:val="00550ABE"/>
    <w:rsid w:val="005B023C"/>
    <w:rsid w:val="00600322"/>
    <w:rsid w:val="006137D7"/>
    <w:rsid w:val="00634FA8"/>
    <w:rsid w:val="0063613A"/>
    <w:rsid w:val="006E2034"/>
    <w:rsid w:val="00732392"/>
    <w:rsid w:val="00792285"/>
    <w:rsid w:val="007A0D2E"/>
    <w:rsid w:val="007A3314"/>
    <w:rsid w:val="007B419D"/>
    <w:rsid w:val="007C11A1"/>
    <w:rsid w:val="00810F13"/>
    <w:rsid w:val="0089206F"/>
    <w:rsid w:val="00944711"/>
    <w:rsid w:val="009821E3"/>
    <w:rsid w:val="00984852"/>
    <w:rsid w:val="009B67B8"/>
    <w:rsid w:val="00A03B1E"/>
    <w:rsid w:val="00A67739"/>
    <w:rsid w:val="00A820B7"/>
    <w:rsid w:val="00AC5566"/>
    <w:rsid w:val="00AE0FCC"/>
    <w:rsid w:val="00B03CCD"/>
    <w:rsid w:val="00B40138"/>
    <w:rsid w:val="00BF5A85"/>
    <w:rsid w:val="00C307F6"/>
    <w:rsid w:val="00C96B11"/>
    <w:rsid w:val="00CC6B99"/>
    <w:rsid w:val="00D35BC7"/>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535D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160F86"/>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782D1F"/>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AF4597A"/>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4F71B58"/>
    <w:rsid w:val="750837F0"/>
    <w:rsid w:val="754758CF"/>
    <w:rsid w:val="75F378D5"/>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8222</Words>
  <Characters>10156</Characters>
  <Lines>91</Lines>
  <Paragraphs>25</Paragraphs>
  <TotalTime>2</TotalTime>
  <ScaleCrop>false</ScaleCrop>
  <LinksUpToDate>false</LinksUpToDate>
  <CharactersWithSpaces>11116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聊鸭鼗陈本</cp:lastModifiedBy>
  <dcterms:modified xsi:type="dcterms:W3CDTF">2025-09-18T07:41:56Z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