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0" w:name="_Toc19872"/>
      <w:bookmarkStart w:id="1" w:name="_Toc9765"/>
      <w:bookmarkStart w:id="2" w:name="_Toc2168"/>
      <w:bookmarkStart w:id="3" w:name="_Toc29829"/>
      <w:bookmarkStart w:id="4" w:name="_Toc23215"/>
      <w:bookmarkStart w:id="5" w:name="_Toc18139"/>
    </w:p>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p>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垫江县人民政府</w:t>
      </w:r>
      <w:bookmarkEnd w:id="0"/>
      <w:bookmarkEnd w:id="1"/>
      <w:bookmarkEnd w:id="2"/>
    </w:p>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jc w:val="center"/>
        <w:textAlignment w:val="auto"/>
        <w:rPr>
          <w:rFonts w:hint="default" w:ascii="Times New Roman" w:hAnsi="Times New Roman" w:eastAsia="方正小标宋_GBK" w:cs="Times New Roman"/>
          <w:sz w:val="44"/>
          <w:szCs w:val="44"/>
          <w:lang w:val="en-US" w:eastAsia="zh-CN"/>
        </w:rPr>
      </w:pPr>
      <w:bookmarkStart w:id="6" w:name="_Toc27351"/>
      <w:bookmarkStart w:id="7" w:name="_Toc25222"/>
      <w:bookmarkStart w:id="8" w:name="_Toc10479"/>
      <w:r>
        <w:rPr>
          <w:rFonts w:hint="default" w:ascii="Times New Roman" w:hAnsi="Times New Roman" w:eastAsia="方正小标宋_GBK" w:cs="Times New Roman"/>
          <w:sz w:val="44"/>
          <w:szCs w:val="44"/>
          <w:lang w:val="en-US" w:eastAsia="zh-CN"/>
        </w:rPr>
        <w:t>关于调整垫江县国有土地上房屋征收费额</w:t>
      </w:r>
    </w:p>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标准的通知</w:t>
      </w:r>
      <w:bookmarkEnd w:id="6"/>
      <w:bookmarkEnd w:id="7"/>
      <w:bookmarkEnd w:id="8"/>
    </w:p>
    <w:p>
      <w:pPr>
        <w:pStyle w:val="2"/>
        <w:keepNext w:val="0"/>
        <w:keepLines w:val="0"/>
        <w:pageBreakBefore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仿宋_GBK" w:cs="Times New Roman"/>
          <w:sz w:val="32"/>
          <w:szCs w:val="32"/>
        </w:rPr>
      </w:pPr>
      <w:bookmarkStart w:id="9" w:name="_Toc27566"/>
      <w:bookmarkStart w:id="10" w:name="_Toc3456"/>
      <w:bookmarkStart w:id="11" w:name="_Toc17538"/>
      <w:r>
        <w:rPr>
          <w:rFonts w:hint="default" w:ascii="Times New Roman" w:hAnsi="Times New Roman" w:eastAsia="方正仿宋_GBK" w:cs="Times New Roman"/>
          <w:sz w:val="32"/>
          <w:szCs w:val="32"/>
          <w:lang w:val="en-US" w:eastAsia="zh-CN"/>
        </w:rPr>
        <w:t>垫江府发〔2014〕17号</w:t>
      </w:r>
      <w:bookmarkEnd w:id="9"/>
      <w:bookmarkEnd w:id="10"/>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40" w:lineRule="exact"/>
        <w:ind w:left="0" w:leftChars="0" w:right="0" w:firstLine="0" w:firstLineChars="0"/>
        <w:jc w:val="lef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各乡镇人民政府，县政府各部门，县属各企事业单位：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根据《重庆市人民政府办公厅关于印发重庆市国有土地上房屋征收与补偿办法(暂行)等有关办法的通知》(渝办发〔2011〕123号)精神，结合我县实际，经十六届县政府第37次常务会议研究，同意调整垫江县国有土地上房屋征收费额标准(见附件)。新的标准从2014年5月1日起执行，原《垫江县人民政府关于调整垫江县国有土地上房屋征收费额标准的通知》(垫江府发〔2011〕23号)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附件：垫江县国有土地上房屋征收费额标准 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420" w:rightChars="200" w:firstLine="640" w:firstLineChars="200"/>
        <w:jc w:val="righ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垫江县人民政府</w:t>
      </w:r>
    </w:p>
    <w:p>
      <w:pPr>
        <w:pStyle w:val="2"/>
        <w:keepNext w:val="0"/>
        <w:keepLines w:val="0"/>
        <w:pageBreakBefore w:val="0"/>
        <w:kinsoku/>
        <w:wordWrap/>
        <w:overflowPunct/>
        <w:topLinePunct w:val="0"/>
        <w:autoSpaceDE/>
        <w:autoSpaceDN/>
        <w:bidi w:val="0"/>
        <w:adjustRightInd w:val="0"/>
        <w:snapToGrid/>
        <w:spacing w:before="0" w:beforeAutospacing="0" w:after="0" w:afterAutospacing="0" w:line="600" w:lineRule="exact"/>
        <w:ind w:left="0" w:leftChars="0" w:right="0" w:firstLine="0" w:firstLineChars="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2014年9月23日</w:t>
      </w:r>
    </w:p>
    <w:p>
      <w:pPr>
        <w:pStyle w:val="2"/>
        <w:keepNext w:val="0"/>
        <w:keepLines w:val="0"/>
        <w:pageBreakBefore w:val="0"/>
        <w:kinsoku/>
        <w:wordWrap/>
        <w:overflowPunct/>
        <w:topLinePunct w:val="0"/>
        <w:autoSpaceDE/>
        <w:autoSpaceDN/>
        <w:bidi w:val="0"/>
        <w:adjustRightInd w:val="0"/>
        <w:snapToGrid/>
        <w:spacing w:before="0" w:beforeAutospacing="0" w:after="0" w:afterAutospacing="0" w:line="60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p>
    <w:p>
      <w:pPr>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Autospacing="0" w:afterAutospacing="0" w:line="600" w:lineRule="exact"/>
        <w:ind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0" w:firstLineChars="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iCs w:val="0"/>
          <w:caps w:val="0"/>
          <w:color w:val="333333"/>
          <w:spacing w:val="0"/>
          <w:sz w:val="36"/>
          <w:szCs w:val="36"/>
          <w:shd w:val="clear" w:fill="FFFFFF"/>
        </w:rPr>
        <w:t>垫江县国有土地上房屋征收费额标准</w:t>
      </w:r>
    </w:p>
    <w:tbl>
      <w:tblPr>
        <w:tblStyle w:val="9"/>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3"/>
        <w:gridCol w:w="502"/>
        <w:gridCol w:w="636"/>
        <w:gridCol w:w="3752"/>
        <w:gridCol w:w="3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9" w:hRule="atLeast"/>
        </w:trPr>
        <w:tc>
          <w:tcPr>
            <w:tcW w:w="543"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序号</w:t>
            </w:r>
          </w:p>
        </w:tc>
        <w:tc>
          <w:tcPr>
            <w:tcW w:w="1128"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right="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费 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right="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名 称</w:t>
            </w:r>
          </w:p>
        </w:tc>
        <w:tc>
          <w:tcPr>
            <w:tcW w:w="73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费    额    标    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trPr>
        <w:tc>
          <w:tcPr>
            <w:tcW w:w="543"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1128"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县城区域内</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  乡  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4" w:hRule="atLeast"/>
        </w:trPr>
        <w:tc>
          <w:tcPr>
            <w:tcW w:w="54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w:t>
            </w:r>
          </w:p>
        </w:tc>
        <w:tc>
          <w:tcPr>
            <w:tcW w:w="5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搬迁费</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住    宅</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1800元/户·次</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1400元/户·次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78" w:hRule="atLeast"/>
        </w:trPr>
        <w:tc>
          <w:tcPr>
            <w:tcW w:w="54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5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非 住 宅</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商业、办公、业务用房27元/㎡·次；生产用房36元/㎡·次。</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商业、办公、业务用房21元/㎡·次；生产用房28元/㎡·次。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14" w:hRule="atLeast"/>
        </w:trPr>
        <w:tc>
          <w:tcPr>
            <w:tcW w:w="5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w:t>
            </w:r>
          </w:p>
        </w:tc>
        <w:tc>
          <w:tcPr>
            <w:tcW w:w="11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提前搬迁奖励费</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住宅100元/户·日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非住宅18元/㎡·日</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住宅78元/户·日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非住宅14元/㎡·日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trPr>
        <w:tc>
          <w:tcPr>
            <w:tcW w:w="54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3</w:t>
            </w:r>
          </w:p>
        </w:tc>
        <w:tc>
          <w:tcPr>
            <w:tcW w:w="1128"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right="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临时安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right="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置费</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7元/㎡·月</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5元/㎡·月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9" w:hRule="atLeast"/>
        </w:trPr>
        <w:tc>
          <w:tcPr>
            <w:tcW w:w="54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1128"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73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县城区域内临时安置费每年补偿不足4500元的，按4500元补偿。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乡镇临时安置费每年补偿不足3500元的，按3500元补偿。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78" w:hRule="atLeast"/>
        </w:trPr>
        <w:tc>
          <w:tcPr>
            <w:tcW w:w="54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4</w:t>
            </w:r>
          </w:p>
        </w:tc>
        <w:tc>
          <w:tcPr>
            <w:tcW w:w="5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货币补偿补助费</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住宅</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按被征收房屋价值的15%计算货币补偿补助，不足27000元/户的，按27000元/户给予。</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按被征收房屋价值的15%计算货币补偿补助，不足21000元/户的，按21000元/户给予。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78" w:hRule="atLeast"/>
        </w:trPr>
        <w:tc>
          <w:tcPr>
            <w:tcW w:w="54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5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非住宅</w:t>
            </w:r>
          </w:p>
        </w:tc>
        <w:tc>
          <w:tcPr>
            <w:tcW w:w="37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按被征收房屋价值的5%计算，不足18000元的，按18000元给予</w:t>
            </w:r>
          </w:p>
        </w:tc>
        <w:tc>
          <w:tcPr>
            <w:tcW w:w="3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按被征收房屋价值的5%计算，不足14000元的，按14000元给予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4" w:hRule="atLeast"/>
        </w:trPr>
        <w:tc>
          <w:tcPr>
            <w:tcW w:w="54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5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topLinePunct w:val="0"/>
              <w:bidi w:val="0"/>
              <w:adjustRightInd w:val="0"/>
              <w:snapToGrid/>
              <w:spacing w:before="0" w:beforeAutospacing="0" w:after="0" w:afterAutospacing="0" w:line="594" w:lineRule="exact"/>
              <w:ind w:left="0" w:leftChars="0" w:right="0"/>
              <w:rPr>
                <w:rFonts w:hint="default" w:ascii="Times New Roman" w:hAnsi="Times New Roman" w:eastAsia="方正仿宋_GBK" w:cs="Times New Roman"/>
                <w:color w:val="333333"/>
                <w:sz w:val="28"/>
                <w:szCs w:val="28"/>
              </w:rPr>
            </w:pPr>
          </w:p>
        </w:tc>
        <w:tc>
          <w:tcPr>
            <w:tcW w:w="794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选择货币补偿方式的，给予货币补偿补助费。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同一产权内既有住宅也有非住宅的，按就高不就低的原则，合并给予一次补助，不能分别补助两次。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89" w:hRule="atLeast"/>
        </w:trPr>
        <w:tc>
          <w:tcPr>
            <w:tcW w:w="5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5</w:t>
            </w:r>
          </w:p>
        </w:tc>
        <w:tc>
          <w:tcPr>
            <w:tcW w:w="112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水电总表、天然气等设施的补偿</w:t>
            </w:r>
          </w:p>
        </w:tc>
        <w:tc>
          <w:tcPr>
            <w:tcW w:w="73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1</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被征收人单独安装的水电总表，由其自行拆除，并由征收单位按有关部门现行收费标准一次性给予全额补偿。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2</w:t>
            </w:r>
            <w:r>
              <w:rPr>
                <w:rFonts w:hint="eastAsia" w:ascii="Times New Roman" w:hAnsi="Times New Roman" w:eastAsia="方正仿宋_GBK" w:cs="Times New Roman"/>
                <w:color w:val="333333"/>
                <w:kern w:val="0"/>
                <w:sz w:val="28"/>
                <w:szCs w:val="28"/>
                <w:lang w:val="en-US" w:eastAsia="zh-CN" w:bidi="ar"/>
              </w:rPr>
              <w:t>.</w:t>
            </w:r>
            <w:r>
              <w:rPr>
                <w:rFonts w:hint="default" w:ascii="Times New Roman" w:hAnsi="Times New Roman" w:eastAsia="方正仿宋_GBK" w:cs="Times New Roman"/>
                <w:color w:val="333333"/>
                <w:kern w:val="0"/>
                <w:sz w:val="28"/>
                <w:szCs w:val="28"/>
                <w:lang w:val="en-US" w:eastAsia="zh-CN" w:bidi="ar"/>
              </w:rPr>
              <w:t>实行房屋产权调换的，被征收人原有的天然气、闭路电视等设施，征收时不予补偿，由征收单位恢复安装，不另收费。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kern w:val="0"/>
                <w:sz w:val="28"/>
                <w:szCs w:val="28"/>
                <w:lang w:val="en-US" w:eastAsia="zh-CN" w:bidi="ar"/>
              </w:rPr>
              <w:t>3</w:t>
            </w:r>
            <w:r>
              <w:rPr>
                <w:rFonts w:hint="eastAsia" w:ascii="Times New Roman" w:hAnsi="Times New Roman" w:eastAsia="方正仿宋_GBK" w:cs="Times New Roman"/>
                <w:color w:val="333333"/>
                <w:kern w:val="0"/>
                <w:sz w:val="28"/>
                <w:szCs w:val="28"/>
                <w:lang w:val="en-US" w:eastAsia="zh-CN" w:bidi="ar"/>
              </w:rPr>
              <w:t>.</w:t>
            </w:r>
            <w:bookmarkStart w:id="12" w:name="_GoBack"/>
            <w:bookmarkEnd w:id="12"/>
            <w:r>
              <w:rPr>
                <w:rFonts w:hint="default" w:ascii="Times New Roman" w:hAnsi="Times New Roman" w:eastAsia="方正仿宋_GBK" w:cs="Times New Roman"/>
                <w:color w:val="333333"/>
                <w:kern w:val="0"/>
                <w:sz w:val="28"/>
                <w:szCs w:val="28"/>
                <w:lang w:val="en-US" w:eastAsia="zh-CN" w:bidi="ar"/>
              </w:rPr>
              <w:t>实行货币补偿的，原有的天然气、闭路电视等设施，征收时按有关部门规定的现行收费标准予以补偿。</w:t>
            </w:r>
          </w:p>
        </w:tc>
      </w:tr>
    </w:tbl>
    <w:p>
      <w:pPr>
        <w:rPr>
          <w:rFonts w:hint="default" w:ascii="Times New Roman" w:hAnsi="Times New Roman" w:eastAsia="方正小标宋_GBK" w:cs="Times New Roman"/>
          <w:sz w:val="44"/>
          <w:szCs w:val="44"/>
          <w:lang w:val="en-US" w:eastAsia="zh-CN"/>
        </w:rPr>
      </w:pPr>
    </w:p>
    <w:bookmarkEnd w:id="3"/>
    <w:bookmarkEnd w:id="4"/>
    <w:bookmarkEnd w:id="5"/>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垫江县人民政府办公室发布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4060C0"/>
    <w:rsid w:val="041C42DA"/>
    <w:rsid w:val="04B679C3"/>
    <w:rsid w:val="05F07036"/>
    <w:rsid w:val="06E00104"/>
    <w:rsid w:val="080F63D8"/>
    <w:rsid w:val="09341458"/>
    <w:rsid w:val="098254C2"/>
    <w:rsid w:val="0A766EDE"/>
    <w:rsid w:val="0AD64BE8"/>
    <w:rsid w:val="0B0912D7"/>
    <w:rsid w:val="0E025194"/>
    <w:rsid w:val="152D2DCA"/>
    <w:rsid w:val="18664544"/>
    <w:rsid w:val="187168EA"/>
    <w:rsid w:val="196673CA"/>
    <w:rsid w:val="19D83220"/>
    <w:rsid w:val="1B2F4AEE"/>
    <w:rsid w:val="1CF734C9"/>
    <w:rsid w:val="1DEC284C"/>
    <w:rsid w:val="1E6523AC"/>
    <w:rsid w:val="1E746758"/>
    <w:rsid w:val="22440422"/>
    <w:rsid w:val="22BB4BBB"/>
    <w:rsid w:val="268C786C"/>
    <w:rsid w:val="2AEB3417"/>
    <w:rsid w:val="31A15F24"/>
    <w:rsid w:val="324A1681"/>
    <w:rsid w:val="36FB1DF0"/>
    <w:rsid w:val="395347B5"/>
    <w:rsid w:val="39A232A0"/>
    <w:rsid w:val="39E745AA"/>
    <w:rsid w:val="3B5A6BBB"/>
    <w:rsid w:val="3EDA13A6"/>
    <w:rsid w:val="417B75E9"/>
    <w:rsid w:val="42F058B7"/>
    <w:rsid w:val="436109F6"/>
    <w:rsid w:val="441A38D4"/>
    <w:rsid w:val="4504239D"/>
    <w:rsid w:val="46991C1C"/>
    <w:rsid w:val="4797365B"/>
    <w:rsid w:val="4BC77339"/>
    <w:rsid w:val="4C9236C5"/>
    <w:rsid w:val="4E250A85"/>
    <w:rsid w:val="4FFD4925"/>
    <w:rsid w:val="505C172E"/>
    <w:rsid w:val="506405EA"/>
    <w:rsid w:val="52F46F0B"/>
    <w:rsid w:val="532B6A10"/>
    <w:rsid w:val="53D8014D"/>
    <w:rsid w:val="55E064E0"/>
    <w:rsid w:val="572C6D10"/>
    <w:rsid w:val="5A5F1B44"/>
    <w:rsid w:val="5DC34279"/>
    <w:rsid w:val="5FCD688E"/>
    <w:rsid w:val="5FF9BDAA"/>
    <w:rsid w:val="5FFE5333"/>
    <w:rsid w:val="608816D1"/>
    <w:rsid w:val="60EF4E7F"/>
    <w:rsid w:val="648B0A32"/>
    <w:rsid w:val="665233C1"/>
    <w:rsid w:val="69AC0D42"/>
    <w:rsid w:val="6AD9688B"/>
    <w:rsid w:val="6D0E3F22"/>
    <w:rsid w:val="73BB5821"/>
    <w:rsid w:val="744E4660"/>
    <w:rsid w:val="753355A2"/>
    <w:rsid w:val="759F1C61"/>
    <w:rsid w:val="769F2DE8"/>
    <w:rsid w:val="76FDEB7C"/>
    <w:rsid w:val="797E7F55"/>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WPS_1652863033</cp:lastModifiedBy>
  <cp:lastPrinted>2022-05-12T00:46:00Z</cp:lastPrinted>
  <dcterms:modified xsi:type="dcterms:W3CDTF">2022-06-12T03:52:36Z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48C61CB29D3F4D9384F5922CF0F7FFB4</vt:lpwstr>
  </property>
</Properties>
</file>