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A417C">
      <w:pPr>
        <w:rPr>
          <w:rFonts w:eastAsia="方正仿宋_GBK"/>
          <w:sz w:val="32"/>
          <w:szCs w:val="32"/>
        </w:rPr>
      </w:pPr>
    </w:p>
    <w:p w14:paraId="68A40184">
      <w:pPr>
        <w:rPr>
          <w:rFonts w:eastAsia="方正仿宋_GBK"/>
          <w:sz w:val="32"/>
          <w:szCs w:val="32"/>
        </w:rPr>
      </w:pPr>
    </w:p>
    <w:p w14:paraId="1CF44EC9">
      <w:pPr>
        <w:jc w:val="center"/>
        <w:rPr>
          <w:rFonts w:eastAsia="方正仿宋_GBK"/>
          <w:color w:val="000000"/>
          <w:sz w:val="32"/>
          <w:szCs w:val="32"/>
        </w:rPr>
      </w:pPr>
      <w:bookmarkStart w:id="0" w:name="文号"/>
      <w:bookmarkStart w:id="1" w:name="quanwen"/>
      <w:r>
        <w:rPr>
          <w:rFonts w:hint="eastAsia" w:eastAsia="方正仿宋_GBK"/>
          <w:color w:val="000000"/>
          <w:sz w:val="32"/>
          <w:szCs w:val="32"/>
        </w:rPr>
        <w:t>垫江府发〔202</w:t>
      </w:r>
      <w:r>
        <w:rPr>
          <w:rFonts w:hint="eastAsia" w:eastAsia="方正仿宋_GBK"/>
          <w:color w:val="000000"/>
          <w:sz w:val="32"/>
          <w:szCs w:val="32"/>
          <w:lang w:val="en-US" w:eastAsia="zh-CN"/>
        </w:rPr>
        <w:t>2</w:t>
      </w:r>
      <w:r>
        <w:rPr>
          <w:rFonts w:hint="eastAsia" w:eastAsia="方正仿宋_GBK"/>
          <w:color w:val="000000"/>
          <w:sz w:val="32"/>
          <w:szCs w:val="32"/>
        </w:rPr>
        <w:t>〕</w:t>
      </w:r>
      <w:r>
        <w:rPr>
          <w:rFonts w:hint="eastAsia" w:eastAsia="方正仿宋_GBK"/>
          <w:color w:val="000000"/>
          <w:sz w:val="32"/>
          <w:szCs w:val="32"/>
          <w:lang w:val="en-US" w:eastAsia="zh-CN"/>
        </w:rPr>
        <w:t>17</w:t>
      </w:r>
      <w:r>
        <w:rPr>
          <w:rFonts w:hint="eastAsia" w:eastAsia="方正仿宋_GBK"/>
          <w:color w:val="000000"/>
          <w:sz w:val="32"/>
          <w:szCs w:val="32"/>
        </w:rPr>
        <w:t>号</w:t>
      </w:r>
      <w:bookmarkEnd w:id="0"/>
    </w:p>
    <w:p w14:paraId="5C095874">
      <w:pPr>
        <w:rPr>
          <w:rFonts w:eastAsia="方正仿宋_GBK"/>
          <w:color w:val="000000"/>
          <w:sz w:val="32"/>
          <w:szCs w:val="32"/>
        </w:rPr>
      </w:pPr>
    </w:p>
    <w:p w14:paraId="4C1C09AD">
      <w:pPr>
        <w:rPr>
          <w:rFonts w:eastAsia="方正仿宋_GBK"/>
          <w:color w:val="000000"/>
          <w:sz w:val="32"/>
          <w:szCs w:val="32"/>
        </w:rPr>
      </w:pPr>
    </w:p>
    <w:p w14:paraId="0C3CA6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color w:val="000000"/>
          <w:spacing w:val="0"/>
          <w:kern w:val="0"/>
          <w:sz w:val="44"/>
          <w:szCs w:val="44"/>
        </w:rPr>
      </w:pPr>
      <w:r>
        <w:rPr>
          <w:rFonts w:hint="eastAsia" w:ascii="方正小标宋_GBK" w:hAnsi="方正小标宋_GBK" w:eastAsia="方正小标宋_GBK" w:cs="方正小标宋_GBK"/>
          <w:color w:val="000000"/>
          <w:spacing w:val="0"/>
          <w:sz w:val="44"/>
          <w:szCs w:val="44"/>
        </w:rPr>
        <w:t>垫江县人民政府</w:t>
      </w:r>
    </w:p>
    <w:p w14:paraId="6400969D">
      <w:pPr>
        <w:spacing w:line="600" w:lineRule="exact"/>
        <w:jc w:val="center"/>
        <w:rPr>
          <w:rFonts w:hint="eastAsia" w:eastAsia="方正小标宋_GBK"/>
          <w:color w:val="000000"/>
          <w:spacing w:val="0"/>
          <w:sz w:val="44"/>
          <w:szCs w:val="44"/>
        </w:rPr>
      </w:pPr>
      <w:r>
        <w:rPr>
          <w:rFonts w:hint="eastAsia" w:eastAsia="方正小标宋_GBK"/>
          <w:color w:val="000000"/>
          <w:spacing w:val="0"/>
          <w:sz w:val="44"/>
          <w:szCs w:val="44"/>
        </w:rPr>
        <w:t>关于印发垫江县推进农业农村现代化</w:t>
      </w:r>
    </w:p>
    <w:p w14:paraId="0E35ECE9">
      <w:pPr>
        <w:spacing w:line="600" w:lineRule="exact"/>
        <w:jc w:val="center"/>
        <w:rPr>
          <w:rFonts w:hint="eastAsia" w:eastAsia="方正小标宋_GBK"/>
          <w:color w:val="000000"/>
          <w:spacing w:val="0"/>
          <w:sz w:val="44"/>
          <w:szCs w:val="44"/>
        </w:rPr>
      </w:pPr>
      <w:r>
        <w:rPr>
          <w:rFonts w:hint="eastAsia" w:eastAsia="方正小标宋_GBK"/>
          <w:color w:val="000000"/>
          <w:spacing w:val="0"/>
          <w:sz w:val="44"/>
          <w:szCs w:val="44"/>
        </w:rPr>
        <w:t>“十四五”规划</w:t>
      </w:r>
      <w:r>
        <w:rPr>
          <w:rFonts w:eastAsia="方正小标宋_GBK"/>
          <w:color w:val="000000"/>
          <w:spacing w:val="0"/>
          <w:sz w:val="44"/>
          <w:szCs w:val="44"/>
          <w:lang w:val="en"/>
        </w:rPr>
        <w:t>(</w:t>
      </w:r>
      <w:r>
        <w:rPr>
          <w:rFonts w:eastAsia="方正小标宋_GBK"/>
          <w:color w:val="000000"/>
          <w:spacing w:val="0"/>
          <w:sz w:val="44"/>
          <w:szCs w:val="44"/>
        </w:rPr>
        <w:t>2021—2025年</w:t>
      </w:r>
      <w:r>
        <w:rPr>
          <w:rFonts w:eastAsia="方正小标宋_GBK"/>
          <w:color w:val="000000"/>
          <w:spacing w:val="0"/>
          <w:sz w:val="44"/>
          <w:szCs w:val="44"/>
          <w:lang w:val="en"/>
        </w:rPr>
        <w:t>)</w:t>
      </w:r>
      <w:r>
        <w:rPr>
          <w:rFonts w:hint="eastAsia" w:eastAsia="方正小标宋_GBK"/>
          <w:color w:val="000000"/>
          <w:spacing w:val="0"/>
          <w:sz w:val="44"/>
          <w:szCs w:val="44"/>
        </w:rPr>
        <w:t>的通知</w:t>
      </w:r>
    </w:p>
    <w:p w14:paraId="6C16044B">
      <w:pPr>
        <w:spacing w:line="560" w:lineRule="exact"/>
        <w:rPr>
          <w:rFonts w:eastAsia="方正仿宋_GBK"/>
          <w:color w:val="000000"/>
          <w:sz w:val="32"/>
          <w:szCs w:val="32"/>
        </w:rPr>
      </w:pPr>
    </w:p>
    <w:p w14:paraId="5B480530">
      <w:pPr>
        <w:pStyle w:val="4"/>
        <w:spacing w:line="560" w:lineRule="exact"/>
        <w:ind w:firstLine="0" w:firstLineChars="0"/>
        <w:rPr>
          <w:rFonts w:eastAsia="方正仿宋_GBK"/>
          <w:color w:val="000000"/>
          <w:sz w:val="32"/>
          <w:szCs w:val="32"/>
        </w:rPr>
      </w:pPr>
      <w:r>
        <w:rPr>
          <w:rFonts w:eastAsia="方正仿宋_GBK"/>
          <w:color w:val="000000"/>
          <w:sz w:val="32"/>
          <w:szCs w:val="32"/>
        </w:rPr>
        <w:t>各乡镇人民政府、街道办事处，县政府各部门，县属各企事业单位：</w:t>
      </w:r>
    </w:p>
    <w:p w14:paraId="78B183D4">
      <w:pPr>
        <w:pStyle w:val="4"/>
        <w:spacing w:line="560" w:lineRule="exact"/>
        <w:ind w:firstLine="640"/>
        <w:rPr>
          <w:rFonts w:eastAsia="方正仿宋_GBK" w:cs="方正仿宋_GBK"/>
          <w:color w:val="000000"/>
          <w:sz w:val="32"/>
          <w:szCs w:val="32"/>
        </w:rPr>
      </w:pPr>
      <w:r>
        <w:rPr>
          <w:rFonts w:hint="eastAsia" w:eastAsia="方正仿宋_GBK" w:cs="方正仿宋_GBK"/>
          <w:color w:val="000000"/>
          <w:sz w:val="32"/>
          <w:szCs w:val="32"/>
        </w:rPr>
        <w:t>《垫江县推进农业农村现代化“十四五”规划(2021—2025年)</w:t>
      </w:r>
      <w:r>
        <w:rPr>
          <w:rFonts w:eastAsia="方正仿宋_GBK" w:cs="方正仿宋_GBK"/>
          <w:color w:val="000000"/>
          <w:sz w:val="32"/>
          <w:szCs w:val="32"/>
        </w:rPr>
        <w:t>》</w:t>
      </w:r>
      <w:r>
        <w:rPr>
          <w:rFonts w:hint="eastAsia" w:eastAsia="方正仿宋_GBK" w:cs="方正仿宋_GBK"/>
          <w:color w:val="000000"/>
          <w:sz w:val="32"/>
          <w:szCs w:val="32"/>
        </w:rPr>
        <w:t>已经</w:t>
      </w:r>
      <w:r>
        <w:rPr>
          <w:rFonts w:hint="eastAsia" w:eastAsia="方正仿宋_GBK" w:cs="方正仿宋_GBK"/>
          <w:color w:val="000000"/>
          <w:sz w:val="32"/>
          <w:szCs w:val="32"/>
          <w:lang w:eastAsia="zh-CN"/>
        </w:rPr>
        <w:t>县第</w:t>
      </w:r>
      <w:r>
        <w:rPr>
          <w:rFonts w:hint="eastAsia" w:eastAsia="方正仿宋_GBK" w:cs="方正仿宋_GBK"/>
          <w:color w:val="000000"/>
          <w:sz w:val="32"/>
          <w:szCs w:val="32"/>
        </w:rPr>
        <w:t>十八届</w:t>
      </w:r>
      <w:r>
        <w:rPr>
          <w:rFonts w:hint="eastAsia" w:eastAsia="方正仿宋_GBK" w:cs="方正仿宋_GBK"/>
          <w:color w:val="000000"/>
          <w:sz w:val="32"/>
          <w:szCs w:val="32"/>
          <w:lang w:eastAsia="zh-CN"/>
        </w:rPr>
        <w:t>人民</w:t>
      </w:r>
      <w:r>
        <w:rPr>
          <w:rFonts w:hint="eastAsia" w:eastAsia="方正仿宋_GBK" w:cs="方正仿宋_GBK"/>
          <w:color w:val="000000"/>
          <w:sz w:val="32"/>
          <w:szCs w:val="32"/>
        </w:rPr>
        <w:t>政府第11次常务会审议通过，现</w:t>
      </w:r>
      <w:r>
        <w:rPr>
          <w:rFonts w:eastAsia="方正仿宋_GBK" w:cs="方正仿宋_GBK"/>
          <w:color w:val="000000"/>
          <w:sz w:val="32"/>
          <w:szCs w:val="32"/>
        </w:rPr>
        <w:t>印发给你们，请认真贯彻执行。</w:t>
      </w:r>
    </w:p>
    <w:p w14:paraId="0AFEDE11">
      <w:pPr>
        <w:keepNext w:val="0"/>
        <w:keepLines w:val="0"/>
        <w:pageBreakBefore w:val="0"/>
        <w:widowControl w:val="0"/>
        <w:kinsoku/>
        <w:wordWrap/>
        <w:overflowPunct/>
        <w:topLinePunct w:val="0"/>
        <w:autoSpaceDE/>
        <w:autoSpaceDN/>
        <w:bidi w:val="0"/>
        <w:adjustRightInd w:val="0"/>
        <w:snapToGrid/>
        <w:spacing w:line="560" w:lineRule="exact"/>
        <w:ind w:firstLine="5530" w:firstLineChars="1750"/>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垫江县人民政府</w:t>
      </w:r>
    </w:p>
    <w:p w14:paraId="206B1804">
      <w:pPr>
        <w:keepNext w:val="0"/>
        <w:keepLines w:val="0"/>
        <w:pageBreakBefore w:val="0"/>
        <w:widowControl w:val="0"/>
        <w:kinsoku/>
        <w:wordWrap/>
        <w:overflowPunct/>
        <w:topLinePunct w:val="0"/>
        <w:autoSpaceDE/>
        <w:autoSpaceDN/>
        <w:bidi w:val="0"/>
        <w:adjustRightInd w:val="0"/>
        <w:snapToGrid/>
        <w:spacing w:line="560" w:lineRule="exact"/>
        <w:ind w:firstLine="5372" w:firstLineChars="1700"/>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202</w:t>
      </w:r>
      <w:r>
        <w:rPr>
          <w:rFonts w:hint="eastAsia" w:ascii="方正仿宋_GBK" w:hAnsi="宋体" w:eastAsia="方正仿宋_GBK" w:cs="宋体"/>
          <w:color w:val="000000"/>
          <w:kern w:val="0"/>
          <w:sz w:val="32"/>
          <w:szCs w:val="32"/>
          <w:lang w:val="en-US" w:eastAsia="zh-CN"/>
        </w:rPr>
        <w:t>2</w:t>
      </w:r>
      <w:r>
        <w:rPr>
          <w:rFonts w:hint="eastAsia" w:ascii="方正仿宋_GBK" w:hAnsi="宋体" w:eastAsia="方正仿宋_GBK" w:cs="宋体"/>
          <w:color w:val="000000"/>
          <w:kern w:val="0"/>
          <w:sz w:val="32"/>
          <w:szCs w:val="32"/>
        </w:rPr>
        <w:t>年</w:t>
      </w:r>
      <w:r>
        <w:rPr>
          <w:rFonts w:hint="eastAsia" w:ascii="方正仿宋_GBK" w:hAnsi="宋体" w:eastAsia="方正仿宋_GBK" w:cs="宋体"/>
          <w:color w:val="000000"/>
          <w:kern w:val="0"/>
          <w:sz w:val="32"/>
          <w:szCs w:val="32"/>
          <w:lang w:val="en-US" w:eastAsia="zh-CN"/>
        </w:rPr>
        <w:t>7</w:t>
      </w:r>
      <w:r>
        <w:rPr>
          <w:rFonts w:hint="eastAsia" w:ascii="方正仿宋_GBK" w:hAnsi="宋体" w:eastAsia="方正仿宋_GBK" w:cs="宋体"/>
          <w:color w:val="000000"/>
          <w:kern w:val="0"/>
          <w:sz w:val="32"/>
          <w:szCs w:val="32"/>
        </w:rPr>
        <w:t>月</w:t>
      </w:r>
      <w:r>
        <w:rPr>
          <w:rFonts w:hint="eastAsia" w:ascii="方正仿宋_GBK" w:hAnsi="宋体" w:eastAsia="方正仿宋_GBK" w:cs="宋体"/>
          <w:color w:val="000000"/>
          <w:kern w:val="0"/>
          <w:sz w:val="32"/>
          <w:szCs w:val="32"/>
          <w:lang w:val="en-US" w:eastAsia="zh-CN"/>
        </w:rPr>
        <w:t>20</w:t>
      </w:r>
      <w:r>
        <w:rPr>
          <w:rFonts w:hint="eastAsia" w:ascii="方正仿宋_GBK" w:hAnsi="宋体" w:eastAsia="方正仿宋_GBK" w:cs="宋体"/>
          <w:color w:val="000000"/>
          <w:kern w:val="0"/>
          <w:sz w:val="32"/>
          <w:szCs w:val="32"/>
        </w:rPr>
        <w:t>日</w:t>
      </w:r>
    </w:p>
    <w:p w14:paraId="010C689F">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方正仿宋_GBK" w:hAnsi="宋体" w:eastAsia="方正仿宋_GBK" w:cs="宋体"/>
          <w:color w:val="000000"/>
          <w:kern w:val="0"/>
          <w:sz w:val="32"/>
          <w:szCs w:val="32"/>
          <w:lang w:val="en" w:eastAsia="zh-CN"/>
        </w:rPr>
      </w:pPr>
      <w:r>
        <w:rPr>
          <w:rFonts w:hint="eastAsia" w:ascii="方正仿宋_GBK" w:hAnsi="宋体" w:eastAsia="方正仿宋_GBK" w:cs="宋体"/>
          <w:color w:val="000000"/>
          <w:kern w:val="0"/>
          <w:sz w:val="32"/>
          <w:szCs w:val="32"/>
          <w:lang w:val="en-US" w:eastAsia="zh-CN"/>
        </w:rPr>
        <w:t xml:space="preserve">    </w:t>
      </w:r>
      <w:r>
        <w:rPr>
          <w:rFonts w:hint="default" w:ascii="方正仿宋_GBK" w:hAnsi="宋体" w:eastAsia="方正仿宋_GBK" w:cs="宋体"/>
          <w:color w:val="000000"/>
          <w:kern w:val="0"/>
          <w:sz w:val="32"/>
          <w:szCs w:val="32"/>
          <w:lang w:val="en" w:eastAsia="zh-CN"/>
        </w:rPr>
        <w:t>(</w:t>
      </w:r>
      <w:r>
        <w:rPr>
          <w:rFonts w:hint="eastAsia" w:ascii="方正仿宋_GBK" w:hAnsi="宋体" w:eastAsia="方正仿宋_GBK" w:cs="宋体"/>
          <w:color w:val="000000"/>
          <w:kern w:val="0"/>
          <w:sz w:val="32"/>
          <w:szCs w:val="32"/>
          <w:lang w:val="en" w:eastAsia="zh-CN"/>
        </w:rPr>
        <w:t>此件</w:t>
      </w:r>
      <w:r>
        <w:rPr>
          <w:rFonts w:hint="eastAsia" w:ascii="方正仿宋_GBK" w:hAnsi="宋体" w:eastAsia="方正仿宋_GBK" w:cs="宋体"/>
          <w:color w:val="000000"/>
          <w:kern w:val="0"/>
          <w:sz w:val="32"/>
          <w:szCs w:val="32"/>
          <w:lang w:val="en-US" w:eastAsia="zh-CN"/>
        </w:rPr>
        <w:t>公开发布</w:t>
      </w:r>
      <w:r>
        <w:rPr>
          <w:rFonts w:hint="default" w:ascii="方正仿宋_GBK" w:hAnsi="宋体" w:eastAsia="方正仿宋_GBK" w:cs="宋体"/>
          <w:color w:val="000000"/>
          <w:kern w:val="0"/>
          <w:sz w:val="32"/>
          <w:szCs w:val="32"/>
          <w:lang w:val="en" w:eastAsia="zh-CN"/>
        </w:rPr>
        <w:t>)</w:t>
      </w:r>
    </w:p>
    <w:p w14:paraId="2D49824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方正仿宋_GBK" w:hAnsi="宋体" w:eastAsia="方正仿宋_GBK" w:cs="宋体"/>
          <w:color w:val="000000"/>
          <w:kern w:val="0"/>
          <w:sz w:val="32"/>
          <w:szCs w:val="32"/>
          <w:lang w:val="en" w:eastAsia="zh-CN"/>
        </w:rPr>
      </w:pPr>
    </w:p>
    <w:p w14:paraId="3DFCFFF7">
      <w:pPr>
        <w:spacing w:line="594" w:lineRule="exact"/>
        <w:jc w:val="center"/>
        <w:rPr>
          <w:rFonts w:hint="eastAsia" w:ascii="方正小标宋_GBK" w:hAnsi="方正小标宋_GBK" w:eastAsia="方正小标宋_GBK" w:cs="方正小标宋_GBK"/>
          <w:sz w:val="44"/>
          <w:szCs w:val="44"/>
        </w:rPr>
      </w:pPr>
    </w:p>
    <w:p w14:paraId="0B1F8B9B">
      <w:pPr>
        <w:spacing w:line="594" w:lineRule="exact"/>
        <w:jc w:val="center"/>
        <w:rPr>
          <w:rFonts w:hint="eastAsia" w:ascii="方正小标宋_GBK" w:hAnsi="方正小标宋_GBK" w:eastAsia="方正小标宋_GBK" w:cs="方正小标宋_GBK"/>
          <w:sz w:val="44"/>
          <w:szCs w:val="44"/>
        </w:rPr>
      </w:pPr>
    </w:p>
    <w:p w14:paraId="14C29F5C">
      <w:pPr>
        <w:spacing w:line="594" w:lineRule="exact"/>
        <w:jc w:val="center"/>
        <w:rPr>
          <w:rFonts w:hint="eastAsia" w:ascii="方正小标宋_GBK" w:hAnsi="方正小标宋_GBK" w:eastAsia="方正小标宋_GBK" w:cs="方正小标宋_GBK"/>
          <w:sz w:val="44"/>
          <w:szCs w:val="44"/>
        </w:rPr>
      </w:pPr>
    </w:p>
    <w:p w14:paraId="2D767FB9">
      <w:pPr>
        <w:spacing w:line="594" w:lineRule="exact"/>
        <w:jc w:val="center"/>
        <w:rPr>
          <w:rFonts w:hint="eastAsia" w:ascii="方正小标宋_GBK" w:hAnsi="方正小标宋_GBK" w:eastAsia="方正小标宋_GBK" w:cs="方正小标宋_GBK"/>
          <w:sz w:val="44"/>
          <w:szCs w:val="44"/>
        </w:rPr>
      </w:pPr>
    </w:p>
    <w:p w14:paraId="5B8C5534">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垫江县推进农业农村现代化“十四五”规划</w:t>
      </w:r>
    </w:p>
    <w:p w14:paraId="3A9B27A4">
      <w:pPr>
        <w:spacing w:line="594" w:lineRule="exact"/>
        <w:jc w:val="center"/>
        <w:rPr>
          <w:rFonts w:hint="eastAsia"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（2021—2025年）</w:t>
      </w:r>
    </w:p>
    <w:p w14:paraId="660E3A7B">
      <w:pPr>
        <w:keepNext w:val="0"/>
        <w:keepLines w:val="0"/>
        <w:pageBreakBefore w:val="0"/>
        <w:widowControl w:val="0"/>
        <w:kinsoku/>
        <w:wordWrap/>
        <w:overflowPunct/>
        <w:topLinePunct w:val="0"/>
        <w:autoSpaceDE/>
        <w:autoSpaceDN/>
        <w:bidi w:val="0"/>
        <w:adjustRightInd w:val="0"/>
        <w:snapToGrid/>
        <w:spacing w:after="0" w:line="594" w:lineRule="exact"/>
        <w:ind w:right="0" w:rightChars="0" w:firstLine="632" w:firstLineChars="200"/>
        <w:jc w:val="both"/>
        <w:textAlignment w:val="auto"/>
        <w:rPr>
          <w:rFonts w:hint="default" w:ascii="Times New Roman" w:hAnsi="Times New Roman" w:eastAsia="方正仿宋_GBK" w:cs="Times New Roman"/>
          <w:color w:val="000000"/>
          <w:spacing w:val="0"/>
          <w:sz w:val="32"/>
          <w:szCs w:val="32"/>
        </w:rPr>
      </w:pPr>
    </w:p>
    <w:p w14:paraId="0E2F1A0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bookmarkStart w:id="2" w:name="_Hlk75696013"/>
      <w:r>
        <w:rPr>
          <w:rFonts w:eastAsia="方正仿宋_GBK"/>
          <w:sz w:val="32"/>
          <w:szCs w:val="32"/>
        </w:rPr>
        <w:t>为认真贯彻落实党的十九届五中、六中全会精神和习近平总书记对重庆的系列重要指示要求，全面推进乡村振兴，加快推进农业农村现代化，根据《垫江县国民经济和社会发展第十四个五年规划和二〇三五年远景目标纲要》，结合《成渝地区双城经济圈建设规划纲要》《重庆市推进农业农村现代化“十四五”规划》《明月山绿色发展示范带总体方案》要求，衔接《垫江县乡村振兴战略规划（2018—2022年）》，编制本规划。</w:t>
      </w:r>
    </w:p>
    <w:bookmarkEnd w:id="2"/>
    <w:p w14:paraId="3FC174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黑体_GBK" w:hAnsi="方正黑体_GBK" w:eastAsia="方正黑体_GBK" w:cs="方正黑体_GBK"/>
          <w:sz w:val="32"/>
          <w:szCs w:val="22"/>
        </w:rPr>
      </w:pPr>
      <w:bookmarkStart w:id="3" w:name="_Toc108078343"/>
      <w:r>
        <w:rPr>
          <w:rFonts w:hint="eastAsia" w:ascii="方正黑体_GBK" w:hAnsi="方正黑体_GBK" w:eastAsia="方正黑体_GBK" w:cs="方正黑体_GBK"/>
          <w:sz w:val="32"/>
          <w:szCs w:val="22"/>
        </w:rPr>
        <w:t xml:space="preserve">第一章 </w:t>
      </w:r>
      <w:r>
        <w:rPr>
          <w:rFonts w:hint="eastAsia" w:ascii="方正黑体_GBK" w:hAnsi="方正黑体_GBK" w:eastAsia="方正黑体_GBK" w:cs="方正黑体_GBK"/>
          <w:sz w:val="32"/>
          <w:szCs w:val="22"/>
          <w:lang w:val="en-US" w:eastAsia="zh-CN"/>
        </w:rPr>
        <w:t xml:space="preserve"> </w:t>
      </w:r>
      <w:r>
        <w:rPr>
          <w:rFonts w:hint="eastAsia" w:ascii="方正黑体_GBK" w:hAnsi="方正黑体_GBK" w:eastAsia="方正黑体_GBK" w:cs="方正黑体_GBK"/>
          <w:sz w:val="32"/>
          <w:szCs w:val="22"/>
        </w:rPr>
        <w:t>我县农业农村发展总体形势和“十四五”思路目标</w:t>
      </w:r>
      <w:bookmarkEnd w:id="3"/>
    </w:p>
    <w:p w14:paraId="30DF998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bookmarkStart w:id="4" w:name="_Hlk75696199"/>
      <w:bookmarkStart w:id="5" w:name="_Toc52962357"/>
      <w:r>
        <w:rPr>
          <w:rFonts w:eastAsia="方正仿宋_GBK"/>
          <w:sz w:val="32"/>
          <w:szCs w:val="32"/>
        </w:rPr>
        <w:t>“十四五”时期是我国全面建成小康社会、实现第一个百年奋斗目标之后，乘势而上开启全面建设社会主义现代化国家新征程、向第二个百年奋斗目标进军的第一个五年。推进我县农业农村现代化发展，要准确把握新发展阶段对“三农”工作的新要求，奋力开创农业农村现代化建设新局面。</w:t>
      </w:r>
    </w:p>
    <w:bookmarkEnd w:id="4"/>
    <w:p w14:paraId="2514D82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6" w:name="_Toc108078344"/>
      <w:r>
        <w:rPr>
          <w:rFonts w:eastAsia="方正楷体_GBK"/>
          <w:sz w:val="32"/>
          <w:szCs w:val="22"/>
        </w:rPr>
        <w:t xml:space="preserve">第一节 </w:t>
      </w:r>
      <w:r>
        <w:rPr>
          <w:rFonts w:hint="eastAsia" w:eastAsia="方正楷体_GBK"/>
          <w:sz w:val="32"/>
          <w:szCs w:val="22"/>
          <w:lang w:val="en-US" w:eastAsia="zh-CN"/>
        </w:rPr>
        <w:t xml:space="preserve"> </w:t>
      </w:r>
      <w:r>
        <w:rPr>
          <w:rFonts w:eastAsia="方正楷体_GBK"/>
          <w:sz w:val="32"/>
          <w:szCs w:val="22"/>
        </w:rPr>
        <w:t>发展基础</w:t>
      </w:r>
      <w:bookmarkEnd w:id="6"/>
    </w:p>
    <w:p w14:paraId="7C572D3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bookmarkStart w:id="7" w:name="_Hlk75696220"/>
      <w:r>
        <w:rPr>
          <w:rFonts w:eastAsia="方正仿宋_GBK"/>
          <w:sz w:val="32"/>
          <w:szCs w:val="32"/>
        </w:rPr>
        <w:t>“十三五”以来，特别是党的十九大以来，县委、县政府团结带领全县人民，认真贯彻落实习近平总书记关于“三农”工作、扶贫工作重要论述和对重庆的系列重要指示批示精神，坚持城乡融合发展，统筹推进乡村振兴和城市提升两个基本面，把乡村振兴作为垫江发展的最大潜力，把城乡融合作为垫江发展的最高境界，以实干促振兴；</w:t>
      </w:r>
      <w:bookmarkEnd w:id="7"/>
      <w:r>
        <w:rPr>
          <w:rFonts w:eastAsia="方正仿宋_GBK"/>
          <w:sz w:val="32"/>
          <w:szCs w:val="32"/>
        </w:rPr>
        <w:t>坚持深化农业供给侧结构性改革，完善 “3+2”特色效益农业体系，打造“重庆粮仓”“都市菜园”“花果之乡”，发展农产品加工业、休闲农业与乡村旅游业，突出特色，发挥优势，不断提升农业的整体素质和效益；坚持质量兴农、绿色兴农、品牌强农，强化品种、品质、品牌建设和标准化生产，推动农业高质量发展；坚持抓重点、补短板、强弱项，着力改善农村基础设施和公共服务，建设宜居宜业宜游美丽乡村；坚持以人民为中心发展思想，把脱贫攻坚作为重中之重，把农民增收作为出发点和落脚点，不断改善民生，推动农业农村发展取得明显进步。</w:t>
      </w:r>
      <w:bookmarkStart w:id="8" w:name="_Hlk75696520"/>
    </w:p>
    <w:p w14:paraId="49CF001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脱贫攻坚取得全面胜利。</w:t>
      </w:r>
      <w:r>
        <w:rPr>
          <w:rFonts w:eastAsia="方正仿宋_GBK"/>
          <w:sz w:val="32"/>
          <w:szCs w:val="32"/>
        </w:rPr>
        <w:t>现行标准下全县农村贫困人口、贫困村实现全部脱贫，绝对贫困历史性消除。“十三五”期间出台制定《垫江县就业扶贫方案》，开展贫困户技术技能培训1.3万余人次，举办就业对接活动70余场次，创建扶贫车间9个，开发公益性岗位1637个。指导10个市级脱贫村、5个县级扶贫重点村培育垫江晚柚、花椒、榨菜三大扶贫支柱产业，贫困村特色种植业由“十二五”末的2.5万亩增长到3.8万亩。</w:t>
      </w:r>
    </w:p>
    <w:p w14:paraId="19A8FF8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乡村振兴迈出坚实步伐。</w:t>
      </w:r>
      <w:r>
        <w:rPr>
          <w:rFonts w:eastAsia="方正仿宋_GBK"/>
          <w:sz w:val="32"/>
          <w:szCs w:val="32"/>
        </w:rPr>
        <w:t xml:space="preserve"> “五级书记抓乡村振兴” 领导机制全面落实，“四个优先”工作机制逐步建立，政策框架体系加快构建，《垫江县乡村振兴战略规划（2018—2022年）》阶段性实施， “22521”乡村振兴试验示范成效显著，“三带一点”试验示范序时启动，“五大振兴”协调推进。</w:t>
      </w:r>
    </w:p>
    <w:bookmarkEnd w:id="8"/>
    <w:p w14:paraId="1CB3630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农业高质量发展取得重大进展。</w:t>
      </w:r>
      <w:r>
        <w:rPr>
          <w:rFonts w:eastAsia="方正仿宋_GBK"/>
          <w:sz w:val="32"/>
          <w:szCs w:val="32"/>
        </w:rPr>
        <w:t>“米袋子”“菜篮子”“果盘子”保障能力得到提升。优质粮油、绿色蔬菜、健康畜禽、特色水果、生态水产、中药材等六大特色产业长足发展，农业牧渔综合产值达到93亿元，农产品加工、休闲农业与乡村旅游业、农村电商等新业态蓬勃发展。“三品一标”达到165个，高标准农田达到50万亩，农业机械化率达到53%，良种覆盖率达到98%，畜禽粪污综合利用率达到85%以上，化肥、农药使用量累计分别减少7%、9.3%。</w:t>
      </w:r>
    </w:p>
    <w:p w14:paraId="5482E61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sz w:val="32"/>
          <w:szCs w:val="32"/>
        </w:rPr>
      </w:pPr>
      <w:r>
        <w:rPr>
          <w:rFonts w:eastAsia="方正仿宋_GBK"/>
          <w:b/>
          <w:bCs/>
          <w:sz w:val="32"/>
          <w:szCs w:val="32"/>
        </w:rPr>
        <w:t>农村面貌焕然一新。</w:t>
      </w:r>
      <w:r>
        <w:rPr>
          <w:rFonts w:eastAsia="方正仿宋_GBK"/>
          <w:sz w:val="32"/>
          <w:szCs w:val="32"/>
        </w:rPr>
        <w:t>农村基础设施短板加快补齐，水电路气讯等设施日益完善，行政村通畅率、村组通达率均达到100%。农村人居环境整治三年行动方案圆满收官，完成农村旧房整治提升7751户，乡镇污水管网建设190公里，行政村生活垃圾治理率达到100%，农村卫生户厕普及率达到80.2%，建成美丽宜居村庄40个、绿色示范村庄45个。</w:t>
      </w:r>
    </w:p>
    <w:p w14:paraId="6B6CB6F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农村改革深入推进。</w:t>
      </w:r>
      <w:r>
        <w:rPr>
          <w:rFonts w:eastAsia="方正仿宋_GBK"/>
          <w:sz w:val="32"/>
          <w:szCs w:val="32"/>
        </w:rPr>
        <w:t>农村基本经营制度不断巩固完善，农村土地承包经营权确权登记、农村集体产权制度改革全面完成，“三变”改革实施21个行政村，培育新型农业经营主体1789户，政策性农业保险险种实施19个，农村集体经济“空壳村”基本消除。</w:t>
      </w:r>
    </w:p>
    <w:p w14:paraId="4808AB3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农村民生显著改善。</w:t>
      </w:r>
      <w:r>
        <w:rPr>
          <w:rFonts w:eastAsia="方正仿宋_GBK"/>
          <w:sz w:val="32"/>
          <w:szCs w:val="32"/>
        </w:rPr>
        <w:t>农村常住居民人均可支配收入由11480元增长至18370元，年均增长12%，城乡收入比进一步缩小为2.2:1，农村常住居民生活水平稳步提高。农村教育、文化、医疗卫生、体育等公共服务加快发展，农民专业合作社发展实现行政村全覆盖，农民参合率超过29%。</w:t>
      </w:r>
    </w:p>
    <w:p w14:paraId="0FD6A8B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sz w:val="32"/>
          <w:szCs w:val="32"/>
        </w:rPr>
        <w:t>经过“十三五”时期的快速发展，我县脱贫攻坚战取得全面胜利，“三农”工作重心转向全面推进乡村振兴，进入巩固拓展脱贫攻坚成果同乡村振兴有效衔接的过渡期；农业产业链不断延伸，“接二连三”步伐加快，进入农村产业发展的融合期；消费需求升级换代，需求结构、供给模式、经营方式加速变化，进入农业供给侧结构性改革的深化期；城乡改革全面推进，商品、人才、技术、资本等要素在城乡之间流动频繁，进入城乡融合发展的窗口期；决胜全面建成小康社会取得决定性成就，人民对美好生活的需要日益增长，进入推动农业高质量发展、建设农村高品质生活的加速期。</w:t>
      </w:r>
    </w:p>
    <w:p w14:paraId="0C9940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9" w:name="_Toc108078345"/>
      <w:bookmarkStart w:id="10" w:name="_Toc50559124"/>
      <w:r>
        <w:rPr>
          <w:rFonts w:eastAsia="方正楷体_GBK"/>
          <w:sz w:val="32"/>
          <w:szCs w:val="22"/>
        </w:rPr>
        <w:t xml:space="preserve">第二节 </w:t>
      </w:r>
      <w:r>
        <w:rPr>
          <w:rFonts w:hint="eastAsia" w:eastAsia="方正楷体_GBK"/>
          <w:sz w:val="32"/>
          <w:szCs w:val="22"/>
          <w:lang w:val="en-US" w:eastAsia="zh-CN"/>
        </w:rPr>
        <w:t xml:space="preserve"> </w:t>
      </w:r>
      <w:r>
        <w:rPr>
          <w:rFonts w:eastAsia="方正楷体_GBK"/>
          <w:sz w:val="32"/>
          <w:szCs w:val="22"/>
        </w:rPr>
        <w:t>发展环境</w:t>
      </w:r>
      <w:bookmarkEnd w:id="9"/>
      <w:bookmarkEnd w:id="10"/>
    </w:p>
    <w:p w14:paraId="4052774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bCs/>
          <w:sz w:val="32"/>
          <w:szCs w:val="32"/>
        </w:rPr>
      </w:pPr>
      <w:r>
        <w:rPr>
          <w:rFonts w:eastAsia="方正仿宋_GBK"/>
          <w:sz w:val="32"/>
          <w:szCs w:val="32"/>
        </w:rPr>
        <w:t>当前和今后一个时期，我县推动农</w:t>
      </w:r>
      <w:r>
        <w:rPr>
          <w:rFonts w:hint="eastAsia" w:eastAsia="方正仿宋_GBK"/>
          <w:sz w:val="32"/>
          <w:szCs w:val="32"/>
        </w:rPr>
        <w:t>巩固拓展脱贫攻坚成果</w:t>
      </w:r>
      <w:r>
        <w:rPr>
          <w:rFonts w:eastAsia="方正仿宋_GBK"/>
          <w:sz w:val="32"/>
          <w:szCs w:val="32"/>
        </w:rPr>
        <w:t>业农村现代化发展有诸多机遇和有利条件。</w:t>
      </w:r>
      <w:r>
        <w:rPr>
          <w:rFonts w:eastAsia="方正仿宋_GBK"/>
          <w:b/>
          <w:bCs/>
          <w:sz w:val="32"/>
          <w:szCs w:val="32"/>
        </w:rPr>
        <w:t>从政策环境看，党中央、国务院和市委、市政府高度重视“三农”工作，</w:t>
      </w:r>
      <w:r>
        <w:rPr>
          <w:rFonts w:eastAsia="方正仿宋_GBK"/>
          <w:sz w:val="32"/>
          <w:szCs w:val="32"/>
        </w:rPr>
        <w:t>坚持农业农村优先发展和全面实施乡村振兴战略，为我县农业农村发展指明了方向。中央财政持续加大在“三农”领域的投资，为农业农村补短板、锻长板、筑底板带来加速发展政策机遇。</w:t>
      </w:r>
      <w:r>
        <w:rPr>
          <w:rFonts w:eastAsia="方正仿宋_GBK"/>
          <w:b/>
          <w:bCs/>
          <w:sz w:val="32"/>
          <w:szCs w:val="32"/>
        </w:rPr>
        <w:t>从区域发展看，</w:t>
      </w:r>
      <w:r>
        <w:rPr>
          <w:rFonts w:eastAsia="方正仿宋_GBK"/>
          <w:sz w:val="32"/>
          <w:szCs w:val="32"/>
        </w:rPr>
        <w:t>垫江是川渝合作的重要“门户”、渝东北三峡库区城镇群联接主城都市区的首站，国家部署实施新一轮西部大开发和长江经济带、成渝地区双城经济圈建设，重庆市构建“一区两群”协调发展格局，为我县农业农村发展带来了重大机遇。</w:t>
      </w:r>
      <w:r>
        <w:rPr>
          <w:rFonts w:eastAsia="方正仿宋_GBK"/>
          <w:b/>
          <w:bCs/>
          <w:sz w:val="32"/>
          <w:szCs w:val="32"/>
        </w:rPr>
        <w:t>从发展动能看，</w:t>
      </w:r>
      <w:r>
        <w:rPr>
          <w:rFonts w:eastAsia="方正仿宋_GBK"/>
          <w:sz w:val="32"/>
          <w:szCs w:val="32"/>
        </w:rPr>
        <w:t>垫江是全国电子商务进农村综合示范县、全国数字乡村示范县、重庆市首批实施智慧农业试点县，互联网、大数据、云计算、5G技术等现代信息技术为农业农村发展深度赋能，将加快打破城乡鸿沟，为传统农业转型提供现代生产要素、物质装备、管理手段和销售渠道；垫江是国家级杂交水稻种子生产基地县、全市油菜制种基地县，国家部署种业科技创新、开展育种攻关、布局一批种子大县，将增加对我县种业发展的投入支持力度，为提升种业竞争能力打下坚实基础。</w:t>
      </w:r>
      <w:r>
        <w:rPr>
          <w:rFonts w:eastAsia="方正仿宋_GBK"/>
          <w:b/>
          <w:bCs/>
          <w:sz w:val="32"/>
          <w:szCs w:val="32"/>
        </w:rPr>
        <w:t>从自身条件看，</w:t>
      </w:r>
      <w:r>
        <w:rPr>
          <w:rFonts w:eastAsia="方正仿宋_GBK"/>
          <w:sz w:val="32"/>
          <w:szCs w:val="32"/>
        </w:rPr>
        <w:t>垫江位于渝东北平行岭谷区，地势平坦、谷地宽阔，农耕条件好，适合多种农作物、畜禽、水产品生长繁衍，为推进农业机械化、信息化发展，建设现代高效特色产业带提供了良好的禀赋基础；垫江位于渝东北城镇群与主城都市区“节点”，与川渝七个区市县毗邻，区位优势明显，路网四通八达，为参与川渝区县深度合作，降低农业生产成本、物流成本提供有力支撑。同时，我县推动农业农村现代化发展也面临不少困难和挑战。外部环境复杂严峻，新冠疫情影响持续广泛，全球经济低迷，贸易保</w:t>
      </w:r>
      <w:r>
        <w:rPr>
          <w:rFonts w:eastAsia="方正仿宋_GBK"/>
          <w:bCs/>
          <w:sz w:val="32"/>
          <w:szCs w:val="32"/>
        </w:rPr>
        <w:t>护主义抬头，农业农村发展面临新挑战。农业基础设施短板依然突出，主导产业优势不明显，农业竞争力不强，效益不高，资源要素约束加剧，产业发展与生态保护统筹难度加大，农业农村发展面临新考验。农村基础设施和公共服务历久欠账多，南北发展不平衡，城乡发展不平衡，农业农村发展面临新压力。人口老龄化、村庄“空心化”加剧，农业机械化水平不高、乡村数字化水平处于起步阶段、农业科技进步贡献率亟需提升，城乡融合发展的体制机制和政策体系还不完善，农民增收难度加大，农业农村发展面临新难题。</w:t>
      </w:r>
    </w:p>
    <w:p w14:paraId="5519014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sz w:val="32"/>
          <w:szCs w:val="32"/>
        </w:rPr>
        <w:t>推进我县农业农村现代化，要深刻把握国情市情县情，主动对接国家战略、市级部署、县级要求，抓住机遇，争取政策，谋划项目，积极应对风险挑战。要发挥好农业农村“压舱石”和“战略后院”作用，稳住农业基本盘，切实保障粮食等重要农产品供给。要牢牢把握结构性调整这个方向、扩大内需这个基点，扩大农业农村有效投资，提升乡村消费，使城乡“循环”起来。要把握城乡融合发展的大势，建立健全城乡融合发展新机制，统筹推进乡村振兴和新型城镇化。要扎实抓好现代高效特色农业带建设，优化县域“三大功能区”农业农村布局，提升农业质量效益和竞争力。要坚持新型工业化、新型城镇化、信息化和农业农村现代化同步发展，逐步缩小工农和城乡差距。</w:t>
      </w:r>
    </w:p>
    <w:p w14:paraId="07A7AEB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11" w:name="_Toc108078346"/>
      <w:r>
        <w:rPr>
          <w:rFonts w:eastAsia="方正楷体_GBK"/>
          <w:sz w:val="32"/>
          <w:szCs w:val="22"/>
        </w:rPr>
        <w:t>第三节</w:t>
      </w:r>
      <w:bookmarkEnd w:id="5"/>
      <w:r>
        <w:rPr>
          <w:rFonts w:eastAsia="方正楷体_GBK"/>
          <w:sz w:val="32"/>
          <w:szCs w:val="22"/>
        </w:rPr>
        <w:t xml:space="preserve"> </w:t>
      </w:r>
      <w:r>
        <w:rPr>
          <w:rFonts w:hint="eastAsia" w:eastAsia="方正楷体_GBK"/>
          <w:sz w:val="32"/>
          <w:szCs w:val="22"/>
          <w:lang w:val="en-US" w:eastAsia="zh-CN"/>
        </w:rPr>
        <w:t xml:space="preserve"> </w:t>
      </w:r>
      <w:r>
        <w:rPr>
          <w:rFonts w:eastAsia="方正楷体_GBK"/>
          <w:sz w:val="32"/>
          <w:szCs w:val="22"/>
        </w:rPr>
        <w:t>指导思想</w:t>
      </w:r>
      <w:bookmarkEnd w:id="11"/>
    </w:p>
    <w:p w14:paraId="233AEBB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b/>
          <w:bCs/>
          <w:color w:val="auto"/>
          <w:sz w:val="32"/>
          <w:szCs w:val="32"/>
          <w:u w:val="none"/>
        </w:rPr>
      </w:pPr>
      <w:bookmarkStart w:id="12" w:name="_Toc48682653"/>
      <w:r>
        <w:rPr>
          <w:rFonts w:hint="eastAsia" w:eastAsia="方正仿宋_GBK"/>
          <w:color w:val="auto"/>
          <w:sz w:val="32"/>
          <w:szCs w:val="32"/>
          <w:u w:val="none"/>
        </w:rPr>
        <w:t>以习近平新时代中国特色社会主义思想为指导</w:t>
      </w:r>
      <w:r>
        <w:rPr>
          <w:rFonts w:eastAsia="方正仿宋_GBK"/>
          <w:color w:val="auto"/>
          <w:sz w:val="32"/>
          <w:szCs w:val="32"/>
          <w:u w:val="none"/>
        </w:rPr>
        <w:t>，深入贯彻党的十九大和十九届历次全会精神，</w:t>
      </w:r>
      <w:r>
        <w:rPr>
          <w:rFonts w:hint="eastAsia" w:eastAsia="方正仿宋_GBK"/>
          <w:color w:val="auto"/>
          <w:sz w:val="32"/>
          <w:szCs w:val="32"/>
          <w:u w:val="none"/>
        </w:rPr>
        <w:t>全面</w:t>
      </w:r>
      <w:r>
        <w:rPr>
          <w:rFonts w:eastAsia="方正仿宋_GBK"/>
          <w:color w:val="auto"/>
          <w:sz w:val="32"/>
          <w:szCs w:val="32"/>
          <w:u w:val="none"/>
        </w:rPr>
        <w:t>落实习近平总书记</w:t>
      </w:r>
      <w:r>
        <w:rPr>
          <w:rFonts w:hint="eastAsia" w:eastAsia="方正仿宋_GBK"/>
          <w:color w:val="auto"/>
          <w:sz w:val="32"/>
          <w:szCs w:val="32"/>
          <w:u w:val="none"/>
        </w:rPr>
        <w:t>视察重庆</w:t>
      </w:r>
      <w:r>
        <w:rPr>
          <w:rFonts w:eastAsia="方正仿宋_GBK"/>
          <w:color w:val="auto"/>
          <w:sz w:val="32"/>
          <w:szCs w:val="32"/>
          <w:u w:val="none"/>
        </w:rPr>
        <w:t>提出的营造良好政治生态，坚持“两点”定位、“两地”“两高”目标，发挥“三个作用”和推动成渝地区双城经济圈建设等重要指示要求</w:t>
      </w:r>
      <w:r>
        <w:rPr>
          <w:rFonts w:hint="eastAsia" w:eastAsia="方正仿宋_GBK"/>
          <w:color w:val="auto"/>
          <w:sz w:val="32"/>
          <w:szCs w:val="32"/>
          <w:u w:val="none"/>
        </w:rPr>
        <w:t>，坚持稳中求进总基调，</w:t>
      </w:r>
      <w:r>
        <w:rPr>
          <w:rFonts w:eastAsia="方正仿宋_GBK"/>
          <w:color w:val="auto"/>
          <w:sz w:val="32"/>
          <w:szCs w:val="32"/>
          <w:u w:val="none"/>
        </w:rPr>
        <w:t>统筹推进“五位一体”总体布局和“四个全面”战略布局，</w:t>
      </w:r>
      <w:r>
        <w:rPr>
          <w:rFonts w:hint="eastAsia" w:eastAsia="方正仿宋_GBK"/>
          <w:color w:val="auto"/>
          <w:sz w:val="32"/>
          <w:szCs w:val="32"/>
          <w:u w:val="none"/>
        </w:rPr>
        <w:t>立足新阶段，贯彻新发展理念，融入新发展格局，以推动高质量发展为主题，</w:t>
      </w:r>
      <w:r>
        <w:rPr>
          <w:rFonts w:eastAsia="方正仿宋_GBK"/>
          <w:color w:val="auto"/>
          <w:sz w:val="32"/>
          <w:szCs w:val="32"/>
          <w:u w:val="none"/>
        </w:rPr>
        <w:t>以深化农业供给侧结构性改革为主线，</w:t>
      </w:r>
      <w:r>
        <w:rPr>
          <w:rFonts w:hint="eastAsia" w:eastAsia="方正仿宋_GBK"/>
          <w:color w:val="auto"/>
          <w:sz w:val="32"/>
          <w:szCs w:val="32"/>
          <w:u w:val="none"/>
        </w:rPr>
        <w:t>以改革创新为动力，以科技创新为支撑，</w:t>
      </w:r>
      <w:r>
        <w:rPr>
          <w:rFonts w:eastAsia="方正仿宋_GBK"/>
          <w:color w:val="auto"/>
          <w:sz w:val="32"/>
          <w:szCs w:val="32"/>
          <w:u w:val="none"/>
        </w:rPr>
        <w:t>以全面实施乡村振兴战略为抓手，以城乡融合发展为基本路径，</w:t>
      </w:r>
      <w:r>
        <w:rPr>
          <w:rFonts w:hint="eastAsia" w:eastAsia="方正仿宋_GBK"/>
          <w:color w:val="auto"/>
          <w:sz w:val="32"/>
          <w:szCs w:val="32"/>
          <w:u w:val="none"/>
        </w:rPr>
        <w:t>优先发展农业农村，全面推进乡村振兴，着力保供固安全、振兴畅循环，着力质量兴农、绿色兴农、品牌强农，加快构建现代农业产业体系、生产体系、经营体系，推进产业集群化、生产智能化、经营集约化、产品绿色化、城乡融合化发展，建设国家级农业现代化示范区、</w:t>
      </w:r>
      <w:r>
        <w:rPr>
          <w:rFonts w:eastAsia="方正仿宋_GBK"/>
          <w:color w:val="auto"/>
          <w:sz w:val="32"/>
          <w:szCs w:val="32"/>
          <w:u w:val="none"/>
        </w:rPr>
        <w:t>全市郊区新城城乡融合发展示范区</w:t>
      </w:r>
      <w:r>
        <w:rPr>
          <w:rFonts w:hint="eastAsia" w:eastAsia="方正仿宋_GBK"/>
          <w:color w:val="auto"/>
          <w:sz w:val="32"/>
          <w:szCs w:val="32"/>
          <w:u w:val="none"/>
        </w:rPr>
        <w:t>，</w:t>
      </w:r>
      <w:r>
        <w:rPr>
          <w:rFonts w:eastAsia="方正仿宋_GBK"/>
          <w:color w:val="auto"/>
          <w:sz w:val="32"/>
          <w:szCs w:val="32"/>
          <w:u w:val="none"/>
        </w:rPr>
        <w:t>争当全市乡村振兴排头兵</w:t>
      </w:r>
      <w:r>
        <w:rPr>
          <w:rFonts w:hint="eastAsia" w:eastAsia="方正仿宋_GBK"/>
          <w:color w:val="auto"/>
          <w:sz w:val="32"/>
          <w:szCs w:val="32"/>
          <w:u w:val="none"/>
        </w:rPr>
        <w:t>，</w:t>
      </w:r>
      <w:r>
        <w:rPr>
          <w:rFonts w:eastAsia="方正仿宋_GBK"/>
          <w:color w:val="auto"/>
          <w:sz w:val="32"/>
          <w:szCs w:val="32"/>
          <w:u w:val="none"/>
        </w:rPr>
        <w:t>让农业农村成为全县建设生态优先绿色发展先行示范区的重要载体，为全县国民经济“十四五”高质量发展提供坚实保障，</w:t>
      </w:r>
      <w:r>
        <w:rPr>
          <w:rFonts w:hint="eastAsia" w:eastAsia="方正仿宋_GBK"/>
          <w:color w:val="auto"/>
          <w:sz w:val="32"/>
          <w:szCs w:val="32"/>
          <w:u w:val="none"/>
        </w:rPr>
        <w:t>为</w:t>
      </w:r>
      <w:r>
        <w:rPr>
          <w:rFonts w:eastAsia="方正仿宋_GBK"/>
          <w:color w:val="auto"/>
          <w:sz w:val="32"/>
          <w:szCs w:val="32"/>
          <w:u w:val="none"/>
        </w:rPr>
        <w:t>成渝地区双城经济圈建设和“一区两群”协调发展贡献垫江智慧。</w:t>
      </w:r>
    </w:p>
    <w:p w14:paraId="73D26F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13" w:name="_Toc108078347"/>
      <w:r>
        <w:rPr>
          <w:rFonts w:eastAsia="方正楷体_GBK"/>
          <w:sz w:val="32"/>
          <w:szCs w:val="22"/>
        </w:rPr>
        <w:t>第四节</w:t>
      </w:r>
      <w:r>
        <w:rPr>
          <w:rFonts w:hint="eastAsia" w:eastAsia="方正楷体_GBK"/>
          <w:sz w:val="32"/>
          <w:szCs w:val="22"/>
          <w:lang w:val="en-US" w:eastAsia="zh-CN"/>
        </w:rPr>
        <w:t xml:space="preserve"> </w:t>
      </w:r>
      <w:r>
        <w:rPr>
          <w:rFonts w:eastAsia="方正楷体_GBK"/>
          <w:sz w:val="32"/>
          <w:szCs w:val="22"/>
        </w:rPr>
        <w:t xml:space="preserve"> 基本原则</w:t>
      </w:r>
      <w:bookmarkEnd w:id="12"/>
      <w:bookmarkEnd w:id="13"/>
    </w:p>
    <w:p w14:paraId="1E2057A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坚持科技兴农，推动高质量发展。</w:t>
      </w:r>
      <w:r>
        <w:rPr>
          <w:rFonts w:eastAsia="方正仿宋_GBK"/>
          <w:sz w:val="32"/>
          <w:szCs w:val="32"/>
        </w:rPr>
        <w:t>坚持发展现代高效特色产业不动摇，健全完善现代农业产业体系、生产体系、经营体系，推动农业产业向科技化、品牌化、园区化、集群化发展，提升农业生产效益，激发农村经济发展活力。</w:t>
      </w:r>
    </w:p>
    <w:p w14:paraId="08E2186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坚持绿色引领，推动可持续发展。</w:t>
      </w:r>
      <w:r>
        <w:rPr>
          <w:rFonts w:eastAsia="方正仿宋_GBK"/>
          <w:sz w:val="32"/>
          <w:szCs w:val="32"/>
        </w:rPr>
        <w:t>牢固树立和践行绿水青山就是金山银山的理念，统筹山水林田湖草系统治理，严守生态红线，全力推进生态优先示范地、绿色发展先行地建设，推动乡村生态振兴。</w:t>
      </w:r>
    </w:p>
    <w:p w14:paraId="0001280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b/>
          <w:bCs/>
          <w:sz w:val="32"/>
          <w:szCs w:val="32"/>
        </w:rPr>
      </w:pPr>
      <w:r>
        <w:rPr>
          <w:rFonts w:eastAsia="方正仿宋_GBK"/>
          <w:b/>
          <w:bCs/>
          <w:sz w:val="32"/>
          <w:szCs w:val="32"/>
        </w:rPr>
        <w:t>坚持改革创新，推动高效率发展。</w:t>
      </w:r>
      <w:r>
        <w:rPr>
          <w:rFonts w:eastAsia="方正仿宋_GBK"/>
          <w:sz w:val="32"/>
          <w:szCs w:val="32"/>
        </w:rPr>
        <w:t>不断深化农村改革，激活主体、激活要素、激活市场，以科技创新引领农业农村现代化，强化农业农村人才队伍支撑，推动科技成果入乡转化，提高农业农村全要素生产率。</w:t>
      </w:r>
    </w:p>
    <w:p w14:paraId="072282B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b/>
          <w:bCs/>
          <w:sz w:val="32"/>
          <w:szCs w:val="36"/>
        </w:rPr>
      </w:pPr>
      <w:r>
        <w:rPr>
          <w:rFonts w:eastAsia="方正仿宋_GBK"/>
          <w:b/>
          <w:bCs/>
          <w:sz w:val="32"/>
          <w:szCs w:val="32"/>
        </w:rPr>
        <w:t>坚持农民主体，推动公平发展</w:t>
      </w:r>
      <w:r>
        <w:rPr>
          <w:rFonts w:eastAsia="方正仿宋_GBK"/>
          <w:b/>
          <w:bCs/>
          <w:sz w:val="32"/>
          <w:szCs w:val="36"/>
        </w:rPr>
        <w:t>。</w:t>
      </w:r>
      <w:r>
        <w:rPr>
          <w:rFonts w:eastAsia="方正仿宋_GBK"/>
          <w:sz w:val="32"/>
          <w:szCs w:val="36"/>
        </w:rPr>
        <w:t>切实发挥农民在推动农业农村现代化中的主体作用，调动农民的积极性、主动性、创造性，把维护农民根本利益、促进农民共同富裕作为出发点和落脚点，缩小城乡差距，提升农民获得感、幸福感、安全感。</w:t>
      </w:r>
    </w:p>
    <w:p w14:paraId="3A9BFD5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14" w:name="_Toc108078348"/>
      <w:r>
        <w:rPr>
          <w:rFonts w:eastAsia="方正楷体_GBK"/>
          <w:sz w:val="32"/>
          <w:szCs w:val="22"/>
        </w:rPr>
        <w:t xml:space="preserve">第五节 </w:t>
      </w:r>
      <w:r>
        <w:rPr>
          <w:rFonts w:hint="eastAsia" w:eastAsia="方正楷体_GBK"/>
          <w:sz w:val="32"/>
          <w:szCs w:val="22"/>
          <w:lang w:val="en-US" w:eastAsia="zh-CN"/>
        </w:rPr>
        <w:t xml:space="preserve"> </w:t>
      </w:r>
      <w:r>
        <w:rPr>
          <w:rFonts w:eastAsia="方正楷体_GBK"/>
          <w:sz w:val="32"/>
          <w:szCs w:val="22"/>
        </w:rPr>
        <w:t>总体目标</w:t>
      </w:r>
      <w:bookmarkEnd w:id="14"/>
    </w:p>
    <w:p w14:paraId="4C13794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6"/>
        </w:rPr>
      </w:pPr>
      <w:r>
        <w:rPr>
          <w:rFonts w:eastAsia="方正仿宋_GBK"/>
          <w:sz w:val="32"/>
          <w:szCs w:val="32"/>
        </w:rPr>
        <w:t>到2025年，构建起全环节提升、全链条增值的现代农业产业体系、生产体系、经营体系，乡村产业深度融合，发展质量大幅提高，着力打造粮食大县、种业大县、生猪大县、农产品加工大县、牡丹之乡、晚柚之乡、蔬菜之乡。</w:t>
      </w:r>
    </w:p>
    <w:p w14:paraId="7EBE66A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6"/>
        </w:rPr>
        <w:t>——</w:t>
      </w:r>
      <w:r>
        <w:rPr>
          <w:rFonts w:eastAsia="方正仿宋_GBK"/>
          <w:b/>
          <w:bCs/>
          <w:sz w:val="32"/>
          <w:szCs w:val="32"/>
        </w:rPr>
        <w:t>农业生产更高效更优质。</w:t>
      </w:r>
      <w:r>
        <w:rPr>
          <w:rFonts w:eastAsia="方正仿宋_GBK"/>
          <w:sz w:val="32"/>
          <w:szCs w:val="32"/>
        </w:rPr>
        <w:t>现代高效特色农业产业链条更加完备，争创</w:t>
      </w:r>
      <w:r>
        <w:rPr>
          <w:rFonts w:eastAsia="方正仿宋_GBK"/>
          <w:sz w:val="32"/>
          <w:szCs w:val="32"/>
          <w:lang w:bidi="en-US"/>
        </w:rPr>
        <w:t>国家农业现代化示范区、</w:t>
      </w:r>
      <w:r>
        <w:rPr>
          <w:rFonts w:eastAsia="方正仿宋_GBK"/>
          <w:sz w:val="32"/>
          <w:szCs w:val="32"/>
        </w:rPr>
        <w:t>国家级晚柚现代农业产业园区、国家级农业科技园区、全国优质中药材生产基地，巩固全国畜牧大县、国家级杂交水稻种子生产基地县、国家级制种大县、国家农产品质量安全县，国家“数字乡村”试点县建设取得重要进展，全县第一产业增加值年均增长4%以上，农产品加工产值与农业总产值比达到2︰1，主要农作物耕种收综合机械化率达到65%以上，品牌农产品数量达到40个。</w:t>
      </w:r>
    </w:p>
    <w:p w14:paraId="112E759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b/>
          <w:bCs/>
          <w:sz w:val="32"/>
          <w:szCs w:val="36"/>
        </w:rPr>
      </w:pPr>
      <w:r>
        <w:rPr>
          <w:rFonts w:eastAsia="方正仿宋_GBK"/>
          <w:b/>
          <w:bCs/>
          <w:sz w:val="32"/>
          <w:szCs w:val="36"/>
        </w:rPr>
        <w:t>——</w:t>
      </w:r>
      <w:r>
        <w:rPr>
          <w:rFonts w:eastAsia="方正仿宋_GBK"/>
          <w:b/>
          <w:bCs/>
          <w:sz w:val="32"/>
          <w:szCs w:val="32"/>
        </w:rPr>
        <w:t>乡村建设更美丽更宜居。</w:t>
      </w:r>
      <w:r>
        <w:rPr>
          <w:rFonts w:eastAsia="方正仿宋_GBK"/>
          <w:sz w:val="32"/>
          <w:szCs w:val="32"/>
        </w:rPr>
        <w:t>交通、供水、能源、信息等农村基础设施建设更加完善，农村人居环境显著改善。绿色发展水平大幅提升，农村生活污水处理率达55%以上，畜禽粪污综合利用率保持在80%以上，森林覆盖率达46%以上，城乡基本公共服务均等化明显提高，乡村治理更加有效，农村社会安定有序，基本建成宜居宜业宜游宜乐乡村。</w:t>
      </w:r>
    </w:p>
    <w:p w14:paraId="56F193F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b/>
          <w:bCs/>
          <w:sz w:val="32"/>
          <w:szCs w:val="32"/>
        </w:rPr>
      </w:pPr>
      <w:r>
        <w:rPr>
          <w:rFonts w:eastAsia="方正仿宋_GBK"/>
          <w:b/>
          <w:bCs/>
          <w:sz w:val="32"/>
          <w:szCs w:val="36"/>
        </w:rPr>
        <w:t>——农民生活更富裕更殷实。</w:t>
      </w:r>
      <w:r>
        <w:rPr>
          <w:rFonts w:eastAsia="方正仿宋_GBK"/>
          <w:sz w:val="32"/>
          <w:szCs w:val="36"/>
        </w:rPr>
        <w:t>脱贫攻坚成果进一步巩固，</w:t>
      </w:r>
      <w:r>
        <w:rPr>
          <w:rFonts w:eastAsia="方正仿宋_GBK"/>
          <w:sz w:val="32"/>
          <w:szCs w:val="32"/>
        </w:rPr>
        <w:t>形成农民收入持续增长、生活质量显著提升、美好愿望基本满足的新态势，农村常住居民人均可支配收入年均增长8%左右，城乡居民收入进一步缩小，农村教育、医疗、养老、住房、社保水平与城镇差距进一步缩小，农民群众获得感、幸福感更强。</w:t>
      </w:r>
    </w:p>
    <w:p w14:paraId="073FF7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仿宋_GBK"/>
          <w:b/>
          <w:bCs/>
          <w:sz w:val="32"/>
          <w:szCs w:val="32"/>
        </w:rPr>
      </w:pPr>
      <w:r>
        <w:rPr>
          <w:rFonts w:eastAsia="方正仿宋_GBK"/>
          <w:b/>
          <w:bCs/>
          <w:sz w:val="28"/>
          <w:szCs w:val="36"/>
        </w:rPr>
        <w:t>表1 垫江县推进农业农村现代化“十四五”规划主要指标表</w:t>
      </w:r>
    </w:p>
    <w:tbl>
      <w:tblPr>
        <w:tblStyle w:val="14"/>
        <w:tblW w:w="0" w:type="auto"/>
        <w:tblInd w:w="0" w:type="dxa"/>
        <w:tblLayout w:type="fixed"/>
        <w:tblCellMar>
          <w:top w:w="0" w:type="dxa"/>
          <w:left w:w="108" w:type="dxa"/>
          <w:bottom w:w="0" w:type="dxa"/>
          <w:right w:w="108" w:type="dxa"/>
        </w:tblCellMar>
      </w:tblPr>
      <w:tblGrid>
        <w:gridCol w:w="658"/>
        <w:gridCol w:w="4836"/>
        <w:gridCol w:w="659"/>
        <w:gridCol w:w="933"/>
        <w:gridCol w:w="933"/>
        <w:gridCol w:w="883"/>
      </w:tblGrid>
      <w:tr w14:paraId="058B55FF">
        <w:tblPrEx>
          <w:tblCellMar>
            <w:top w:w="0" w:type="dxa"/>
            <w:left w:w="108" w:type="dxa"/>
            <w:bottom w:w="0" w:type="dxa"/>
            <w:right w:w="108" w:type="dxa"/>
          </w:tblCellMar>
        </w:tblPrEx>
        <w:trPr>
          <w:trHeight w:val="402" w:hRule="atLeast"/>
          <w:tblHead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14:paraId="2BAB61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b/>
                <w:bCs/>
                <w:kern w:val="0"/>
                <w:sz w:val="21"/>
                <w:szCs w:val="21"/>
              </w:rPr>
            </w:pPr>
            <w:r>
              <w:rPr>
                <w:rFonts w:eastAsia="方正黑体_GBK"/>
                <w:b/>
                <w:bCs/>
                <w:kern w:val="0"/>
                <w:sz w:val="21"/>
                <w:szCs w:val="21"/>
              </w:rPr>
              <w:t>序号</w:t>
            </w:r>
          </w:p>
        </w:tc>
        <w:tc>
          <w:tcPr>
            <w:tcW w:w="4836" w:type="dxa"/>
            <w:vMerge w:val="restart"/>
            <w:tcBorders>
              <w:top w:val="single" w:color="auto" w:sz="4" w:space="0"/>
              <w:left w:val="single" w:color="auto" w:sz="4" w:space="0"/>
              <w:bottom w:val="single" w:color="auto" w:sz="4" w:space="0"/>
              <w:right w:val="single" w:color="auto" w:sz="4" w:space="0"/>
            </w:tcBorders>
            <w:noWrap w:val="0"/>
            <w:vAlign w:val="center"/>
          </w:tcPr>
          <w:p w14:paraId="388F2A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b/>
                <w:bCs/>
                <w:kern w:val="0"/>
                <w:sz w:val="21"/>
                <w:szCs w:val="21"/>
              </w:rPr>
            </w:pPr>
            <w:r>
              <w:rPr>
                <w:rFonts w:eastAsia="方正黑体_GBK"/>
                <w:b/>
                <w:bCs/>
                <w:kern w:val="0"/>
                <w:sz w:val="21"/>
                <w:szCs w:val="21"/>
              </w:rPr>
              <w:t>指标名称</w:t>
            </w:r>
          </w:p>
        </w:tc>
        <w:tc>
          <w:tcPr>
            <w:tcW w:w="659" w:type="dxa"/>
            <w:vMerge w:val="restart"/>
            <w:tcBorders>
              <w:top w:val="single" w:color="auto" w:sz="4" w:space="0"/>
              <w:left w:val="single" w:color="auto" w:sz="4" w:space="0"/>
              <w:bottom w:val="single" w:color="auto" w:sz="4" w:space="0"/>
              <w:right w:val="single" w:color="auto" w:sz="4" w:space="0"/>
            </w:tcBorders>
            <w:noWrap w:val="0"/>
            <w:vAlign w:val="center"/>
          </w:tcPr>
          <w:p w14:paraId="24C1300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b/>
                <w:bCs/>
                <w:kern w:val="0"/>
                <w:sz w:val="21"/>
                <w:szCs w:val="21"/>
              </w:rPr>
            </w:pPr>
            <w:r>
              <w:rPr>
                <w:rFonts w:eastAsia="方正黑体_GBK"/>
                <w:b/>
                <w:bCs/>
                <w:kern w:val="0"/>
                <w:sz w:val="21"/>
                <w:szCs w:val="21"/>
              </w:rPr>
              <w:t>单位</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14:paraId="650AA9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b/>
                <w:bCs/>
                <w:kern w:val="0"/>
                <w:sz w:val="21"/>
                <w:szCs w:val="21"/>
              </w:rPr>
            </w:pPr>
            <w:r>
              <w:rPr>
                <w:rFonts w:eastAsia="方正黑体_GBK"/>
                <w:b/>
                <w:bCs/>
                <w:kern w:val="0"/>
                <w:sz w:val="21"/>
                <w:szCs w:val="21"/>
              </w:rPr>
              <w:t>2020年</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14:paraId="0CEE4FE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b/>
                <w:bCs/>
                <w:kern w:val="0"/>
                <w:sz w:val="21"/>
                <w:szCs w:val="21"/>
              </w:rPr>
            </w:pPr>
            <w:r>
              <w:rPr>
                <w:rFonts w:eastAsia="方正黑体_GBK"/>
                <w:b/>
                <w:bCs/>
                <w:kern w:val="0"/>
                <w:sz w:val="21"/>
                <w:szCs w:val="21"/>
              </w:rPr>
              <w:t>2025年</w:t>
            </w:r>
          </w:p>
        </w:tc>
        <w:tc>
          <w:tcPr>
            <w:tcW w:w="883" w:type="dxa"/>
            <w:vMerge w:val="restart"/>
            <w:tcBorders>
              <w:top w:val="single" w:color="auto" w:sz="4" w:space="0"/>
              <w:left w:val="single" w:color="auto" w:sz="4" w:space="0"/>
              <w:bottom w:val="single" w:color="000000" w:sz="4" w:space="0"/>
              <w:right w:val="single" w:color="auto" w:sz="4" w:space="0"/>
            </w:tcBorders>
            <w:noWrap w:val="0"/>
            <w:vAlign w:val="center"/>
          </w:tcPr>
          <w:p w14:paraId="39CBFA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黑体_GBK"/>
                <w:b/>
                <w:bCs/>
                <w:kern w:val="0"/>
                <w:sz w:val="21"/>
                <w:szCs w:val="21"/>
              </w:rPr>
            </w:pPr>
            <w:r>
              <w:rPr>
                <w:rFonts w:eastAsia="方正黑体_GBK"/>
                <w:b/>
                <w:bCs/>
                <w:kern w:val="0"/>
                <w:sz w:val="21"/>
                <w:szCs w:val="21"/>
              </w:rPr>
              <w:t>指标</w:t>
            </w:r>
          </w:p>
          <w:p w14:paraId="0762B6B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方正黑体_GBK"/>
                <w:b/>
                <w:bCs/>
                <w:kern w:val="0"/>
                <w:sz w:val="21"/>
                <w:szCs w:val="21"/>
              </w:rPr>
            </w:pPr>
            <w:r>
              <w:rPr>
                <w:rFonts w:eastAsia="方正黑体_GBK"/>
                <w:b/>
                <w:bCs/>
                <w:kern w:val="0"/>
                <w:sz w:val="21"/>
                <w:szCs w:val="21"/>
              </w:rPr>
              <w:t>属性</w:t>
            </w:r>
          </w:p>
        </w:tc>
      </w:tr>
      <w:tr w14:paraId="5F78EAA2">
        <w:tblPrEx>
          <w:tblCellMar>
            <w:top w:w="0" w:type="dxa"/>
            <w:left w:w="108" w:type="dxa"/>
            <w:bottom w:w="0" w:type="dxa"/>
            <w:right w:w="108" w:type="dxa"/>
          </w:tblCellMar>
        </w:tblPrEx>
        <w:trPr>
          <w:trHeight w:val="402" w:hRule="atLeast"/>
          <w:tblHead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10A83CA4">
            <w:pPr>
              <w:keepNext w:val="0"/>
              <w:keepLines w:val="0"/>
              <w:pageBreakBefore w:val="0"/>
              <w:widowControl/>
              <w:kinsoku/>
              <w:wordWrap/>
              <w:overflowPunct/>
              <w:topLinePunct w:val="0"/>
              <w:autoSpaceDE/>
              <w:autoSpaceDN/>
              <w:bidi w:val="0"/>
              <w:adjustRightInd/>
              <w:snapToGrid/>
              <w:spacing w:line="320" w:lineRule="exact"/>
              <w:jc w:val="left"/>
              <w:textAlignment w:val="auto"/>
              <w:rPr>
                <w:b/>
                <w:bCs/>
                <w:kern w:val="0"/>
                <w:sz w:val="21"/>
                <w:szCs w:val="21"/>
              </w:rPr>
            </w:pPr>
          </w:p>
        </w:tc>
        <w:tc>
          <w:tcPr>
            <w:tcW w:w="4836" w:type="dxa"/>
            <w:vMerge w:val="continue"/>
            <w:tcBorders>
              <w:top w:val="single" w:color="auto" w:sz="4" w:space="0"/>
              <w:left w:val="single" w:color="auto" w:sz="4" w:space="0"/>
              <w:bottom w:val="single" w:color="auto" w:sz="4" w:space="0"/>
              <w:right w:val="single" w:color="auto" w:sz="4" w:space="0"/>
            </w:tcBorders>
            <w:noWrap w:val="0"/>
            <w:vAlign w:val="center"/>
          </w:tcPr>
          <w:p w14:paraId="285C08BD">
            <w:pPr>
              <w:keepNext w:val="0"/>
              <w:keepLines w:val="0"/>
              <w:pageBreakBefore w:val="0"/>
              <w:widowControl/>
              <w:kinsoku/>
              <w:wordWrap/>
              <w:overflowPunct/>
              <w:topLinePunct w:val="0"/>
              <w:autoSpaceDE/>
              <w:autoSpaceDN/>
              <w:bidi w:val="0"/>
              <w:adjustRightInd/>
              <w:snapToGrid/>
              <w:spacing w:line="320" w:lineRule="exact"/>
              <w:jc w:val="left"/>
              <w:textAlignment w:val="auto"/>
              <w:rPr>
                <w:b/>
                <w:bCs/>
                <w:kern w:val="0"/>
                <w:sz w:val="21"/>
                <w:szCs w:val="21"/>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14:paraId="042D7630">
            <w:pPr>
              <w:keepNext w:val="0"/>
              <w:keepLines w:val="0"/>
              <w:pageBreakBefore w:val="0"/>
              <w:widowControl/>
              <w:kinsoku/>
              <w:wordWrap/>
              <w:overflowPunct/>
              <w:topLinePunct w:val="0"/>
              <w:autoSpaceDE/>
              <w:autoSpaceDN/>
              <w:bidi w:val="0"/>
              <w:adjustRightInd/>
              <w:snapToGrid/>
              <w:spacing w:line="320" w:lineRule="exact"/>
              <w:jc w:val="left"/>
              <w:textAlignment w:val="auto"/>
              <w:rPr>
                <w:b/>
                <w:bCs/>
                <w:kern w:val="0"/>
                <w:sz w:val="21"/>
                <w:szCs w:val="21"/>
              </w:rPr>
            </w:p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14:paraId="3774BE4B">
            <w:pPr>
              <w:keepNext w:val="0"/>
              <w:keepLines w:val="0"/>
              <w:pageBreakBefore w:val="0"/>
              <w:widowControl/>
              <w:kinsoku/>
              <w:wordWrap/>
              <w:overflowPunct/>
              <w:topLinePunct w:val="0"/>
              <w:autoSpaceDE/>
              <w:autoSpaceDN/>
              <w:bidi w:val="0"/>
              <w:adjustRightInd/>
              <w:snapToGrid/>
              <w:spacing w:line="320" w:lineRule="exact"/>
              <w:jc w:val="left"/>
              <w:textAlignment w:val="auto"/>
              <w:rPr>
                <w:b/>
                <w:bCs/>
                <w:kern w:val="0"/>
                <w:sz w:val="21"/>
                <w:szCs w:val="21"/>
              </w:rPr>
            </w:p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14:paraId="4E89E9CC">
            <w:pPr>
              <w:keepNext w:val="0"/>
              <w:keepLines w:val="0"/>
              <w:pageBreakBefore w:val="0"/>
              <w:widowControl/>
              <w:kinsoku/>
              <w:wordWrap/>
              <w:overflowPunct/>
              <w:topLinePunct w:val="0"/>
              <w:autoSpaceDE/>
              <w:autoSpaceDN/>
              <w:bidi w:val="0"/>
              <w:adjustRightInd/>
              <w:snapToGrid/>
              <w:spacing w:line="320" w:lineRule="exact"/>
              <w:jc w:val="left"/>
              <w:textAlignment w:val="auto"/>
              <w:rPr>
                <w:b/>
                <w:bCs/>
                <w:kern w:val="0"/>
                <w:sz w:val="21"/>
                <w:szCs w:val="21"/>
              </w:rPr>
            </w:pPr>
          </w:p>
        </w:tc>
        <w:tc>
          <w:tcPr>
            <w:tcW w:w="883" w:type="dxa"/>
            <w:vMerge w:val="continue"/>
            <w:tcBorders>
              <w:top w:val="single" w:color="auto" w:sz="4" w:space="0"/>
              <w:left w:val="single" w:color="auto" w:sz="4" w:space="0"/>
              <w:bottom w:val="single" w:color="000000" w:sz="4" w:space="0"/>
              <w:right w:val="single" w:color="auto" w:sz="4" w:space="0"/>
            </w:tcBorders>
            <w:noWrap w:val="0"/>
            <w:vAlign w:val="center"/>
          </w:tcPr>
          <w:p w14:paraId="296FDA63">
            <w:pPr>
              <w:keepNext w:val="0"/>
              <w:keepLines w:val="0"/>
              <w:pageBreakBefore w:val="0"/>
              <w:widowControl/>
              <w:kinsoku/>
              <w:wordWrap/>
              <w:overflowPunct/>
              <w:topLinePunct w:val="0"/>
              <w:autoSpaceDE/>
              <w:autoSpaceDN/>
              <w:bidi w:val="0"/>
              <w:adjustRightInd/>
              <w:snapToGrid/>
              <w:spacing w:line="320" w:lineRule="exact"/>
              <w:jc w:val="left"/>
              <w:textAlignment w:val="auto"/>
              <w:rPr>
                <w:b/>
                <w:bCs/>
                <w:kern w:val="0"/>
                <w:sz w:val="21"/>
                <w:szCs w:val="21"/>
              </w:rPr>
            </w:pPr>
          </w:p>
        </w:tc>
      </w:tr>
      <w:tr w14:paraId="7A7C0FD6">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0B766745">
            <w:pPr>
              <w:keepNext w:val="0"/>
              <w:keepLines w:val="0"/>
              <w:pageBreakBefore w:val="0"/>
              <w:widowControl/>
              <w:kinsoku/>
              <w:wordWrap/>
              <w:overflowPunct/>
              <w:topLinePunct w:val="0"/>
              <w:autoSpaceDE/>
              <w:autoSpaceDN/>
              <w:bidi w:val="0"/>
              <w:adjustRightInd/>
              <w:snapToGrid/>
              <w:spacing w:line="320" w:lineRule="exact"/>
              <w:jc w:val="center"/>
              <w:textAlignment w:val="auto"/>
              <w:rPr>
                <w:b/>
                <w:bCs/>
                <w:kern w:val="0"/>
                <w:sz w:val="21"/>
                <w:szCs w:val="21"/>
              </w:rPr>
            </w:pPr>
            <w:r>
              <w:rPr>
                <w:b/>
                <w:bCs/>
                <w:kern w:val="0"/>
                <w:sz w:val="21"/>
                <w:szCs w:val="21"/>
              </w:rPr>
              <w:t>一</w:t>
            </w:r>
          </w:p>
        </w:tc>
        <w:tc>
          <w:tcPr>
            <w:tcW w:w="8244" w:type="dxa"/>
            <w:gridSpan w:val="5"/>
            <w:tcBorders>
              <w:top w:val="single" w:color="auto" w:sz="4" w:space="0"/>
              <w:left w:val="nil"/>
              <w:bottom w:val="single" w:color="auto" w:sz="4" w:space="0"/>
              <w:right w:val="single" w:color="auto" w:sz="4" w:space="0"/>
            </w:tcBorders>
            <w:noWrap w:val="0"/>
            <w:vAlign w:val="center"/>
          </w:tcPr>
          <w:p w14:paraId="337F81C8">
            <w:pPr>
              <w:keepNext w:val="0"/>
              <w:keepLines w:val="0"/>
              <w:pageBreakBefore w:val="0"/>
              <w:widowControl/>
              <w:kinsoku/>
              <w:wordWrap/>
              <w:overflowPunct/>
              <w:topLinePunct w:val="0"/>
              <w:autoSpaceDE/>
              <w:autoSpaceDN/>
              <w:bidi w:val="0"/>
              <w:adjustRightInd/>
              <w:snapToGrid/>
              <w:spacing w:line="320" w:lineRule="exact"/>
              <w:jc w:val="left"/>
              <w:textAlignment w:val="auto"/>
              <w:rPr>
                <w:b/>
                <w:bCs/>
                <w:kern w:val="0"/>
                <w:sz w:val="21"/>
                <w:szCs w:val="21"/>
              </w:rPr>
            </w:pPr>
            <w:r>
              <w:rPr>
                <w:b/>
                <w:bCs/>
                <w:kern w:val="0"/>
                <w:sz w:val="21"/>
                <w:szCs w:val="21"/>
              </w:rPr>
              <w:t>农业高质高效</w:t>
            </w:r>
          </w:p>
        </w:tc>
      </w:tr>
      <w:tr w14:paraId="304B9E0D">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438BDC97">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w:t>
            </w:r>
          </w:p>
        </w:tc>
        <w:tc>
          <w:tcPr>
            <w:tcW w:w="4836" w:type="dxa"/>
            <w:tcBorders>
              <w:top w:val="nil"/>
              <w:left w:val="nil"/>
              <w:bottom w:val="single" w:color="auto" w:sz="4" w:space="0"/>
              <w:right w:val="single" w:color="auto" w:sz="4" w:space="0"/>
            </w:tcBorders>
            <w:noWrap w:val="0"/>
            <w:vAlign w:val="center"/>
          </w:tcPr>
          <w:p w14:paraId="5D768ED4">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粮食综合生产能力</w:t>
            </w:r>
          </w:p>
        </w:tc>
        <w:tc>
          <w:tcPr>
            <w:tcW w:w="659" w:type="dxa"/>
            <w:tcBorders>
              <w:top w:val="nil"/>
              <w:left w:val="nil"/>
              <w:bottom w:val="single" w:color="auto" w:sz="4" w:space="0"/>
              <w:right w:val="single" w:color="auto" w:sz="4" w:space="0"/>
            </w:tcBorders>
            <w:noWrap w:val="0"/>
            <w:vAlign w:val="center"/>
          </w:tcPr>
          <w:p w14:paraId="74C9F01C">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万吨</w:t>
            </w:r>
          </w:p>
        </w:tc>
        <w:tc>
          <w:tcPr>
            <w:tcW w:w="933" w:type="dxa"/>
            <w:tcBorders>
              <w:top w:val="nil"/>
              <w:left w:val="nil"/>
              <w:bottom w:val="single" w:color="auto" w:sz="4" w:space="0"/>
              <w:right w:val="single" w:color="auto" w:sz="4" w:space="0"/>
            </w:tcBorders>
            <w:noWrap w:val="0"/>
            <w:vAlign w:val="center"/>
          </w:tcPr>
          <w:p w14:paraId="4F34705B">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40.5</w:t>
            </w:r>
          </w:p>
        </w:tc>
        <w:tc>
          <w:tcPr>
            <w:tcW w:w="933" w:type="dxa"/>
            <w:tcBorders>
              <w:top w:val="nil"/>
              <w:left w:val="nil"/>
              <w:bottom w:val="single" w:color="auto" w:sz="4" w:space="0"/>
              <w:right w:val="single" w:color="auto" w:sz="4" w:space="0"/>
            </w:tcBorders>
            <w:noWrap w:val="0"/>
            <w:vAlign w:val="center"/>
          </w:tcPr>
          <w:p w14:paraId="60B6340C">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≥40.5</w:t>
            </w:r>
          </w:p>
        </w:tc>
        <w:tc>
          <w:tcPr>
            <w:tcW w:w="883" w:type="dxa"/>
            <w:tcBorders>
              <w:top w:val="nil"/>
              <w:left w:val="nil"/>
              <w:bottom w:val="single" w:color="auto" w:sz="4" w:space="0"/>
              <w:right w:val="single" w:color="auto" w:sz="4" w:space="0"/>
            </w:tcBorders>
            <w:noWrap w:val="0"/>
            <w:vAlign w:val="center"/>
          </w:tcPr>
          <w:p w14:paraId="65DCD241">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约束性</w:t>
            </w:r>
          </w:p>
        </w:tc>
      </w:tr>
      <w:tr w14:paraId="11015800">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389DD3C3">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2</w:t>
            </w:r>
          </w:p>
        </w:tc>
        <w:tc>
          <w:tcPr>
            <w:tcW w:w="4836" w:type="dxa"/>
            <w:tcBorders>
              <w:top w:val="nil"/>
              <w:left w:val="nil"/>
              <w:bottom w:val="single" w:color="auto" w:sz="4" w:space="0"/>
              <w:right w:val="single" w:color="auto" w:sz="4" w:space="0"/>
            </w:tcBorders>
            <w:noWrap w:val="0"/>
            <w:vAlign w:val="center"/>
          </w:tcPr>
          <w:p w14:paraId="15EBF551">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第一产业增加值</w:t>
            </w:r>
          </w:p>
        </w:tc>
        <w:tc>
          <w:tcPr>
            <w:tcW w:w="659" w:type="dxa"/>
            <w:tcBorders>
              <w:top w:val="nil"/>
              <w:left w:val="nil"/>
              <w:bottom w:val="single" w:color="auto" w:sz="4" w:space="0"/>
              <w:right w:val="single" w:color="auto" w:sz="4" w:space="0"/>
            </w:tcBorders>
            <w:noWrap w:val="0"/>
            <w:vAlign w:val="center"/>
          </w:tcPr>
          <w:p w14:paraId="08D42308">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亿元</w:t>
            </w:r>
          </w:p>
        </w:tc>
        <w:tc>
          <w:tcPr>
            <w:tcW w:w="933" w:type="dxa"/>
            <w:tcBorders>
              <w:top w:val="nil"/>
              <w:left w:val="nil"/>
              <w:bottom w:val="single" w:color="auto" w:sz="4" w:space="0"/>
              <w:right w:val="single" w:color="auto" w:sz="4" w:space="0"/>
            </w:tcBorders>
            <w:noWrap w:val="0"/>
            <w:vAlign w:val="center"/>
          </w:tcPr>
          <w:p w14:paraId="6789CCC2">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59.4</w:t>
            </w:r>
          </w:p>
        </w:tc>
        <w:tc>
          <w:tcPr>
            <w:tcW w:w="933" w:type="dxa"/>
            <w:tcBorders>
              <w:top w:val="nil"/>
              <w:left w:val="nil"/>
              <w:bottom w:val="single" w:color="auto" w:sz="4" w:space="0"/>
              <w:right w:val="single" w:color="auto" w:sz="4" w:space="0"/>
            </w:tcBorders>
            <w:noWrap w:val="0"/>
            <w:vAlign w:val="center"/>
          </w:tcPr>
          <w:p w14:paraId="18A72194">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79.60</w:t>
            </w:r>
          </w:p>
        </w:tc>
        <w:tc>
          <w:tcPr>
            <w:tcW w:w="883" w:type="dxa"/>
            <w:tcBorders>
              <w:top w:val="nil"/>
              <w:left w:val="nil"/>
              <w:bottom w:val="single" w:color="auto" w:sz="4" w:space="0"/>
              <w:right w:val="single" w:color="auto" w:sz="4" w:space="0"/>
            </w:tcBorders>
            <w:noWrap w:val="0"/>
            <w:vAlign w:val="center"/>
          </w:tcPr>
          <w:p w14:paraId="1BB64CA6">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1393CAB7">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0183CA6A">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3</w:t>
            </w:r>
          </w:p>
        </w:tc>
        <w:tc>
          <w:tcPr>
            <w:tcW w:w="4836" w:type="dxa"/>
            <w:tcBorders>
              <w:top w:val="nil"/>
              <w:left w:val="nil"/>
              <w:bottom w:val="single" w:color="auto" w:sz="4" w:space="0"/>
              <w:right w:val="single" w:color="auto" w:sz="4" w:space="0"/>
            </w:tcBorders>
            <w:noWrap w:val="0"/>
            <w:vAlign w:val="center"/>
          </w:tcPr>
          <w:p w14:paraId="72FF21F1">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农产品加工产值与农业总产值比</w:t>
            </w:r>
          </w:p>
        </w:tc>
        <w:tc>
          <w:tcPr>
            <w:tcW w:w="659" w:type="dxa"/>
            <w:tcBorders>
              <w:top w:val="nil"/>
              <w:left w:val="nil"/>
              <w:bottom w:val="single" w:color="auto" w:sz="4" w:space="0"/>
              <w:right w:val="single" w:color="auto" w:sz="4" w:space="0"/>
            </w:tcBorders>
            <w:noWrap w:val="0"/>
            <w:vAlign w:val="center"/>
          </w:tcPr>
          <w:p w14:paraId="56F916E6">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rFonts w:eastAsia="方正书宋_GBK"/>
                <w:sz w:val="21"/>
                <w:szCs w:val="21"/>
              </w:rPr>
              <w:t>—</w:t>
            </w:r>
          </w:p>
        </w:tc>
        <w:tc>
          <w:tcPr>
            <w:tcW w:w="933" w:type="dxa"/>
            <w:tcBorders>
              <w:top w:val="nil"/>
              <w:left w:val="nil"/>
              <w:bottom w:val="single" w:color="auto" w:sz="4" w:space="0"/>
              <w:right w:val="single" w:color="auto" w:sz="4" w:space="0"/>
            </w:tcBorders>
            <w:noWrap w:val="0"/>
            <w:vAlign w:val="center"/>
          </w:tcPr>
          <w:p w14:paraId="5E2AC257">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1.5:1</w:t>
            </w:r>
          </w:p>
        </w:tc>
        <w:tc>
          <w:tcPr>
            <w:tcW w:w="933" w:type="dxa"/>
            <w:tcBorders>
              <w:top w:val="nil"/>
              <w:left w:val="nil"/>
              <w:bottom w:val="single" w:color="auto" w:sz="4" w:space="0"/>
              <w:right w:val="single" w:color="auto" w:sz="4" w:space="0"/>
            </w:tcBorders>
            <w:noWrap w:val="0"/>
            <w:vAlign w:val="center"/>
          </w:tcPr>
          <w:p w14:paraId="5F344734">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2:1</w:t>
            </w:r>
          </w:p>
        </w:tc>
        <w:tc>
          <w:tcPr>
            <w:tcW w:w="883" w:type="dxa"/>
            <w:tcBorders>
              <w:top w:val="nil"/>
              <w:left w:val="nil"/>
              <w:bottom w:val="single" w:color="auto" w:sz="4" w:space="0"/>
              <w:right w:val="single" w:color="auto" w:sz="4" w:space="0"/>
            </w:tcBorders>
            <w:noWrap w:val="0"/>
            <w:vAlign w:val="center"/>
          </w:tcPr>
          <w:p w14:paraId="71C5E016">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65C3B8E9">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1212CCED">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4</w:t>
            </w:r>
          </w:p>
        </w:tc>
        <w:tc>
          <w:tcPr>
            <w:tcW w:w="4836" w:type="dxa"/>
            <w:tcBorders>
              <w:top w:val="nil"/>
              <w:left w:val="nil"/>
              <w:bottom w:val="single" w:color="auto" w:sz="4" w:space="0"/>
              <w:right w:val="single" w:color="auto" w:sz="4" w:space="0"/>
            </w:tcBorders>
            <w:noWrap w:val="0"/>
            <w:vAlign w:val="center"/>
          </w:tcPr>
          <w:p w14:paraId="66326B0D">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休闲农业与乡村旅游收入</w:t>
            </w:r>
          </w:p>
        </w:tc>
        <w:tc>
          <w:tcPr>
            <w:tcW w:w="659" w:type="dxa"/>
            <w:tcBorders>
              <w:top w:val="nil"/>
              <w:left w:val="nil"/>
              <w:bottom w:val="single" w:color="auto" w:sz="4" w:space="0"/>
              <w:right w:val="single" w:color="auto" w:sz="4" w:space="0"/>
            </w:tcBorders>
            <w:noWrap w:val="0"/>
            <w:vAlign w:val="center"/>
          </w:tcPr>
          <w:p w14:paraId="2D8192DE">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亿元</w:t>
            </w:r>
          </w:p>
        </w:tc>
        <w:tc>
          <w:tcPr>
            <w:tcW w:w="933" w:type="dxa"/>
            <w:tcBorders>
              <w:top w:val="nil"/>
              <w:left w:val="nil"/>
              <w:bottom w:val="single" w:color="auto" w:sz="4" w:space="0"/>
              <w:right w:val="single" w:color="auto" w:sz="4" w:space="0"/>
            </w:tcBorders>
            <w:noWrap w:val="0"/>
            <w:vAlign w:val="center"/>
          </w:tcPr>
          <w:p w14:paraId="7CA4406C">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0.6</w:t>
            </w:r>
          </w:p>
        </w:tc>
        <w:tc>
          <w:tcPr>
            <w:tcW w:w="933" w:type="dxa"/>
            <w:tcBorders>
              <w:top w:val="nil"/>
              <w:left w:val="nil"/>
              <w:bottom w:val="single" w:color="auto" w:sz="4" w:space="0"/>
              <w:right w:val="single" w:color="auto" w:sz="4" w:space="0"/>
            </w:tcBorders>
            <w:noWrap w:val="0"/>
            <w:vAlign w:val="center"/>
          </w:tcPr>
          <w:p w14:paraId="1AF8DC46">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1.2</w:t>
            </w:r>
          </w:p>
        </w:tc>
        <w:tc>
          <w:tcPr>
            <w:tcW w:w="883" w:type="dxa"/>
            <w:tcBorders>
              <w:top w:val="nil"/>
              <w:left w:val="nil"/>
              <w:bottom w:val="single" w:color="auto" w:sz="4" w:space="0"/>
              <w:right w:val="single" w:color="auto" w:sz="4" w:space="0"/>
            </w:tcBorders>
            <w:noWrap w:val="0"/>
            <w:vAlign w:val="center"/>
          </w:tcPr>
          <w:p w14:paraId="43A86595">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4D8912F9">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2C16AFA4">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5</w:t>
            </w:r>
          </w:p>
        </w:tc>
        <w:tc>
          <w:tcPr>
            <w:tcW w:w="4836" w:type="dxa"/>
            <w:tcBorders>
              <w:top w:val="single" w:color="auto" w:sz="4" w:space="0"/>
              <w:left w:val="nil"/>
              <w:bottom w:val="single" w:color="auto" w:sz="4" w:space="0"/>
              <w:right w:val="single" w:color="auto" w:sz="4" w:space="0"/>
            </w:tcBorders>
            <w:noWrap w:val="0"/>
            <w:vAlign w:val="center"/>
          </w:tcPr>
          <w:p w14:paraId="0B7D0220">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农业科技进步贡献率</w:t>
            </w:r>
          </w:p>
        </w:tc>
        <w:tc>
          <w:tcPr>
            <w:tcW w:w="659" w:type="dxa"/>
            <w:tcBorders>
              <w:top w:val="single" w:color="auto" w:sz="4" w:space="0"/>
              <w:left w:val="nil"/>
              <w:bottom w:val="single" w:color="auto" w:sz="4" w:space="0"/>
              <w:right w:val="single" w:color="auto" w:sz="4" w:space="0"/>
            </w:tcBorders>
            <w:noWrap w:val="0"/>
            <w:vAlign w:val="center"/>
          </w:tcPr>
          <w:p w14:paraId="69BF4B72">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single" w:color="auto" w:sz="4" w:space="0"/>
              <w:left w:val="nil"/>
              <w:bottom w:val="single" w:color="auto" w:sz="4" w:space="0"/>
              <w:right w:val="single" w:color="auto" w:sz="4" w:space="0"/>
            </w:tcBorders>
            <w:noWrap w:val="0"/>
            <w:vAlign w:val="center"/>
          </w:tcPr>
          <w:p w14:paraId="39CFFB01">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53</w:t>
            </w:r>
          </w:p>
        </w:tc>
        <w:tc>
          <w:tcPr>
            <w:tcW w:w="933" w:type="dxa"/>
            <w:tcBorders>
              <w:top w:val="single" w:color="auto" w:sz="4" w:space="0"/>
              <w:left w:val="nil"/>
              <w:bottom w:val="single" w:color="auto" w:sz="4" w:space="0"/>
              <w:right w:val="single" w:color="auto" w:sz="4" w:space="0"/>
            </w:tcBorders>
            <w:noWrap w:val="0"/>
            <w:vAlign w:val="center"/>
          </w:tcPr>
          <w:p w14:paraId="0EA4B4D7">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60</w:t>
            </w:r>
          </w:p>
        </w:tc>
        <w:tc>
          <w:tcPr>
            <w:tcW w:w="883" w:type="dxa"/>
            <w:tcBorders>
              <w:top w:val="single" w:color="auto" w:sz="4" w:space="0"/>
              <w:left w:val="nil"/>
              <w:bottom w:val="single" w:color="auto" w:sz="4" w:space="0"/>
              <w:right w:val="single" w:color="auto" w:sz="4" w:space="0"/>
            </w:tcBorders>
            <w:noWrap w:val="0"/>
            <w:vAlign w:val="center"/>
          </w:tcPr>
          <w:p w14:paraId="2992B78A">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38313818">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2A244187">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6</w:t>
            </w:r>
          </w:p>
        </w:tc>
        <w:tc>
          <w:tcPr>
            <w:tcW w:w="4836" w:type="dxa"/>
            <w:tcBorders>
              <w:top w:val="single" w:color="auto" w:sz="4" w:space="0"/>
              <w:left w:val="nil"/>
              <w:bottom w:val="single" w:color="auto" w:sz="4" w:space="0"/>
              <w:right w:val="single" w:color="auto" w:sz="4" w:space="0"/>
            </w:tcBorders>
            <w:noWrap w:val="0"/>
            <w:vAlign w:val="center"/>
          </w:tcPr>
          <w:p w14:paraId="6E7A87CF">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农作物耕种收综合机械化率</w:t>
            </w:r>
          </w:p>
        </w:tc>
        <w:tc>
          <w:tcPr>
            <w:tcW w:w="659" w:type="dxa"/>
            <w:tcBorders>
              <w:top w:val="single" w:color="auto" w:sz="4" w:space="0"/>
              <w:left w:val="nil"/>
              <w:bottom w:val="single" w:color="auto" w:sz="4" w:space="0"/>
              <w:right w:val="single" w:color="auto" w:sz="4" w:space="0"/>
            </w:tcBorders>
            <w:noWrap w:val="0"/>
            <w:vAlign w:val="center"/>
          </w:tcPr>
          <w:p w14:paraId="2281886E">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single" w:color="auto" w:sz="4" w:space="0"/>
              <w:left w:val="nil"/>
              <w:bottom w:val="single" w:color="auto" w:sz="4" w:space="0"/>
              <w:right w:val="single" w:color="auto" w:sz="4" w:space="0"/>
            </w:tcBorders>
            <w:noWrap w:val="0"/>
            <w:vAlign w:val="center"/>
          </w:tcPr>
          <w:p w14:paraId="68396036">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53</w:t>
            </w:r>
          </w:p>
        </w:tc>
        <w:tc>
          <w:tcPr>
            <w:tcW w:w="933" w:type="dxa"/>
            <w:tcBorders>
              <w:top w:val="single" w:color="auto" w:sz="4" w:space="0"/>
              <w:left w:val="nil"/>
              <w:bottom w:val="single" w:color="auto" w:sz="4" w:space="0"/>
              <w:right w:val="single" w:color="auto" w:sz="4" w:space="0"/>
            </w:tcBorders>
            <w:noWrap w:val="0"/>
            <w:vAlign w:val="center"/>
          </w:tcPr>
          <w:p w14:paraId="4E767C16">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65</w:t>
            </w:r>
          </w:p>
        </w:tc>
        <w:tc>
          <w:tcPr>
            <w:tcW w:w="883" w:type="dxa"/>
            <w:tcBorders>
              <w:top w:val="single" w:color="auto" w:sz="4" w:space="0"/>
              <w:left w:val="nil"/>
              <w:bottom w:val="single" w:color="auto" w:sz="4" w:space="0"/>
              <w:right w:val="single" w:color="auto" w:sz="4" w:space="0"/>
            </w:tcBorders>
            <w:noWrap w:val="0"/>
            <w:vAlign w:val="center"/>
          </w:tcPr>
          <w:p w14:paraId="16BBC063">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41B6AEF2">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67E201C1">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7</w:t>
            </w:r>
          </w:p>
        </w:tc>
        <w:tc>
          <w:tcPr>
            <w:tcW w:w="4836" w:type="dxa"/>
            <w:tcBorders>
              <w:top w:val="single" w:color="auto" w:sz="4" w:space="0"/>
              <w:left w:val="nil"/>
              <w:bottom w:val="single" w:color="auto" w:sz="4" w:space="0"/>
              <w:right w:val="single" w:color="auto" w:sz="4" w:space="0"/>
            </w:tcBorders>
            <w:noWrap w:val="0"/>
            <w:vAlign w:val="center"/>
          </w:tcPr>
          <w:p w14:paraId="42A87070">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高标准农田建设</w:t>
            </w:r>
          </w:p>
        </w:tc>
        <w:tc>
          <w:tcPr>
            <w:tcW w:w="659" w:type="dxa"/>
            <w:tcBorders>
              <w:top w:val="single" w:color="auto" w:sz="4" w:space="0"/>
              <w:left w:val="nil"/>
              <w:bottom w:val="single" w:color="auto" w:sz="4" w:space="0"/>
              <w:right w:val="single" w:color="auto" w:sz="4" w:space="0"/>
            </w:tcBorders>
            <w:noWrap w:val="0"/>
            <w:vAlign w:val="center"/>
          </w:tcPr>
          <w:p w14:paraId="33030EBA">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万亩</w:t>
            </w:r>
          </w:p>
        </w:tc>
        <w:tc>
          <w:tcPr>
            <w:tcW w:w="933" w:type="dxa"/>
            <w:tcBorders>
              <w:top w:val="single" w:color="auto" w:sz="4" w:space="0"/>
              <w:left w:val="nil"/>
              <w:bottom w:val="single" w:color="auto" w:sz="4" w:space="0"/>
              <w:right w:val="single" w:color="auto" w:sz="4" w:space="0"/>
            </w:tcBorders>
            <w:noWrap w:val="0"/>
            <w:vAlign w:val="center"/>
          </w:tcPr>
          <w:p w14:paraId="56C868DB">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10.97</w:t>
            </w:r>
          </w:p>
        </w:tc>
        <w:tc>
          <w:tcPr>
            <w:tcW w:w="933" w:type="dxa"/>
            <w:tcBorders>
              <w:top w:val="single" w:color="auto" w:sz="4" w:space="0"/>
              <w:left w:val="nil"/>
              <w:bottom w:val="single" w:color="auto" w:sz="4" w:space="0"/>
              <w:right w:val="single" w:color="auto" w:sz="4" w:space="0"/>
            </w:tcBorders>
            <w:noWrap w:val="0"/>
            <w:vAlign w:val="center"/>
          </w:tcPr>
          <w:p w14:paraId="37C8E4AC">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30</w:t>
            </w:r>
          </w:p>
        </w:tc>
        <w:tc>
          <w:tcPr>
            <w:tcW w:w="883" w:type="dxa"/>
            <w:tcBorders>
              <w:top w:val="single" w:color="auto" w:sz="4" w:space="0"/>
              <w:left w:val="nil"/>
              <w:bottom w:val="single" w:color="auto" w:sz="4" w:space="0"/>
              <w:right w:val="single" w:color="auto" w:sz="4" w:space="0"/>
            </w:tcBorders>
            <w:noWrap w:val="0"/>
            <w:vAlign w:val="center"/>
          </w:tcPr>
          <w:p w14:paraId="2CAF1562">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42096444">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47B69AE3">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8</w:t>
            </w:r>
          </w:p>
        </w:tc>
        <w:tc>
          <w:tcPr>
            <w:tcW w:w="4836" w:type="dxa"/>
            <w:tcBorders>
              <w:top w:val="single" w:color="auto" w:sz="4" w:space="0"/>
              <w:left w:val="nil"/>
              <w:bottom w:val="single" w:color="auto" w:sz="4" w:space="0"/>
              <w:right w:val="single" w:color="auto" w:sz="4" w:space="0"/>
            </w:tcBorders>
            <w:noWrap w:val="0"/>
            <w:vAlign w:val="center"/>
          </w:tcPr>
          <w:p w14:paraId="61EE89E3">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农业适度规模经营度</w:t>
            </w:r>
          </w:p>
        </w:tc>
        <w:tc>
          <w:tcPr>
            <w:tcW w:w="659" w:type="dxa"/>
            <w:tcBorders>
              <w:top w:val="single" w:color="auto" w:sz="4" w:space="0"/>
              <w:left w:val="nil"/>
              <w:bottom w:val="single" w:color="auto" w:sz="4" w:space="0"/>
              <w:right w:val="single" w:color="auto" w:sz="4" w:space="0"/>
            </w:tcBorders>
            <w:noWrap w:val="0"/>
            <w:vAlign w:val="center"/>
          </w:tcPr>
          <w:p w14:paraId="78E008CA">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single" w:color="auto" w:sz="4" w:space="0"/>
              <w:left w:val="nil"/>
              <w:bottom w:val="single" w:color="auto" w:sz="4" w:space="0"/>
              <w:right w:val="single" w:color="auto" w:sz="4" w:space="0"/>
            </w:tcBorders>
            <w:noWrap w:val="0"/>
            <w:vAlign w:val="center"/>
          </w:tcPr>
          <w:p w14:paraId="643541EB">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38</w:t>
            </w:r>
          </w:p>
        </w:tc>
        <w:tc>
          <w:tcPr>
            <w:tcW w:w="933" w:type="dxa"/>
            <w:tcBorders>
              <w:top w:val="single" w:color="auto" w:sz="4" w:space="0"/>
              <w:left w:val="nil"/>
              <w:bottom w:val="single" w:color="auto" w:sz="4" w:space="0"/>
              <w:right w:val="single" w:color="auto" w:sz="4" w:space="0"/>
            </w:tcBorders>
            <w:noWrap w:val="0"/>
            <w:vAlign w:val="center"/>
          </w:tcPr>
          <w:p w14:paraId="3D29573B">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42</w:t>
            </w:r>
          </w:p>
        </w:tc>
        <w:tc>
          <w:tcPr>
            <w:tcW w:w="883" w:type="dxa"/>
            <w:tcBorders>
              <w:top w:val="single" w:color="auto" w:sz="4" w:space="0"/>
              <w:left w:val="nil"/>
              <w:bottom w:val="single" w:color="auto" w:sz="4" w:space="0"/>
              <w:right w:val="single" w:color="auto" w:sz="4" w:space="0"/>
            </w:tcBorders>
            <w:noWrap w:val="0"/>
            <w:vAlign w:val="center"/>
          </w:tcPr>
          <w:p w14:paraId="55B185C5">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63E5A7AC">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6AB2443F">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9</w:t>
            </w:r>
          </w:p>
        </w:tc>
        <w:tc>
          <w:tcPr>
            <w:tcW w:w="4836" w:type="dxa"/>
            <w:tcBorders>
              <w:top w:val="nil"/>
              <w:left w:val="nil"/>
              <w:bottom w:val="single" w:color="auto" w:sz="4" w:space="0"/>
              <w:right w:val="single" w:color="auto" w:sz="4" w:space="0"/>
            </w:tcBorders>
            <w:noWrap w:val="0"/>
            <w:vAlign w:val="center"/>
          </w:tcPr>
          <w:p w14:paraId="75A4F709">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农产品质量安全例行监测合格率</w:t>
            </w:r>
          </w:p>
        </w:tc>
        <w:tc>
          <w:tcPr>
            <w:tcW w:w="659" w:type="dxa"/>
            <w:tcBorders>
              <w:top w:val="nil"/>
              <w:left w:val="nil"/>
              <w:bottom w:val="single" w:color="auto" w:sz="4" w:space="0"/>
              <w:right w:val="single" w:color="auto" w:sz="4" w:space="0"/>
            </w:tcBorders>
            <w:noWrap w:val="0"/>
            <w:vAlign w:val="center"/>
          </w:tcPr>
          <w:p w14:paraId="4C91E77C">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nil"/>
              <w:left w:val="nil"/>
              <w:bottom w:val="single" w:color="auto" w:sz="4" w:space="0"/>
              <w:right w:val="single" w:color="auto" w:sz="4" w:space="0"/>
            </w:tcBorders>
            <w:noWrap w:val="0"/>
            <w:vAlign w:val="center"/>
          </w:tcPr>
          <w:p w14:paraId="23DF10CF">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99</w:t>
            </w:r>
          </w:p>
        </w:tc>
        <w:tc>
          <w:tcPr>
            <w:tcW w:w="933" w:type="dxa"/>
            <w:tcBorders>
              <w:top w:val="nil"/>
              <w:left w:val="nil"/>
              <w:bottom w:val="single" w:color="auto" w:sz="4" w:space="0"/>
              <w:right w:val="single" w:color="auto" w:sz="4" w:space="0"/>
            </w:tcBorders>
            <w:noWrap w:val="0"/>
            <w:vAlign w:val="center"/>
          </w:tcPr>
          <w:p w14:paraId="670FC5F2">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≥99</w:t>
            </w:r>
          </w:p>
        </w:tc>
        <w:tc>
          <w:tcPr>
            <w:tcW w:w="883" w:type="dxa"/>
            <w:tcBorders>
              <w:top w:val="nil"/>
              <w:left w:val="nil"/>
              <w:bottom w:val="single" w:color="auto" w:sz="4" w:space="0"/>
              <w:right w:val="single" w:color="auto" w:sz="4" w:space="0"/>
            </w:tcBorders>
            <w:noWrap w:val="0"/>
            <w:vAlign w:val="center"/>
          </w:tcPr>
          <w:p w14:paraId="2E794B04">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7561B663">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7F75A812">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10</w:t>
            </w:r>
          </w:p>
        </w:tc>
        <w:tc>
          <w:tcPr>
            <w:tcW w:w="4836" w:type="dxa"/>
            <w:tcBorders>
              <w:top w:val="nil"/>
              <w:left w:val="nil"/>
              <w:bottom w:val="single" w:color="auto" w:sz="4" w:space="0"/>
              <w:right w:val="single" w:color="auto" w:sz="4" w:space="0"/>
            </w:tcBorders>
            <w:noWrap w:val="0"/>
            <w:vAlign w:val="center"/>
          </w:tcPr>
          <w:p w14:paraId="6E85BB09">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畜禽粪污综合利用率</w:t>
            </w:r>
          </w:p>
        </w:tc>
        <w:tc>
          <w:tcPr>
            <w:tcW w:w="659" w:type="dxa"/>
            <w:tcBorders>
              <w:top w:val="nil"/>
              <w:left w:val="nil"/>
              <w:bottom w:val="single" w:color="auto" w:sz="4" w:space="0"/>
              <w:right w:val="single" w:color="auto" w:sz="4" w:space="0"/>
            </w:tcBorders>
            <w:noWrap w:val="0"/>
            <w:vAlign w:val="center"/>
          </w:tcPr>
          <w:p w14:paraId="4D4C9A82">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nil"/>
              <w:left w:val="nil"/>
              <w:bottom w:val="single" w:color="auto" w:sz="4" w:space="0"/>
              <w:right w:val="single" w:color="auto" w:sz="4" w:space="0"/>
            </w:tcBorders>
            <w:noWrap w:val="0"/>
            <w:vAlign w:val="center"/>
          </w:tcPr>
          <w:p w14:paraId="1728ECA6">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80</w:t>
            </w:r>
          </w:p>
        </w:tc>
        <w:tc>
          <w:tcPr>
            <w:tcW w:w="933" w:type="dxa"/>
            <w:tcBorders>
              <w:top w:val="nil"/>
              <w:left w:val="nil"/>
              <w:bottom w:val="single" w:color="auto" w:sz="4" w:space="0"/>
              <w:right w:val="single" w:color="auto" w:sz="4" w:space="0"/>
            </w:tcBorders>
            <w:noWrap w:val="0"/>
            <w:vAlign w:val="center"/>
          </w:tcPr>
          <w:p w14:paraId="5A645D01">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≥80</w:t>
            </w:r>
          </w:p>
        </w:tc>
        <w:tc>
          <w:tcPr>
            <w:tcW w:w="883" w:type="dxa"/>
            <w:tcBorders>
              <w:top w:val="nil"/>
              <w:left w:val="nil"/>
              <w:bottom w:val="single" w:color="auto" w:sz="4" w:space="0"/>
              <w:right w:val="single" w:color="auto" w:sz="4" w:space="0"/>
            </w:tcBorders>
            <w:noWrap w:val="0"/>
            <w:vAlign w:val="center"/>
          </w:tcPr>
          <w:p w14:paraId="59BA84EA">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约束性</w:t>
            </w:r>
          </w:p>
        </w:tc>
      </w:tr>
      <w:tr w14:paraId="19BBD528">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67E5CEF7">
            <w:pPr>
              <w:keepNext w:val="0"/>
              <w:keepLines w:val="0"/>
              <w:pageBreakBefore w:val="0"/>
              <w:widowControl/>
              <w:kinsoku/>
              <w:wordWrap/>
              <w:overflowPunct/>
              <w:topLinePunct w:val="0"/>
              <w:autoSpaceDE/>
              <w:autoSpaceDN/>
              <w:bidi w:val="0"/>
              <w:adjustRightInd/>
              <w:snapToGrid/>
              <w:spacing w:line="320" w:lineRule="exact"/>
              <w:jc w:val="center"/>
              <w:textAlignment w:val="auto"/>
              <w:rPr>
                <w:b/>
                <w:bCs/>
                <w:kern w:val="0"/>
                <w:sz w:val="21"/>
                <w:szCs w:val="21"/>
              </w:rPr>
            </w:pPr>
            <w:r>
              <w:rPr>
                <w:b/>
                <w:bCs/>
                <w:kern w:val="0"/>
                <w:sz w:val="21"/>
                <w:szCs w:val="21"/>
              </w:rPr>
              <w:t>二</w:t>
            </w:r>
          </w:p>
        </w:tc>
        <w:tc>
          <w:tcPr>
            <w:tcW w:w="8244" w:type="dxa"/>
            <w:gridSpan w:val="5"/>
            <w:tcBorders>
              <w:top w:val="single" w:color="auto" w:sz="4" w:space="0"/>
              <w:left w:val="nil"/>
              <w:bottom w:val="single" w:color="auto" w:sz="4" w:space="0"/>
              <w:right w:val="single" w:color="auto" w:sz="4" w:space="0"/>
            </w:tcBorders>
            <w:noWrap w:val="0"/>
            <w:vAlign w:val="center"/>
          </w:tcPr>
          <w:p w14:paraId="17A9D7D1">
            <w:pPr>
              <w:keepNext w:val="0"/>
              <w:keepLines w:val="0"/>
              <w:pageBreakBefore w:val="0"/>
              <w:widowControl/>
              <w:kinsoku/>
              <w:wordWrap/>
              <w:overflowPunct/>
              <w:topLinePunct w:val="0"/>
              <w:autoSpaceDE/>
              <w:autoSpaceDN/>
              <w:bidi w:val="0"/>
              <w:adjustRightInd/>
              <w:snapToGrid/>
              <w:spacing w:line="320" w:lineRule="exact"/>
              <w:jc w:val="left"/>
              <w:textAlignment w:val="auto"/>
              <w:rPr>
                <w:b/>
                <w:bCs/>
                <w:kern w:val="0"/>
                <w:sz w:val="21"/>
                <w:szCs w:val="21"/>
              </w:rPr>
            </w:pPr>
            <w:r>
              <w:rPr>
                <w:b/>
                <w:bCs/>
                <w:kern w:val="0"/>
                <w:sz w:val="21"/>
                <w:szCs w:val="21"/>
              </w:rPr>
              <w:t>乡村宜业宜居</w:t>
            </w:r>
          </w:p>
        </w:tc>
      </w:tr>
      <w:tr w14:paraId="25CFD6F5">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035AF174">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11</w:t>
            </w:r>
          </w:p>
        </w:tc>
        <w:tc>
          <w:tcPr>
            <w:tcW w:w="4836" w:type="dxa"/>
            <w:tcBorders>
              <w:top w:val="nil"/>
              <w:left w:val="nil"/>
              <w:bottom w:val="single" w:color="auto" w:sz="4" w:space="0"/>
              <w:right w:val="single" w:color="auto" w:sz="4" w:space="0"/>
            </w:tcBorders>
            <w:noWrap w:val="0"/>
            <w:vAlign w:val="center"/>
          </w:tcPr>
          <w:p w14:paraId="434B718E">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农村自来水普及率</w:t>
            </w:r>
          </w:p>
        </w:tc>
        <w:tc>
          <w:tcPr>
            <w:tcW w:w="659" w:type="dxa"/>
            <w:tcBorders>
              <w:top w:val="nil"/>
              <w:left w:val="nil"/>
              <w:bottom w:val="single" w:color="auto" w:sz="4" w:space="0"/>
              <w:right w:val="single" w:color="auto" w:sz="4" w:space="0"/>
            </w:tcBorders>
            <w:noWrap w:val="0"/>
            <w:vAlign w:val="center"/>
          </w:tcPr>
          <w:p w14:paraId="1654F30F">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nil"/>
              <w:left w:val="nil"/>
              <w:bottom w:val="single" w:color="auto" w:sz="4" w:space="0"/>
              <w:right w:val="single" w:color="auto" w:sz="4" w:space="0"/>
            </w:tcBorders>
            <w:noWrap w:val="0"/>
            <w:vAlign w:val="center"/>
          </w:tcPr>
          <w:p w14:paraId="35E869F4">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92</w:t>
            </w:r>
          </w:p>
        </w:tc>
        <w:tc>
          <w:tcPr>
            <w:tcW w:w="933" w:type="dxa"/>
            <w:tcBorders>
              <w:top w:val="nil"/>
              <w:left w:val="nil"/>
              <w:bottom w:val="single" w:color="auto" w:sz="4" w:space="0"/>
              <w:right w:val="single" w:color="auto" w:sz="4" w:space="0"/>
            </w:tcBorders>
            <w:noWrap w:val="0"/>
            <w:vAlign w:val="center"/>
          </w:tcPr>
          <w:p w14:paraId="638D3C7B">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94</w:t>
            </w:r>
          </w:p>
        </w:tc>
        <w:tc>
          <w:tcPr>
            <w:tcW w:w="883" w:type="dxa"/>
            <w:tcBorders>
              <w:top w:val="nil"/>
              <w:left w:val="nil"/>
              <w:bottom w:val="single" w:color="auto" w:sz="4" w:space="0"/>
              <w:right w:val="single" w:color="auto" w:sz="4" w:space="0"/>
            </w:tcBorders>
            <w:noWrap w:val="0"/>
            <w:vAlign w:val="center"/>
          </w:tcPr>
          <w:p w14:paraId="75C9862E">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541EF3C8">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44791377">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12</w:t>
            </w:r>
          </w:p>
        </w:tc>
        <w:tc>
          <w:tcPr>
            <w:tcW w:w="4836" w:type="dxa"/>
            <w:tcBorders>
              <w:top w:val="nil"/>
              <w:left w:val="nil"/>
              <w:bottom w:val="single" w:color="auto" w:sz="4" w:space="0"/>
              <w:right w:val="single" w:color="auto" w:sz="4" w:space="0"/>
            </w:tcBorders>
            <w:noWrap w:val="0"/>
            <w:vAlign w:val="center"/>
          </w:tcPr>
          <w:p w14:paraId="3F387665">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农村公路（具备条件的）村（居）民小组通畅率</w:t>
            </w:r>
          </w:p>
        </w:tc>
        <w:tc>
          <w:tcPr>
            <w:tcW w:w="659" w:type="dxa"/>
            <w:tcBorders>
              <w:top w:val="nil"/>
              <w:left w:val="nil"/>
              <w:bottom w:val="single" w:color="auto" w:sz="4" w:space="0"/>
              <w:right w:val="single" w:color="auto" w:sz="4" w:space="0"/>
            </w:tcBorders>
            <w:noWrap w:val="0"/>
            <w:vAlign w:val="center"/>
          </w:tcPr>
          <w:p w14:paraId="4B00E78B">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nil"/>
              <w:left w:val="nil"/>
              <w:bottom w:val="single" w:color="auto" w:sz="4" w:space="0"/>
              <w:right w:val="single" w:color="auto" w:sz="4" w:space="0"/>
            </w:tcBorders>
            <w:noWrap w:val="0"/>
            <w:vAlign w:val="center"/>
          </w:tcPr>
          <w:p w14:paraId="3D76AA17">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100</w:t>
            </w:r>
          </w:p>
        </w:tc>
        <w:tc>
          <w:tcPr>
            <w:tcW w:w="933" w:type="dxa"/>
            <w:tcBorders>
              <w:top w:val="nil"/>
              <w:left w:val="nil"/>
              <w:bottom w:val="single" w:color="auto" w:sz="4" w:space="0"/>
              <w:right w:val="single" w:color="auto" w:sz="4" w:space="0"/>
            </w:tcBorders>
            <w:noWrap w:val="0"/>
            <w:vAlign w:val="center"/>
          </w:tcPr>
          <w:p w14:paraId="53D43945">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100</w:t>
            </w:r>
          </w:p>
        </w:tc>
        <w:tc>
          <w:tcPr>
            <w:tcW w:w="883" w:type="dxa"/>
            <w:tcBorders>
              <w:top w:val="nil"/>
              <w:left w:val="nil"/>
              <w:bottom w:val="single" w:color="auto" w:sz="4" w:space="0"/>
              <w:right w:val="single" w:color="auto" w:sz="4" w:space="0"/>
            </w:tcBorders>
            <w:noWrap w:val="0"/>
            <w:vAlign w:val="center"/>
          </w:tcPr>
          <w:p w14:paraId="421CF91F">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70B51120">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42721226">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13</w:t>
            </w:r>
          </w:p>
        </w:tc>
        <w:tc>
          <w:tcPr>
            <w:tcW w:w="4836" w:type="dxa"/>
            <w:tcBorders>
              <w:top w:val="nil"/>
              <w:left w:val="nil"/>
              <w:bottom w:val="single" w:color="auto" w:sz="4" w:space="0"/>
              <w:right w:val="single" w:color="auto" w:sz="4" w:space="0"/>
            </w:tcBorders>
            <w:noWrap w:val="0"/>
            <w:vAlign w:val="center"/>
          </w:tcPr>
          <w:p w14:paraId="09E3EFED">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农村生活污水治理率</w:t>
            </w:r>
          </w:p>
        </w:tc>
        <w:tc>
          <w:tcPr>
            <w:tcW w:w="659" w:type="dxa"/>
            <w:tcBorders>
              <w:top w:val="nil"/>
              <w:left w:val="nil"/>
              <w:bottom w:val="single" w:color="auto" w:sz="4" w:space="0"/>
              <w:right w:val="single" w:color="auto" w:sz="4" w:space="0"/>
            </w:tcBorders>
            <w:noWrap w:val="0"/>
            <w:vAlign w:val="center"/>
          </w:tcPr>
          <w:p w14:paraId="76A6C2BE">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nil"/>
              <w:left w:val="nil"/>
              <w:bottom w:val="single" w:color="auto" w:sz="4" w:space="0"/>
              <w:right w:val="single" w:color="auto" w:sz="4" w:space="0"/>
            </w:tcBorders>
            <w:noWrap w:val="0"/>
            <w:vAlign w:val="center"/>
          </w:tcPr>
          <w:p w14:paraId="1095AF72">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50</w:t>
            </w:r>
          </w:p>
        </w:tc>
        <w:tc>
          <w:tcPr>
            <w:tcW w:w="933" w:type="dxa"/>
            <w:tcBorders>
              <w:top w:val="nil"/>
              <w:left w:val="nil"/>
              <w:bottom w:val="single" w:color="auto" w:sz="4" w:space="0"/>
              <w:right w:val="single" w:color="auto" w:sz="4" w:space="0"/>
            </w:tcBorders>
            <w:noWrap w:val="0"/>
            <w:vAlign w:val="center"/>
          </w:tcPr>
          <w:p w14:paraId="36A33CE6">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55</w:t>
            </w:r>
          </w:p>
        </w:tc>
        <w:tc>
          <w:tcPr>
            <w:tcW w:w="883" w:type="dxa"/>
            <w:tcBorders>
              <w:top w:val="nil"/>
              <w:left w:val="nil"/>
              <w:bottom w:val="single" w:color="auto" w:sz="4" w:space="0"/>
              <w:right w:val="single" w:color="auto" w:sz="4" w:space="0"/>
            </w:tcBorders>
            <w:noWrap w:val="0"/>
            <w:vAlign w:val="center"/>
          </w:tcPr>
          <w:p w14:paraId="6F742198">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29DE70F1">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3FEB9915">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14</w:t>
            </w:r>
          </w:p>
        </w:tc>
        <w:tc>
          <w:tcPr>
            <w:tcW w:w="4836" w:type="dxa"/>
            <w:tcBorders>
              <w:top w:val="nil"/>
              <w:left w:val="nil"/>
              <w:bottom w:val="single" w:color="auto" w:sz="4" w:space="0"/>
              <w:right w:val="single" w:color="auto" w:sz="4" w:space="0"/>
            </w:tcBorders>
            <w:noWrap w:val="0"/>
            <w:vAlign w:val="center"/>
          </w:tcPr>
          <w:p w14:paraId="5491C4B4">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农村卫生户厕普及率</w:t>
            </w:r>
          </w:p>
        </w:tc>
        <w:tc>
          <w:tcPr>
            <w:tcW w:w="659" w:type="dxa"/>
            <w:tcBorders>
              <w:top w:val="nil"/>
              <w:left w:val="nil"/>
              <w:bottom w:val="single" w:color="auto" w:sz="4" w:space="0"/>
              <w:right w:val="single" w:color="auto" w:sz="4" w:space="0"/>
            </w:tcBorders>
            <w:noWrap w:val="0"/>
            <w:vAlign w:val="center"/>
          </w:tcPr>
          <w:p w14:paraId="733055F3">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nil"/>
              <w:left w:val="nil"/>
              <w:bottom w:val="single" w:color="auto" w:sz="4" w:space="0"/>
              <w:right w:val="single" w:color="auto" w:sz="4" w:space="0"/>
            </w:tcBorders>
            <w:noWrap w:val="0"/>
            <w:vAlign w:val="center"/>
          </w:tcPr>
          <w:p w14:paraId="1B07336B">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80.3</w:t>
            </w:r>
          </w:p>
        </w:tc>
        <w:tc>
          <w:tcPr>
            <w:tcW w:w="933" w:type="dxa"/>
            <w:tcBorders>
              <w:top w:val="nil"/>
              <w:left w:val="nil"/>
              <w:bottom w:val="single" w:color="auto" w:sz="4" w:space="0"/>
              <w:right w:val="single" w:color="auto" w:sz="4" w:space="0"/>
            </w:tcBorders>
            <w:noWrap w:val="0"/>
            <w:vAlign w:val="center"/>
          </w:tcPr>
          <w:p w14:paraId="7E321697">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85</w:t>
            </w:r>
          </w:p>
        </w:tc>
        <w:tc>
          <w:tcPr>
            <w:tcW w:w="883" w:type="dxa"/>
            <w:tcBorders>
              <w:top w:val="nil"/>
              <w:left w:val="nil"/>
              <w:bottom w:val="single" w:color="auto" w:sz="4" w:space="0"/>
              <w:right w:val="single" w:color="auto" w:sz="4" w:space="0"/>
            </w:tcBorders>
            <w:noWrap w:val="0"/>
            <w:vAlign w:val="center"/>
          </w:tcPr>
          <w:p w14:paraId="07B21014">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69154E2F">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6FA1A527">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15</w:t>
            </w:r>
          </w:p>
        </w:tc>
        <w:tc>
          <w:tcPr>
            <w:tcW w:w="4836" w:type="dxa"/>
            <w:tcBorders>
              <w:top w:val="nil"/>
              <w:left w:val="nil"/>
              <w:bottom w:val="single" w:color="auto" w:sz="4" w:space="0"/>
              <w:right w:val="single" w:color="auto" w:sz="4" w:space="0"/>
            </w:tcBorders>
            <w:noWrap w:val="0"/>
            <w:vAlign w:val="center"/>
          </w:tcPr>
          <w:p w14:paraId="0D97219D">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农村每万常住人口全科医生数量</w:t>
            </w:r>
          </w:p>
        </w:tc>
        <w:tc>
          <w:tcPr>
            <w:tcW w:w="659" w:type="dxa"/>
            <w:tcBorders>
              <w:top w:val="nil"/>
              <w:left w:val="nil"/>
              <w:bottom w:val="single" w:color="auto" w:sz="4" w:space="0"/>
              <w:right w:val="single" w:color="auto" w:sz="4" w:space="0"/>
            </w:tcBorders>
            <w:noWrap w:val="0"/>
            <w:vAlign w:val="center"/>
          </w:tcPr>
          <w:p w14:paraId="3D4398C8">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人</w:t>
            </w:r>
          </w:p>
        </w:tc>
        <w:tc>
          <w:tcPr>
            <w:tcW w:w="933" w:type="dxa"/>
            <w:tcBorders>
              <w:top w:val="nil"/>
              <w:left w:val="nil"/>
              <w:bottom w:val="single" w:color="auto" w:sz="4" w:space="0"/>
              <w:right w:val="single" w:color="auto" w:sz="4" w:space="0"/>
            </w:tcBorders>
            <w:noWrap w:val="0"/>
            <w:vAlign w:val="center"/>
          </w:tcPr>
          <w:p w14:paraId="0183AFED">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3.14</w:t>
            </w:r>
          </w:p>
        </w:tc>
        <w:tc>
          <w:tcPr>
            <w:tcW w:w="933" w:type="dxa"/>
            <w:tcBorders>
              <w:top w:val="nil"/>
              <w:left w:val="nil"/>
              <w:bottom w:val="single" w:color="auto" w:sz="4" w:space="0"/>
              <w:right w:val="single" w:color="auto" w:sz="4" w:space="0"/>
            </w:tcBorders>
            <w:noWrap w:val="0"/>
            <w:vAlign w:val="center"/>
          </w:tcPr>
          <w:p w14:paraId="7FA744B7">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4</w:t>
            </w:r>
          </w:p>
        </w:tc>
        <w:tc>
          <w:tcPr>
            <w:tcW w:w="883" w:type="dxa"/>
            <w:tcBorders>
              <w:top w:val="nil"/>
              <w:left w:val="nil"/>
              <w:bottom w:val="single" w:color="auto" w:sz="4" w:space="0"/>
              <w:right w:val="single" w:color="auto" w:sz="4" w:space="0"/>
            </w:tcBorders>
            <w:noWrap w:val="0"/>
            <w:vAlign w:val="center"/>
          </w:tcPr>
          <w:p w14:paraId="481BA8A4">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24DCE57C">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54F7B3EE">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16</w:t>
            </w:r>
          </w:p>
        </w:tc>
        <w:tc>
          <w:tcPr>
            <w:tcW w:w="4836" w:type="dxa"/>
            <w:tcBorders>
              <w:top w:val="nil"/>
              <w:left w:val="nil"/>
              <w:bottom w:val="single" w:color="auto" w:sz="4" w:space="0"/>
              <w:right w:val="single" w:color="auto" w:sz="4" w:space="0"/>
            </w:tcBorders>
            <w:noWrap w:val="0"/>
            <w:vAlign w:val="center"/>
          </w:tcPr>
          <w:p w14:paraId="23A41AE1">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农村养老设施覆盖率</w:t>
            </w:r>
          </w:p>
        </w:tc>
        <w:tc>
          <w:tcPr>
            <w:tcW w:w="659" w:type="dxa"/>
            <w:tcBorders>
              <w:top w:val="nil"/>
              <w:left w:val="nil"/>
              <w:bottom w:val="single" w:color="auto" w:sz="4" w:space="0"/>
              <w:right w:val="single" w:color="auto" w:sz="4" w:space="0"/>
            </w:tcBorders>
            <w:noWrap w:val="0"/>
            <w:vAlign w:val="center"/>
          </w:tcPr>
          <w:p w14:paraId="499568E3">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nil"/>
              <w:left w:val="nil"/>
              <w:bottom w:val="single" w:color="auto" w:sz="4" w:space="0"/>
              <w:right w:val="single" w:color="auto" w:sz="4" w:space="0"/>
            </w:tcBorders>
            <w:noWrap w:val="0"/>
            <w:vAlign w:val="center"/>
          </w:tcPr>
          <w:p w14:paraId="0BACF6DD">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47</w:t>
            </w:r>
          </w:p>
        </w:tc>
        <w:tc>
          <w:tcPr>
            <w:tcW w:w="933" w:type="dxa"/>
            <w:tcBorders>
              <w:top w:val="nil"/>
              <w:left w:val="nil"/>
              <w:bottom w:val="single" w:color="auto" w:sz="4" w:space="0"/>
              <w:right w:val="single" w:color="auto" w:sz="4" w:space="0"/>
            </w:tcBorders>
            <w:noWrap w:val="0"/>
            <w:vAlign w:val="center"/>
          </w:tcPr>
          <w:p w14:paraId="3044570F">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48</w:t>
            </w:r>
          </w:p>
        </w:tc>
        <w:tc>
          <w:tcPr>
            <w:tcW w:w="883" w:type="dxa"/>
            <w:tcBorders>
              <w:top w:val="nil"/>
              <w:left w:val="nil"/>
              <w:bottom w:val="single" w:color="auto" w:sz="4" w:space="0"/>
              <w:right w:val="single" w:color="auto" w:sz="4" w:space="0"/>
            </w:tcBorders>
            <w:noWrap w:val="0"/>
            <w:vAlign w:val="center"/>
          </w:tcPr>
          <w:p w14:paraId="6BD34EAC">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1BBD40D4">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6BD7A3B6">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17</w:t>
            </w:r>
          </w:p>
        </w:tc>
        <w:tc>
          <w:tcPr>
            <w:tcW w:w="4836" w:type="dxa"/>
            <w:tcBorders>
              <w:top w:val="nil"/>
              <w:left w:val="nil"/>
              <w:bottom w:val="single" w:color="auto" w:sz="4" w:space="0"/>
              <w:right w:val="single" w:color="auto" w:sz="4" w:space="0"/>
            </w:tcBorders>
            <w:noWrap w:val="0"/>
            <w:vAlign w:val="center"/>
          </w:tcPr>
          <w:p w14:paraId="45FECE3D">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县级及以上文明村占比</w:t>
            </w:r>
          </w:p>
        </w:tc>
        <w:tc>
          <w:tcPr>
            <w:tcW w:w="659" w:type="dxa"/>
            <w:tcBorders>
              <w:top w:val="nil"/>
              <w:left w:val="nil"/>
              <w:bottom w:val="single" w:color="auto" w:sz="4" w:space="0"/>
              <w:right w:val="single" w:color="auto" w:sz="4" w:space="0"/>
            </w:tcBorders>
            <w:noWrap w:val="0"/>
            <w:vAlign w:val="center"/>
          </w:tcPr>
          <w:p w14:paraId="4F694DD2">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nil"/>
              <w:left w:val="nil"/>
              <w:bottom w:val="single" w:color="auto" w:sz="4" w:space="0"/>
              <w:right w:val="single" w:color="auto" w:sz="4" w:space="0"/>
            </w:tcBorders>
            <w:noWrap w:val="0"/>
            <w:vAlign w:val="center"/>
          </w:tcPr>
          <w:p w14:paraId="1D1847BB">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45</w:t>
            </w:r>
          </w:p>
        </w:tc>
        <w:tc>
          <w:tcPr>
            <w:tcW w:w="933" w:type="dxa"/>
            <w:tcBorders>
              <w:top w:val="nil"/>
              <w:left w:val="nil"/>
              <w:bottom w:val="single" w:color="auto" w:sz="4" w:space="0"/>
              <w:right w:val="single" w:color="auto" w:sz="4" w:space="0"/>
            </w:tcBorders>
            <w:noWrap w:val="0"/>
            <w:vAlign w:val="center"/>
          </w:tcPr>
          <w:p w14:paraId="3ADE29C9">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65</w:t>
            </w:r>
          </w:p>
        </w:tc>
        <w:tc>
          <w:tcPr>
            <w:tcW w:w="883" w:type="dxa"/>
            <w:tcBorders>
              <w:top w:val="nil"/>
              <w:left w:val="nil"/>
              <w:bottom w:val="single" w:color="auto" w:sz="4" w:space="0"/>
              <w:right w:val="single" w:color="auto" w:sz="4" w:space="0"/>
            </w:tcBorders>
            <w:noWrap w:val="0"/>
            <w:vAlign w:val="center"/>
          </w:tcPr>
          <w:p w14:paraId="790BCF56">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68A5F51D">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43F6CFF1">
            <w:pPr>
              <w:keepNext w:val="0"/>
              <w:keepLines w:val="0"/>
              <w:pageBreakBefore w:val="0"/>
              <w:widowControl/>
              <w:kinsoku/>
              <w:wordWrap/>
              <w:overflowPunct/>
              <w:topLinePunct w:val="0"/>
              <w:autoSpaceDE/>
              <w:autoSpaceDN/>
              <w:bidi w:val="0"/>
              <w:adjustRightInd/>
              <w:snapToGrid/>
              <w:spacing w:line="320" w:lineRule="exact"/>
              <w:jc w:val="center"/>
              <w:textAlignment w:val="auto"/>
              <w:rPr>
                <w:b/>
                <w:bCs/>
                <w:kern w:val="0"/>
                <w:sz w:val="21"/>
                <w:szCs w:val="21"/>
              </w:rPr>
            </w:pPr>
            <w:r>
              <w:rPr>
                <w:b/>
                <w:bCs/>
                <w:kern w:val="0"/>
                <w:sz w:val="21"/>
                <w:szCs w:val="21"/>
              </w:rPr>
              <w:t>三</w:t>
            </w:r>
          </w:p>
        </w:tc>
        <w:tc>
          <w:tcPr>
            <w:tcW w:w="8244" w:type="dxa"/>
            <w:gridSpan w:val="5"/>
            <w:tcBorders>
              <w:top w:val="single" w:color="auto" w:sz="4" w:space="0"/>
              <w:left w:val="nil"/>
              <w:bottom w:val="single" w:color="auto" w:sz="4" w:space="0"/>
              <w:right w:val="single" w:color="auto" w:sz="4" w:space="0"/>
            </w:tcBorders>
            <w:noWrap w:val="0"/>
            <w:vAlign w:val="center"/>
          </w:tcPr>
          <w:p w14:paraId="2E3E7F64">
            <w:pPr>
              <w:keepNext w:val="0"/>
              <w:keepLines w:val="0"/>
              <w:pageBreakBefore w:val="0"/>
              <w:widowControl/>
              <w:kinsoku/>
              <w:wordWrap/>
              <w:overflowPunct/>
              <w:topLinePunct w:val="0"/>
              <w:autoSpaceDE/>
              <w:autoSpaceDN/>
              <w:bidi w:val="0"/>
              <w:adjustRightInd/>
              <w:snapToGrid/>
              <w:spacing w:line="320" w:lineRule="exact"/>
              <w:jc w:val="left"/>
              <w:textAlignment w:val="auto"/>
              <w:rPr>
                <w:b/>
                <w:bCs/>
                <w:kern w:val="0"/>
                <w:sz w:val="21"/>
                <w:szCs w:val="21"/>
              </w:rPr>
            </w:pPr>
            <w:r>
              <w:rPr>
                <w:b/>
                <w:bCs/>
                <w:kern w:val="0"/>
                <w:sz w:val="21"/>
                <w:szCs w:val="21"/>
              </w:rPr>
              <w:t>农民富裕富足</w:t>
            </w:r>
          </w:p>
        </w:tc>
      </w:tr>
      <w:tr w14:paraId="1230DC32">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06131B7B">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18</w:t>
            </w:r>
          </w:p>
        </w:tc>
        <w:tc>
          <w:tcPr>
            <w:tcW w:w="4836" w:type="dxa"/>
            <w:tcBorders>
              <w:top w:val="nil"/>
              <w:left w:val="nil"/>
              <w:bottom w:val="single" w:color="auto" w:sz="4" w:space="0"/>
              <w:right w:val="single" w:color="auto" w:sz="4" w:space="0"/>
            </w:tcBorders>
            <w:noWrap w:val="0"/>
            <w:vAlign w:val="center"/>
          </w:tcPr>
          <w:p w14:paraId="6D9DCFE0">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农村常住居民人均可支配收入</w:t>
            </w:r>
          </w:p>
        </w:tc>
        <w:tc>
          <w:tcPr>
            <w:tcW w:w="659" w:type="dxa"/>
            <w:tcBorders>
              <w:top w:val="nil"/>
              <w:left w:val="nil"/>
              <w:bottom w:val="single" w:color="auto" w:sz="4" w:space="0"/>
              <w:right w:val="single" w:color="auto" w:sz="4" w:space="0"/>
            </w:tcBorders>
            <w:noWrap w:val="0"/>
            <w:vAlign w:val="center"/>
          </w:tcPr>
          <w:p w14:paraId="12909AC1">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元</w:t>
            </w:r>
          </w:p>
        </w:tc>
        <w:tc>
          <w:tcPr>
            <w:tcW w:w="933" w:type="dxa"/>
            <w:tcBorders>
              <w:top w:val="nil"/>
              <w:left w:val="nil"/>
              <w:bottom w:val="single" w:color="auto" w:sz="4" w:space="0"/>
              <w:right w:val="single" w:color="auto" w:sz="4" w:space="0"/>
            </w:tcBorders>
            <w:noWrap w:val="0"/>
            <w:vAlign w:val="center"/>
          </w:tcPr>
          <w:p w14:paraId="42B7847A">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18370</w:t>
            </w:r>
          </w:p>
        </w:tc>
        <w:tc>
          <w:tcPr>
            <w:tcW w:w="933" w:type="dxa"/>
            <w:tcBorders>
              <w:top w:val="nil"/>
              <w:left w:val="nil"/>
              <w:bottom w:val="single" w:color="auto" w:sz="4" w:space="0"/>
              <w:right w:val="single" w:color="auto" w:sz="4" w:space="0"/>
            </w:tcBorders>
            <w:noWrap w:val="0"/>
            <w:vAlign w:val="center"/>
          </w:tcPr>
          <w:p w14:paraId="434293E9">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28000</w:t>
            </w:r>
          </w:p>
        </w:tc>
        <w:tc>
          <w:tcPr>
            <w:tcW w:w="883" w:type="dxa"/>
            <w:tcBorders>
              <w:top w:val="nil"/>
              <w:left w:val="nil"/>
              <w:bottom w:val="single" w:color="auto" w:sz="4" w:space="0"/>
              <w:right w:val="single" w:color="auto" w:sz="4" w:space="0"/>
            </w:tcBorders>
            <w:noWrap w:val="0"/>
            <w:vAlign w:val="center"/>
          </w:tcPr>
          <w:p w14:paraId="27EDFF6E">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0AC65C8B">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180128AC">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19</w:t>
            </w:r>
          </w:p>
        </w:tc>
        <w:tc>
          <w:tcPr>
            <w:tcW w:w="4836" w:type="dxa"/>
            <w:tcBorders>
              <w:top w:val="nil"/>
              <w:left w:val="nil"/>
              <w:bottom w:val="single" w:color="auto" w:sz="4" w:space="0"/>
              <w:right w:val="single" w:color="auto" w:sz="4" w:space="0"/>
            </w:tcBorders>
            <w:noWrap w:val="0"/>
            <w:vAlign w:val="center"/>
          </w:tcPr>
          <w:p w14:paraId="1F14CD78">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城乡居民可支配收入比</w:t>
            </w:r>
          </w:p>
        </w:tc>
        <w:tc>
          <w:tcPr>
            <w:tcW w:w="659" w:type="dxa"/>
            <w:tcBorders>
              <w:top w:val="nil"/>
              <w:left w:val="nil"/>
              <w:bottom w:val="single" w:color="auto" w:sz="4" w:space="0"/>
              <w:right w:val="single" w:color="auto" w:sz="4" w:space="0"/>
            </w:tcBorders>
            <w:noWrap w:val="0"/>
            <w:vAlign w:val="center"/>
          </w:tcPr>
          <w:p w14:paraId="7CE1AB93">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nil"/>
              <w:left w:val="nil"/>
              <w:bottom w:val="single" w:color="auto" w:sz="4" w:space="0"/>
              <w:right w:val="single" w:color="auto" w:sz="4" w:space="0"/>
            </w:tcBorders>
            <w:noWrap w:val="0"/>
            <w:vAlign w:val="center"/>
          </w:tcPr>
          <w:p w14:paraId="2B80FDB6">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2.2:1</w:t>
            </w:r>
          </w:p>
        </w:tc>
        <w:tc>
          <w:tcPr>
            <w:tcW w:w="933" w:type="dxa"/>
            <w:tcBorders>
              <w:top w:val="nil"/>
              <w:left w:val="nil"/>
              <w:bottom w:val="single" w:color="auto" w:sz="4" w:space="0"/>
              <w:right w:val="single" w:color="auto" w:sz="4" w:space="0"/>
            </w:tcBorders>
            <w:noWrap w:val="0"/>
            <w:vAlign w:val="center"/>
          </w:tcPr>
          <w:p w14:paraId="035971EF">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≤2.2:1</w:t>
            </w:r>
          </w:p>
        </w:tc>
        <w:tc>
          <w:tcPr>
            <w:tcW w:w="883" w:type="dxa"/>
            <w:tcBorders>
              <w:top w:val="nil"/>
              <w:left w:val="nil"/>
              <w:bottom w:val="single" w:color="auto" w:sz="4" w:space="0"/>
              <w:right w:val="single" w:color="auto" w:sz="4" w:space="0"/>
            </w:tcBorders>
            <w:noWrap w:val="0"/>
            <w:vAlign w:val="center"/>
          </w:tcPr>
          <w:p w14:paraId="1E95C2AA">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0BFBAA02">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050E14A5">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20</w:t>
            </w:r>
          </w:p>
        </w:tc>
        <w:tc>
          <w:tcPr>
            <w:tcW w:w="4836" w:type="dxa"/>
            <w:tcBorders>
              <w:top w:val="nil"/>
              <w:left w:val="nil"/>
              <w:bottom w:val="single" w:color="auto" w:sz="4" w:space="0"/>
              <w:right w:val="single" w:color="auto" w:sz="4" w:space="0"/>
            </w:tcBorders>
            <w:noWrap w:val="0"/>
            <w:vAlign w:val="center"/>
          </w:tcPr>
          <w:p w14:paraId="7F8A1AB0">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集体收入10万元以上的村占比</w:t>
            </w:r>
          </w:p>
        </w:tc>
        <w:tc>
          <w:tcPr>
            <w:tcW w:w="659" w:type="dxa"/>
            <w:tcBorders>
              <w:top w:val="nil"/>
              <w:left w:val="nil"/>
              <w:bottom w:val="single" w:color="auto" w:sz="4" w:space="0"/>
              <w:right w:val="single" w:color="auto" w:sz="4" w:space="0"/>
            </w:tcBorders>
            <w:noWrap w:val="0"/>
            <w:vAlign w:val="center"/>
          </w:tcPr>
          <w:p w14:paraId="2097EB6E">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nil"/>
              <w:left w:val="nil"/>
              <w:bottom w:val="single" w:color="auto" w:sz="4" w:space="0"/>
              <w:right w:val="single" w:color="auto" w:sz="4" w:space="0"/>
            </w:tcBorders>
            <w:noWrap w:val="0"/>
            <w:vAlign w:val="center"/>
          </w:tcPr>
          <w:p w14:paraId="3F5F274B">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12.6</w:t>
            </w:r>
          </w:p>
        </w:tc>
        <w:tc>
          <w:tcPr>
            <w:tcW w:w="933" w:type="dxa"/>
            <w:tcBorders>
              <w:top w:val="nil"/>
              <w:left w:val="nil"/>
              <w:bottom w:val="single" w:color="auto" w:sz="4" w:space="0"/>
              <w:right w:val="single" w:color="auto" w:sz="4" w:space="0"/>
            </w:tcBorders>
            <w:noWrap w:val="0"/>
            <w:vAlign w:val="center"/>
          </w:tcPr>
          <w:p w14:paraId="5DE07D39">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50</w:t>
            </w:r>
          </w:p>
        </w:tc>
        <w:tc>
          <w:tcPr>
            <w:tcW w:w="883" w:type="dxa"/>
            <w:tcBorders>
              <w:top w:val="nil"/>
              <w:left w:val="nil"/>
              <w:bottom w:val="single" w:color="auto" w:sz="4" w:space="0"/>
              <w:right w:val="single" w:color="auto" w:sz="4" w:space="0"/>
            </w:tcBorders>
            <w:noWrap w:val="0"/>
            <w:vAlign w:val="center"/>
          </w:tcPr>
          <w:p w14:paraId="7B972DBC">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0CE77257">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299BCEEF">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21</w:t>
            </w:r>
          </w:p>
        </w:tc>
        <w:tc>
          <w:tcPr>
            <w:tcW w:w="4836" w:type="dxa"/>
            <w:tcBorders>
              <w:top w:val="nil"/>
              <w:left w:val="nil"/>
              <w:bottom w:val="single" w:color="auto" w:sz="4" w:space="0"/>
              <w:right w:val="single" w:color="auto" w:sz="4" w:space="0"/>
            </w:tcBorders>
            <w:noWrap w:val="0"/>
            <w:vAlign w:val="center"/>
          </w:tcPr>
          <w:p w14:paraId="0E86EF71">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农户参加农民合作社比重</w:t>
            </w:r>
          </w:p>
        </w:tc>
        <w:tc>
          <w:tcPr>
            <w:tcW w:w="659" w:type="dxa"/>
            <w:tcBorders>
              <w:top w:val="nil"/>
              <w:left w:val="nil"/>
              <w:bottom w:val="single" w:color="auto" w:sz="4" w:space="0"/>
              <w:right w:val="single" w:color="auto" w:sz="4" w:space="0"/>
            </w:tcBorders>
            <w:noWrap w:val="0"/>
            <w:vAlign w:val="center"/>
          </w:tcPr>
          <w:p w14:paraId="0E8C5927">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nil"/>
              <w:left w:val="nil"/>
              <w:bottom w:val="single" w:color="auto" w:sz="4" w:space="0"/>
              <w:right w:val="single" w:color="auto" w:sz="4" w:space="0"/>
            </w:tcBorders>
            <w:noWrap w:val="0"/>
            <w:vAlign w:val="center"/>
          </w:tcPr>
          <w:p w14:paraId="30FA0FD9">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29</w:t>
            </w:r>
          </w:p>
        </w:tc>
        <w:tc>
          <w:tcPr>
            <w:tcW w:w="933" w:type="dxa"/>
            <w:tcBorders>
              <w:top w:val="nil"/>
              <w:left w:val="nil"/>
              <w:bottom w:val="single" w:color="auto" w:sz="4" w:space="0"/>
              <w:right w:val="single" w:color="auto" w:sz="4" w:space="0"/>
            </w:tcBorders>
            <w:noWrap w:val="0"/>
            <w:vAlign w:val="center"/>
          </w:tcPr>
          <w:p w14:paraId="2B7AEB2B">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51</w:t>
            </w:r>
          </w:p>
        </w:tc>
        <w:tc>
          <w:tcPr>
            <w:tcW w:w="883" w:type="dxa"/>
            <w:tcBorders>
              <w:top w:val="nil"/>
              <w:left w:val="nil"/>
              <w:bottom w:val="single" w:color="auto" w:sz="4" w:space="0"/>
              <w:right w:val="single" w:color="auto" w:sz="4" w:space="0"/>
            </w:tcBorders>
            <w:noWrap w:val="0"/>
            <w:vAlign w:val="center"/>
          </w:tcPr>
          <w:p w14:paraId="6645FDC2">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76021C1F">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1C91BF64">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22</w:t>
            </w:r>
          </w:p>
        </w:tc>
        <w:tc>
          <w:tcPr>
            <w:tcW w:w="4836" w:type="dxa"/>
            <w:tcBorders>
              <w:top w:val="nil"/>
              <w:left w:val="nil"/>
              <w:bottom w:val="single" w:color="auto" w:sz="4" w:space="0"/>
              <w:right w:val="single" w:color="auto" w:sz="4" w:space="0"/>
            </w:tcBorders>
            <w:noWrap w:val="0"/>
            <w:vAlign w:val="center"/>
          </w:tcPr>
          <w:p w14:paraId="5F737781">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农村居民人均教育文化娱乐消费支出占比</w:t>
            </w:r>
          </w:p>
        </w:tc>
        <w:tc>
          <w:tcPr>
            <w:tcW w:w="659" w:type="dxa"/>
            <w:tcBorders>
              <w:top w:val="nil"/>
              <w:left w:val="nil"/>
              <w:bottom w:val="single" w:color="auto" w:sz="4" w:space="0"/>
              <w:right w:val="single" w:color="auto" w:sz="4" w:space="0"/>
            </w:tcBorders>
            <w:noWrap w:val="0"/>
            <w:vAlign w:val="center"/>
          </w:tcPr>
          <w:p w14:paraId="6266C5E5">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nil"/>
              <w:left w:val="nil"/>
              <w:bottom w:val="single" w:color="auto" w:sz="4" w:space="0"/>
              <w:right w:val="single" w:color="auto" w:sz="4" w:space="0"/>
            </w:tcBorders>
            <w:noWrap w:val="0"/>
            <w:vAlign w:val="center"/>
          </w:tcPr>
          <w:p w14:paraId="5C6C21E5">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11</w:t>
            </w:r>
          </w:p>
        </w:tc>
        <w:tc>
          <w:tcPr>
            <w:tcW w:w="933" w:type="dxa"/>
            <w:tcBorders>
              <w:top w:val="nil"/>
              <w:left w:val="nil"/>
              <w:bottom w:val="single" w:color="auto" w:sz="4" w:space="0"/>
              <w:right w:val="single" w:color="auto" w:sz="4" w:space="0"/>
            </w:tcBorders>
            <w:noWrap w:val="0"/>
            <w:vAlign w:val="center"/>
          </w:tcPr>
          <w:p w14:paraId="608DA5E0">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17</w:t>
            </w:r>
          </w:p>
        </w:tc>
        <w:tc>
          <w:tcPr>
            <w:tcW w:w="883" w:type="dxa"/>
            <w:tcBorders>
              <w:top w:val="nil"/>
              <w:left w:val="nil"/>
              <w:bottom w:val="single" w:color="auto" w:sz="4" w:space="0"/>
              <w:right w:val="single" w:color="auto" w:sz="4" w:space="0"/>
            </w:tcBorders>
            <w:noWrap w:val="0"/>
            <w:vAlign w:val="center"/>
          </w:tcPr>
          <w:p w14:paraId="6B0E7FAA">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4928CA6E">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373FB752">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23</w:t>
            </w:r>
          </w:p>
        </w:tc>
        <w:tc>
          <w:tcPr>
            <w:tcW w:w="4836" w:type="dxa"/>
            <w:tcBorders>
              <w:top w:val="nil"/>
              <w:left w:val="nil"/>
              <w:bottom w:val="single" w:color="auto" w:sz="4" w:space="0"/>
              <w:right w:val="single" w:color="auto" w:sz="4" w:space="0"/>
            </w:tcBorders>
            <w:noWrap w:val="0"/>
            <w:vAlign w:val="center"/>
          </w:tcPr>
          <w:p w14:paraId="42A02769">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农村义务教育学校专任教师本科以上学历比例</w:t>
            </w:r>
          </w:p>
        </w:tc>
        <w:tc>
          <w:tcPr>
            <w:tcW w:w="659" w:type="dxa"/>
            <w:tcBorders>
              <w:top w:val="nil"/>
              <w:left w:val="nil"/>
              <w:bottom w:val="single" w:color="auto" w:sz="4" w:space="0"/>
              <w:right w:val="single" w:color="auto" w:sz="4" w:space="0"/>
            </w:tcBorders>
            <w:noWrap w:val="0"/>
            <w:vAlign w:val="center"/>
          </w:tcPr>
          <w:p w14:paraId="3BF63B82">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w:t>
            </w:r>
          </w:p>
        </w:tc>
        <w:tc>
          <w:tcPr>
            <w:tcW w:w="933" w:type="dxa"/>
            <w:tcBorders>
              <w:top w:val="nil"/>
              <w:left w:val="nil"/>
              <w:bottom w:val="single" w:color="auto" w:sz="4" w:space="0"/>
              <w:right w:val="single" w:color="auto" w:sz="4" w:space="0"/>
            </w:tcBorders>
            <w:noWrap w:val="0"/>
            <w:vAlign w:val="center"/>
          </w:tcPr>
          <w:p w14:paraId="67A63165">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37</w:t>
            </w:r>
          </w:p>
        </w:tc>
        <w:tc>
          <w:tcPr>
            <w:tcW w:w="933" w:type="dxa"/>
            <w:tcBorders>
              <w:top w:val="nil"/>
              <w:left w:val="nil"/>
              <w:bottom w:val="single" w:color="auto" w:sz="4" w:space="0"/>
              <w:right w:val="single" w:color="auto" w:sz="4" w:space="0"/>
            </w:tcBorders>
            <w:noWrap w:val="0"/>
            <w:vAlign w:val="center"/>
          </w:tcPr>
          <w:p w14:paraId="35A229A6">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65</w:t>
            </w:r>
          </w:p>
        </w:tc>
        <w:tc>
          <w:tcPr>
            <w:tcW w:w="883" w:type="dxa"/>
            <w:tcBorders>
              <w:top w:val="nil"/>
              <w:left w:val="nil"/>
              <w:bottom w:val="single" w:color="auto" w:sz="4" w:space="0"/>
              <w:right w:val="single" w:color="auto" w:sz="4" w:space="0"/>
            </w:tcBorders>
            <w:noWrap w:val="0"/>
            <w:vAlign w:val="center"/>
          </w:tcPr>
          <w:p w14:paraId="4FEDD3D5">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预期性</w:t>
            </w:r>
          </w:p>
        </w:tc>
      </w:tr>
      <w:tr w14:paraId="763C0C4E">
        <w:tblPrEx>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noWrap w:val="0"/>
            <w:vAlign w:val="center"/>
          </w:tcPr>
          <w:p w14:paraId="43934402">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24</w:t>
            </w:r>
          </w:p>
        </w:tc>
        <w:tc>
          <w:tcPr>
            <w:tcW w:w="4836" w:type="dxa"/>
            <w:tcBorders>
              <w:top w:val="nil"/>
              <w:left w:val="nil"/>
              <w:bottom w:val="single" w:color="auto" w:sz="4" w:space="0"/>
              <w:right w:val="single" w:color="auto" w:sz="4" w:space="0"/>
            </w:tcBorders>
            <w:noWrap w:val="0"/>
            <w:vAlign w:val="center"/>
          </w:tcPr>
          <w:p w14:paraId="12BBC56C">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劳动人口平均受教育年限</w:t>
            </w:r>
          </w:p>
        </w:tc>
        <w:tc>
          <w:tcPr>
            <w:tcW w:w="659" w:type="dxa"/>
            <w:tcBorders>
              <w:top w:val="nil"/>
              <w:left w:val="nil"/>
              <w:bottom w:val="single" w:color="auto" w:sz="4" w:space="0"/>
              <w:right w:val="single" w:color="auto" w:sz="4" w:space="0"/>
            </w:tcBorders>
            <w:noWrap w:val="0"/>
            <w:vAlign w:val="center"/>
          </w:tcPr>
          <w:p w14:paraId="30457E4E">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年</w:t>
            </w:r>
          </w:p>
        </w:tc>
        <w:tc>
          <w:tcPr>
            <w:tcW w:w="933" w:type="dxa"/>
            <w:tcBorders>
              <w:top w:val="nil"/>
              <w:left w:val="nil"/>
              <w:bottom w:val="single" w:color="auto" w:sz="4" w:space="0"/>
              <w:right w:val="single" w:color="auto" w:sz="4" w:space="0"/>
            </w:tcBorders>
            <w:noWrap w:val="0"/>
            <w:vAlign w:val="center"/>
          </w:tcPr>
          <w:p w14:paraId="25366BF0">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14</w:t>
            </w:r>
          </w:p>
        </w:tc>
        <w:tc>
          <w:tcPr>
            <w:tcW w:w="933" w:type="dxa"/>
            <w:tcBorders>
              <w:top w:val="nil"/>
              <w:left w:val="nil"/>
              <w:bottom w:val="single" w:color="auto" w:sz="4" w:space="0"/>
              <w:right w:val="single" w:color="auto" w:sz="4" w:space="0"/>
            </w:tcBorders>
            <w:noWrap w:val="0"/>
            <w:vAlign w:val="center"/>
          </w:tcPr>
          <w:p w14:paraId="4BABEF6A">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1"/>
                <w:szCs w:val="21"/>
              </w:rPr>
            </w:pPr>
            <w:r>
              <w:rPr>
                <w:kern w:val="0"/>
                <w:sz w:val="21"/>
                <w:szCs w:val="21"/>
              </w:rPr>
              <w:t>14.2</w:t>
            </w:r>
          </w:p>
        </w:tc>
        <w:tc>
          <w:tcPr>
            <w:tcW w:w="883" w:type="dxa"/>
            <w:tcBorders>
              <w:top w:val="nil"/>
              <w:left w:val="nil"/>
              <w:bottom w:val="single" w:color="auto" w:sz="4" w:space="0"/>
              <w:right w:val="single" w:color="auto" w:sz="4" w:space="0"/>
            </w:tcBorders>
            <w:noWrap w:val="0"/>
            <w:vAlign w:val="center"/>
          </w:tcPr>
          <w:p w14:paraId="3E6CAD25">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1"/>
                <w:szCs w:val="21"/>
              </w:rPr>
            </w:pPr>
            <w:r>
              <w:rPr>
                <w:kern w:val="0"/>
                <w:sz w:val="21"/>
                <w:szCs w:val="21"/>
              </w:rPr>
              <w:t>约束性</w:t>
            </w:r>
          </w:p>
        </w:tc>
      </w:tr>
    </w:tbl>
    <w:p w14:paraId="6A62055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sz w:val="32"/>
          <w:szCs w:val="32"/>
        </w:rPr>
        <w:t>到2035年，城乡区域发展和居民生活水平差距显著缩小，农民生活质量显著提升，城镇化进入成熟期，高品质宜居乡村基本建成，农村治理体系和治理能力基本实现现代化，乡村振兴取得决定性进展，全县基本实现农业农村现代化。</w:t>
      </w:r>
    </w:p>
    <w:p w14:paraId="61B4D73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eastAsia="方正黑体_GBK"/>
          <w:sz w:val="32"/>
          <w:szCs w:val="22"/>
        </w:rPr>
      </w:pPr>
      <w:bookmarkStart w:id="15" w:name="_Toc108078349"/>
      <w:r>
        <w:rPr>
          <w:rFonts w:eastAsia="方正黑体_GBK"/>
          <w:sz w:val="32"/>
          <w:szCs w:val="22"/>
        </w:rPr>
        <w:t xml:space="preserve">第二章 </w:t>
      </w:r>
      <w:r>
        <w:rPr>
          <w:rFonts w:hint="eastAsia" w:eastAsia="方正黑体_GBK"/>
          <w:sz w:val="32"/>
          <w:szCs w:val="22"/>
          <w:lang w:val="en-US" w:eastAsia="zh-CN"/>
        </w:rPr>
        <w:t xml:space="preserve"> </w:t>
      </w:r>
      <w:r>
        <w:rPr>
          <w:rFonts w:eastAsia="方正黑体_GBK"/>
          <w:sz w:val="32"/>
          <w:szCs w:val="22"/>
        </w:rPr>
        <w:t>实现巩固拓展脱贫攻坚成果同乡村振兴有效衔接</w:t>
      </w:r>
      <w:bookmarkEnd w:id="15"/>
    </w:p>
    <w:p w14:paraId="1785FC91">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eastAsia="方正仿宋_GBK"/>
          <w:sz w:val="32"/>
          <w:szCs w:val="32"/>
        </w:rPr>
      </w:pPr>
      <w:r>
        <w:rPr>
          <w:rFonts w:eastAsia="方正仿宋_GBK"/>
          <w:sz w:val="32"/>
          <w:szCs w:val="32"/>
        </w:rPr>
        <w:t>完善巩固拓展脱贫攻坚成果同乡村振兴有效衔接的政策措施，持续巩固脱贫攻坚成果，实现从脱贫攻坚到乡村振兴的转变，加快推动农业农村现代化发展。</w:t>
      </w:r>
    </w:p>
    <w:p w14:paraId="636827FE">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center"/>
        <w:textAlignment w:val="auto"/>
        <w:outlineLvl w:val="1"/>
        <w:rPr>
          <w:rFonts w:eastAsia="方正楷体_GBK"/>
          <w:iCs/>
          <w:sz w:val="32"/>
          <w:szCs w:val="36"/>
        </w:rPr>
      </w:pPr>
      <w:r>
        <w:rPr>
          <w:rFonts w:eastAsia="方正楷体_GBK"/>
          <w:iCs/>
          <w:sz w:val="32"/>
          <w:szCs w:val="36"/>
        </w:rPr>
        <w:t>第一节</w:t>
      </w:r>
      <w:r>
        <w:rPr>
          <w:rFonts w:hint="eastAsia" w:eastAsia="方正楷体_GBK"/>
          <w:iCs/>
          <w:sz w:val="32"/>
          <w:szCs w:val="36"/>
          <w:lang w:val="en-US" w:eastAsia="zh-CN"/>
        </w:rPr>
        <w:t xml:space="preserve"> </w:t>
      </w:r>
      <w:r>
        <w:rPr>
          <w:rFonts w:eastAsia="方正楷体_GBK"/>
          <w:iCs/>
          <w:sz w:val="32"/>
          <w:szCs w:val="36"/>
        </w:rPr>
        <w:t xml:space="preserve"> 建立健全巩固拓展脱贫</w:t>
      </w:r>
      <w:r>
        <w:rPr>
          <w:rFonts w:hint="eastAsia" w:eastAsia="方正楷体_GBK"/>
          <w:iCs/>
          <w:sz w:val="32"/>
          <w:szCs w:val="36"/>
        </w:rPr>
        <w:t>攻坚</w:t>
      </w:r>
      <w:r>
        <w:rPr>
          <w:rFonts w:eastAsia="方正楷体_GBK"/>
          <w:iCs/>
          <w:sz w:val="32"/>
          <w:szCs w:val="36"/>
        </w:rPr>
        <w:t>成果长效机制</w:t>
      </w:r>
    </w:p>
    <w:p w14:paraId="17B136F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bookmarkStart w:id="16" w:name="_Hlk76371713"/>
      <w:r>
        <w:rPr>
          <w:rFonts w:eastAsia="方正仿宋_GBK"/>
          <w:sz w:val="32"/>
          <w:szCs w:val="32"/>
        </w:rPr>
        <w:t>坚决守住不发生规模性返贫底线，健全防止返贫动态监测和帮扶机制，对脱贫不稳定户、突发困难户、边缘易致贫户，以及农村低保、放散供养、因病因灾因意外事故等刚性支出较大或收入大幅缩减导致基本生活出现严重困难户，开展定期检查、动态管理。健全完善易致贫人口快速发现和响应机制，及时开展政策帮扶，实行动态清零。巩固“两不愁三保障”成果，持续开展农村义务教育控辍保学专项行动，完善医疗救助分类资助政策和家庭医生签约服务，建立住房安全动态监测机制，实施农村饮水安全保障提升工程。加强扶贫项目资产管理和监督，进一步明确公益性资产管护主体和经营性资产产权关系，确保公益性资产持续发挥作用、经营性资产不流失或不被侵占。全面推进5个县级重点帮扶乡镇和10个县级重点帮扶村的工作，常态化推进重点帮扶区域产业发展、消费扶贫工作，保障帮助和扶持力度不减不少。</w:t>
      </w:r>
    </w:p>
    <w:bookmarkEnd w:id="16"/>
    <w:p w14:paraId="31F70411">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center"/>
        <w:textAlignment w:val="auto"/>
        <w:outlineLvl w:val="1"/>
        <w:rPr>
          <w:rFonts w:eastAsia="方正楷体_GBK"/>
          <w:iCs/>
          <w:sz w:val="32"/>
          <w:szCs w:val="36"/>
        </w:rPr>
      </w:pPr>
      <w:bookmarkStart w:id="17" w:name="_Toc108078351"/>
      <w:bookmarkStart w:id="18" w:name="_Toc72332055"/>
      <w:bookmarkStart w:id="19" w:name="_Toc66736517"/>
      <w:r>
        <w:rPr>
          <w:rFonts w:eastAsia="方正楷体_GBK"/>
          <w:iCs/>
          <w:sz w:val="32"/>
          <w:szCs w:val="36"/>
        </w:rPr>
        <w:t>第二节</w:t>
      </w:r>
      <w:r>
        <w:rPr>
          <w:rFonts w:hint="eastAsia" w:eastAsia="方正楷体_GBK"/>
          <w:iCs/>
          <w:sz w:val="32"/>
          <w:szCs w:val="36"/>
          <w:lang w:val="en-US" w:eastAsia="zh-CN"/>
        </w:rPr>
        <w:t xml:space="preserve"> </w:t>
      </w:r>
      <w:r>
        <w:rPr>
          <w:rFonts w:eastAsia="方正楷体_GBK"/>
          <w:iCs/>
          <w:sz w:val="32"/>
          <w:szCs w:val="36"/>
        </w:rPr>
        <w:t xml:space="preserve"> 提升脱贫地区整体发展水平</w:t>
      </w:r>
      <w:bookmarkEnd w:id="17"/>
      <w:bookmarkEnd w:id="18"/>
      <w:bookmarkEnd w:id="19"/>
    </w:p>
    <w:p w14:paraId="27E1582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sz w:val="32"/>
          <w:szCs w:val="32"/>
        </w:rPr>
        <w:t>突出产业联农带农作用，完善产业利益联结机制，发挥</w:t>
      </w:r>
      <w:r>
        <w:rPr>
          <w:rFonts w:hint="eastAsia" w:eastAsia="方正仿宋_GBK"/>
          <w:sz w:val="32"/>
          <w:szCs w:val="32"/>
        </w:rPr>
        <w:t>巩固拓展脱贫攻坚成果同乡村振兴有效衔接</w:t>
      </w:r>
      <w:r>
        <w:rPr>
          <w:rFonts w:eastAsia="方正仿宋_GBK"/>
          <w:sz w:val="32"/>
          <w:szCs w:val="32"/>
        </w:rPr>
        <w:t>的积极作用。积极营造全社会消费帮扶氛围，引导企事业单位参与消费帮扶，建设消费扶贫体验馆，打造直播消费平台。大力发展乡村特色产业，持续增强脱贫地区和农村群众内生造血功能，优先支持脱贫地区创建现代农业产业园、农业科技园区、星创天地、产业融合发展示范园、产业强镇等产业发展平台。促进脱贫人口稳定就业，健全用工信息平台，延续支持扶贫车间的优惠政策，深入实施农村创新创业带头人培育行动。持续改善脱贫地区基础设施条件，推动建设一批路、水、电、气、迅、环保等重大基础设施建设工程。全面实施乡村建设行动，大力改善脱贫地区农村人居环境和基础设施条件。进一步提升脱贫地区公共服务水平，持续改善脱贫地区教育条件，保持现有健康帮扶政策基本稳定，加强脱贫地区村级综合服务设施建设。</w:t>
      </w:r>
    </w:p>
    <w:p w14:paraId="730CD5B7">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center"/>
        <w:textAlignment w:val="auto"/>
        <w:outlineLvl w:val="1"/>
        <w:rPr>
          <w:rFonts w:eastAsia="方正楷体_GBK"/>
          <w:iCs/>
          <w:sz w:val="32"/>
          <w:szCs w:val="36"/>
        </w:rPr>
      </w:pPr>
      <w:bookmarkStart w:id="20" w:name="_Toc76217842"/>
      <w:bookmarkStart w:id="21" w:name="_Toc73564825"/>
      <w:bookmarkStart w:id="22" w:name="_Toc108078352"/>
      <w:r>
        <w:rPr>
          <w:rFonts w:eastAsia="方正楷体_GBK"/>
          <w:iCs/>
          <w:sz w:val="32"/>
          <w:szCs w:val="36"/>
        </w:rPr>
        <w:t>第三节</w:t>
      </w:r>
      <w:r>
        <w:rPr>
          <w:rFonts w:hint="eastAsia" w:eastAsia="方正楷体_GBK"/>
          <w:iCs/>
          <w:sz w:val="32"/>
          <w:szCs w:val="36"/>
          <w:lang w:val="en-US" w:eastAsia="zh-CN"/>
        </w:rPr>
        <w:t xml:space="preserve"> </w:t>
      </w:r>
      <w:r>
        <w:rPr>
          <w:rFonts w:eastAsia="方正楷体_GBK"/>
          <w:iCs/>
          <w:sz w:val="32"/>
          <w:szCs w:val="36"/>
        </w:rPr>
        <w:t xml:space="preserve"> 加强农村低收入人口常态化帮扶</w:t>
      </w:r>
      <w:bookmarkEnd w:id="20"/>
      <w:bookmarkEnd w:id="21"/>
      <w:bookmarkEnd w:id="22"/>
    </w:p>
    <w:p w14:paraId="0823587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sz w:val="32"/>
          <w:szCs w:val="32"/>
        </w:rPr>
        <w:t>以现有社会保障体系为基础，依托民政系统管理平台，发挥防止返贫大数据平台作用，开展农村低收入人口动态监测，完善定期核查和动态调整机制，做到早发现、早研判、早预警、早帮扶。分类实施帮扶，对有劳动能力人群坚持开发式帮扶，对丧失劳动能力人群强化保障性兜底帮扶。合理确定农村医疗保障待遇水平，统筹发挥基本医疗保险、大病保险、医疗救助三重保障制度综合梯次减负功能，合理控制救助对象政策范围内自付费用比例。完善城乡居民基本医疗保险资助政策，明确医疗费用救助标准。完善养老保障和儿童关爱服务，落实困难群体城乡基本养老保险费代缴政策，健全农村留守儿童、留守妇女、留守老人和残疾人关爱服务体系，健全残疾儿童康复救助制度。</w:t>
      </w:r>
    </w:p>
    <w:p w14:paraId="1BDFEF50">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center"/>
        <w:textAlignment w:val="auto"/>
        <w:outlineLvl w:val="1"/>
        <w:rPr>
          <w:rFonts w:eastAsia="方正楷体_GBK"/>
          <w:iCs/>
          <w:sz w:val="32"/>
          <w:szCs w:val="36"/>
        </w:rPr>
      </w:pPr>
      <w:bookmarkStart w:id="23" w:name="_Toc66736519"/>
      <w:bookmarkStart w:id="24" w:name="_Toc72332057"/>
      <w:bookmarkStart w:id="25" w:name="_Toc108078353"/>
      <w:r>
        <w:rPr>
          <w:rFonts w:eastAsia="方正楷体_GBK"/>
          <w:iCs/>
          <w:sz w:val="32"/>
          <w:szCs w:val="36"/>
        </w:rPr>
        <w:t>第四节</w:t>
      </w:r>
      <w:bookmarkEnd w:id="23"/>
      <w:bookmarkEnd w:id="24"/>
      <w:r>
        <w:rPr>
          <w:rFonts w:eastAsia="方正楷体_GBK"/>
          <w:iCs/>
          <w:sz w:val="32"/>
          <w:szCs w:val="36"/>
        </w:rPr>
        <w:t xml:space="preserve"> </w:t>
      </w:r>
      <w:r>
        <w:rPr>
          <w:rFonts w:hint="eastAsia" w:eastAsia="方正楷体_GBK"/>
          <w:iCs/>
          <w:sz w:val="32"/>
          <w:szCs w:val="36"/>
          <w:lang w:val="en-US" w:eastAsia="zh-CN"/>
        </w:rPr>
        <w:t xml:space="preserve"> </w:t>
      </w:r>
      <w:r>
        <w:rPr>
          <w:rFonts w:eastAsia="方正楷体_GBK"/>
          <w:iCs/>
          <w:sz w:val="32"/>
          <w:szCs w:val="36"/>
        </w:rPr>
        <w:t>争当全市乡村振兴排头兵</w:t>
      </w:r>
      <w:bookmarkEnd w:id="25"/>
    </w:p>
    <w:p w14:paraId="169D5C4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eastAsia="方正仿宋_GBK"/>
          <w:b/>
          <w:bCs/>
          <w:color w:val="000000"/>
          <w:sz w:val="32"/>
          <w:szCs w:val="32"/>
        </w:rPr>
        <w:t>高质量推进明月山乡村振兴示范带建设</w:t>
      </w:r>
      <w:r>
        <w:rPr>
          <w:rFonts w:eastAsia="方正仿宋_GBK"/>
          <w:b/>
          <w:bCs/>
          <w:sz w:val="32"/>
          <w:szCs w:val="32"/>
        </w:rPr>
        <w:t>。</w:t>
      </w:r>
      <w:r>
        <w:rPr>
          <w:rFonts w:eastAsia="方正仿宋_GBK"/>
          <w:sz w:val="32"/>
          <w:szCs w:val="32"/>
        </w:rPr>
        <w:t>全方位加强明月山生态保护，全链条壮大牡丹（芍药）产业，全区域推进森林康养旅游发展，分层分类推进乡村振兴。以澄溪镇、太平镇、桂阳街道、桂溪街道、沙坪镇、新民镇等6个乡镇为重点，在保证粮食和重要农产品生产不减的前提下，大力发展粮油、粮药轮作，扩大牡丹、芍药种植规模，发展休闲农业和乡村旅游。依托明月山林、水、城、花、果等优质生态资源，深度挖掘，山脚一带推行水稻—油菜、玉米—油菜轮作模式，打造彩色水稻、彩色油菜，构建百里彩田；衬山一带种植牡丹、芍药、李花、桃花等经济作物，打造花海长廊，构建百里彩花谷；内槽一带深入实施林相改造，种植红枫、银杏、杜鹃等彩色树种，发展森林康养、中医医养、民宿酒店等新兴业态，构建百里彩林。到2025年，乡村振兴示范区域农村常住居民人均可支配收到达到30000元以上，建设现代中医药标准化种植基地8000亩。</w:t>
      </w:r>
      <w:r>
        <w:t xml:space="preserve"> </w:t>
      </w:r>
    </w:p>
    <w:p w14:paraId="1CF14ED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color w:val="000000"/>
          <w:sz w:val="32"/>
          <w:szCs w:val="32"/>
        </w:rPr>
        <w:t>高要求推进大石乡乡村振兴示范点建设</w:t>
      </w:r>
      <w:r>
        <w:rPr>
          <w:rFonts w:eastAsia="方正仿宋_GBK"/>
          <w:b/>
          <w:bCs/>
          <w:sz w:val="32"/>
          <w:szCs w:val="32"/>
        </w:rPr>
        <w:t>。</w:t>
      </w:r>
      <w:r>
        <w:rPr>
          <w:rFonts w:eastAsia="方正仿宋_GBK"/>
          <w:sz w:val="32"/>
          <w:szCs w:val="32"/>
        </w:rPr>
        <w:t>以“大美石居、稻鱼果乡”为大石乡村振兴整体形象定位；倾力打造“国家稻渔示范区，西南第一石头村”品牌，努力形成“万亩稻渔、千户石居、竹韵果香、绿色大石”整体风貌；务实“全域推进、全面振兴、全县标杆、全市一流”的“四全”总体目标要求。提升农业发展质量，培育乡村发展新动能；推进乡村绿色发展，打造人与自然和谐共生发展新格局；繁荣兴盛农村文化，焕发乡风文明新气象；加强农村基层基础工作，构建乡村治理新体系；提高农村民生保障水平，塑造美丽乡村新风貌。推进法治、德治、自治“三治”融合，完善大石农村治理体系。统筹兼顾培育大石乡新型农业经营主体和扶持小农户，实现生产产业化、种植宜机化、种养科学化、经营信息化，实现小农户和现代农业发展有机衔接。</w:t>
      </w:r>
    </w:p>
    <w:p w14:paraId="30362AE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高标准推进新民、沙坪市级乡村振兴示范镇建设。</w:t>
      </w:r>
      <w:r>
        <w:rPr>
          <w:rFonts w:hint="eastAsia" w:ascii="方正仿宋_GBK" w:hAnsi="方正仿宋_GBK" w:eastAsia="方正仿宋_GBK" w:cs="方正仿宋_GBK"/>
          <w:bCs/>
          <w:sz w:val="32"/>
          <w:szCs w:val="32"/>
        </w:rPr>
        <w:t>高质高效发展现代产业，重点推进粮油制种、生猪、花椒、鲜切花、季节蔬菜等产业，提档升级产业发展基础设施，引进社会化服务组织，延长产业链，提成产业附加值。全域推进农村人居环境整治，重点围绕道路两侧、河道沿线、公共区域、房前屋后、荒山荒坡和改厨改厕，深入开展“五清理一活动”。建立完善农村污染防治和村庄长效管护机制，推进农村污染防治设施配套化、农房风貌化、饮水洁净化、村庄田园化、环卫清洁化，构建宜居宜业美丽乡村。大力扶持和壮大村级集体经济，着力发挥农村基层党组织政治功能和核心作用，促进村级集体经济持续健康发展，为实现乡村振兴提供原生动力。</w:t>
      </w:r>
    </w:p>
    <w:p w14:paraId="2EDFE64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color w:val="000000"/>
          <w:sz w:val="32"/>
          <w:szCs w:val="32"/>
        </w:rPr>
      </w:pPr>
      <w:r>
        <w:rPr>
          <w:rFonts w:eastAsia="方正仿宋_GBK"/>
          <w:b/>
          <w:color w:val="000000"/>
          <w:sz w:val="32"/>
          <w:szCs w:val="32"/>
        </w:rPr>
        <w:t>分层分类推进乡村振兴示范村建设。</w:t>
      </w:r>
      <w:r>
        <w:rPr>
          <w:rFonts w:eastAsia="方正仿宋_GBK"/>
          <w:color w:val="000000"/>
          <w:sz w:val="32"/>
          <w:szCs w:val="32"/>
        </w:rPr>
        <w:t>建设县、乡镇两个层级的乡村振兴示范村。打造新民明月、新民双河口、沙坪毕桥、周嘉骑龙、高安东桥、长龙长久、太平牡丹、高峰大井、白家湖滨、坪山新风等10个县级示范村，按照“产业兴旺、生态宜居、乡风文明、治理有效、生活富裕”总要求，统筹推进五个振兴。26个乡镇（街道）分别建设一个镇级示范村，按</w:t>
      </w:r>
      <w:r>
        <w:rPr>
          <w:rFonts w:hint="eastAsia" w:eastAsia="方正仿宋_GBK"/>
          <w:color w:val="000000"/>
          <w:sz w:val="32"/>
          <w:szCs w:val="32"/>
          <w:lang w:eastAsia="zh-CN"/>
        </w:rPr>
        <w:t>“</w:t>
      </w:r>
      <w:r>
        <w:rPr>
          <w:rFonts w:eastAsia="方正仿宋_GBK"/>
          <w:color w:val="000000"/>
          <w:sz w:val="32"/>
          <w:szCs w:val="32"/>
        </w:rPr>
        <w:t>突出特色，因地制宜、缺啥补啥</w:t>
      </w:r>
      <w:r>
        <w:rPr>
          <w:rFonts w:hint="eastAsia" w:eastAsia="方正仿宋_GBK"/>
          <w:color w:val="000000"/>
          <w:sz w:val="32"/>
          <w:szCs w:val="32"/>
          <w:lang w:eastAsia="zh-CN"/>
        </w:rPr>
        <w:t>”</w:t>
      </w:r>
      <w:r>
        <w:rPr>
          <w:rFonts w:eastAsia="方正仿宋_GBK"/>
          <w:color w:val="000000"/>
          <w:sz w:val="32"/>
          <w:szCs w:val="32"/>
        </w:rPr>
        <w:t>原则，先行先试，探索符合本地特色的乡村振兴之路。</w:t>
      </w:r>
    </w:p>
    <w:p w14:paraId="4BDB269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eastAsia="方正黑体_GBK"/>
          <w:sz w:val="32"/>
          <w:szCs w:val="22"/>
        </w:rPr>
      </w:pPr>
      <w:bookmarkStart w:id="26" w:name="_Toc72825894"/>
      <w:bookmarkStart w:id="27" w:name="_Toc72182751"/>
      <w:bookmarkStart w:id="28" w:name="_Toc69833205"/>
      <w:bookmarkStart w:id="29" w:name="_Toc108078354"/>
      <w:r>
        <w:rPr>
          <w:rFonts w:eastAsia="方正黑体_GBK"/>
          <w:sz w:val="32"/>
          <w:szCs w:val="22"/>
        </w:rPr>
        <w:t xml:space="preserve">第三章 </w:t>
      </w:r>
      <w:r>
        <w:rPr>
          <w:rFonts w:hint="eastAsia" w:eastAsia="方正黑体_GBK"/>
          <w:sz w:val="32"/>
          <w:szCs w:val="22"/>
          <w:lang w:val="en-US" w:eastAsia="zh-CN"/>
        </w:rPr>
        <w:t xml:space="preserve"> </w:t>
      </w:r>
      <w:r>
        <w:rPr>
          <w:rFonts w:eastAsia="方正黑体_GBK"/>
          <w:sz w:val="32"/>
          <w:szCs w:val="22"/>
        </w:rPr>
        <w:t>保障粮油等重要农产品有效供给</w:t>
      </w:r>
      <w:bookmarkEnd w:id="26"/>
      <w:bookmarkEnd w:id="27"/>
      <w:bookmarkEnd w:id="28"/>
      <w:bookmarkEnd w:id="29"/>
    </w:p>
    <w:p w14:paraId="2033B65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lang w:bidi="zh-CN"/>
        </w:rPr>
      </w:pPr>
      <w:bookmarkStart w:id="30" w:name="_Toc69833208"/>
      <w:r>
        <w:rPr>
          <w:rFonts w:eastAsia="方正仿宋_GBK"/>
          <w:sz w:val="32"/>
          <w:szCs w:val="32"/>
          <w:lang w:bidi="zh-CN"/>
        </w:rPr>
        <w:t>毫不放松抓好粮食生产，推动“藏粮于地、藏粮于技”落实落地，落实粮食安全党政同责，确保粮食产量、面积只增不减，“米袋子”“菜篮子”货足价稳。</w:t>
      </w:r>
    </w:p>
    <w:p w14:paraId="230C9DA7">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center"/>
        <w:textAlignment w:val="auto"/>
        <w:outlineLvl w:val="1"/>
        <w:rPr>
          <w:rFonts w:eastAsia="方正楷体_GBK"/>
          <w:iCs/>
          <w:sz w:val="32"/>
          <w:szCs w:val="36"/>
          <w:lang w:bidi="zh-CN"/>
        </w:rPr>
      </w:pPr>
      <w:bookmarkStart w:id="31" w:name="_Toc72182752"/>
      <w:bookmarkStart w:id="32" w:name="_Toc72825895"/>
      <w:bookmarkStart w:id="33" w:name="_Toc108078355"/>
      <w:r>
        <w:rPr>
          <w:rFonts w:eastAsia="方正楷体_GBK"/>
          <w:iCs/>
          <w:sz w:val="32"/>
          <w:szCs w:val="36"/>
          <w:lang w:bidi="zh-CN"/>
        </w:rPr>
        <w:t xml:space="preserve">第一节 </w:t>
      </w:r>
      <w:r>
        <w:rPr>
          <w:rFonts w:hint="eastAsia" w:eastAsia="方正楷体_GBK"/>
          <w:iCs/>
          <w:sz w:val="32"/>
          <w:szCs w:val="36"/>
          <w:lang w:val="en-US" w:bidi="zh-CN"/>
        </w:rPr>
        <w:t xml:space="preserve"> </w:t>
      </w:r>
      <w:r>
        <w:rPr>
          <w:rFonts w:eastAsia="方正楷体_GBK"/>
          <w:iCs/>
          <w:sz w:val="32"/>
          <w:szCs w:val="36"/>
          <w:lang w:bidi="zh-CN"/>
        </w:rPr>
        <w:t>保障粮油生产</w:t>
      </w:r>
      <w:bookmarkEnd w:id="30"/>
      <w:bookmarkEnd w:id="31"/>
      <w:r>
        <w:rPr>
          <w:rFonts w:eastAsia="方正楷体_GBK"/>
          <w:iCs/>
          <w:sz w:val="32"/>
          <w:szCs w:val="36"/>
          <w:lang w:bidi="zh-CN"/>
        </w:rPr>
        <w:t>安全</w:t>
      </w:r>
      <w:bookmarkEnd w:id="32"/>
      <w:bookmarkEnd w:id="33"/>
    </w:p>
    <w:p w14:paraId="358B784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lang w:bidi="zh-CN"/>
        </w:rPr>
      </w:pPr>
      <w:bookmarkStart w:id="34" w:name="_Toc69833209"/>
      <w:r>
        <w:rPr>
          <w:rFonts w:eastAsia="方正仿宋_GBK"/>
          <w:sz w:val="32"/>
          <w:szCs w:val="32"/>
          <w:lang w:bidi="zh-CN"/>
        </w:rPr>
        <w:t>着力稳政策、稳面积、稳产量。严格落实耕地地力保护补贴等政策，确保粮食保种面积、总产量只增不减，充分调动农民种粮积极性，确保口粮绝对安全。全面落实粮食生产支持政策，落实种粮农民补贴，做好农业保险保障，确保农民种粮有收益。进一步调动农民种粮积极性，分类有序推进撂荒地利用，建立撂荒地信息台账，将具备条件的撂荒地纳入高标准农田建设范围，不断扩大粮食种植面积。大力推进大豆和油料产能提升工程，因地制宜推广玉米、大豆带状复合种植，充分挖掘冬闲田土种植潜力，积极扩种冬油菜、大豆、玉米，提升油料供给能力。创新经营方式，加快完善农业农村社会化服务体系，大力推进代耕代种、统防统治、土地托管等农业生产社会化服务，提高种粮规模效益。深入推进绿色高质高效示范创建，提升粮油种植区域基础设施和科技创新水平，稳步提高粮油单产水平。</w:t>
      </w:r>
    </w:p>
    <w:p w14:paraId="258F5365">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center"/>
        <w:textAlignment w:val="auto"/>
        <w:outlineLvl w:val="1"/>
        <w:rPr>
          <w:rFonts w:eastAsia="方正楷体_GBK"/>
          <w:iCs/>
          <w:sz w:val="32"/>
          <w:szCs w:val="36"/>
          <w:lang w:bidi="zh-CN"/>
        </w:rPr>
      </w:pPr>
      <w:bookmarkStart w:id="35" w:name="_Toc108078356"/>
      <w:bookmarkStart w:id="36" w:name="_Toc72182753"/>
      <w:bookmarkStart w:id="37" w:name="_Toc72825896"/>
      <w:r>
        <w:rPr>
          <w:rFonts w:eastAsia="方正楷体_GBK"/>
          <w:iCs/>
          <w:sz w:val="32"/>
          <w:szCs w:val="36"/>
          <w:lang w:bidi="zh-CN"/>
        </w:rPr>
        <w:t xml:space="preserve">第二节 </w:t>
      </w:r>
      <w:r>
        <w:rPr>
          <w:rFonts w:hint="eastAsia" w:eastAsia="方正楷体_GBK"/>
          <w:iCs/>
          <w:sz w:val="32"/>
          <w:szCs w:val="36"/>
          <w:lang w:val="en-US" w:bidi="zh-CN"/>
        </w:rPr>
        <w:t xml:space="preserve"> </w:t>
      </w:r>
      <w:r>
        <w:rPr>
          <w:rFonts w:eastAsia="方正楷体_GBK"/>
          <w:iCs/>
          <w:sz w:val="32"/>
          <w:szCs w:val="36"/>
          <w:lang w:bidi="zh-CN"/>
        </w:rPr>
        <w:t>增强畜禽</w:t>
      </w:r>
      <w:r>
        <w:rPr>
          <w:rFonts w:hint="eastAsia" w:eastAsia="方正楷体_GBK"/>
          <w:iCs/>
          <w:sz w:val="32"/>
          <w:szCs w:val="36"/>
          <w:lang w:bidi="zh-CN"/>
        </w:rPr>
        <w:t>水产</w:t>
      </w:r>
      <w:r>
        <w:rPr>
          <w:rFonts w:eastAsia="方正楷体_GBK"/>
          <w:iCs/>
          <w:sz w:val="32"/>
          <w:szCs w:val="36"/>
          <w:lang w:bidi="zh-CN"/>
        </w:rPr>
        <w:t>保障能力</w:t>
      </w:r>
      <w:bookmarkEnd w:id="34"/>
      <w:bookmarkEnd w:id="35"/>
      <w:bookmarkEnd w:id="36"/>
      <w:bookmarkEnd w:id="37"/>
    </w:p>
    <w:p w14:paraId="13864E6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lang w:bidi="zh-CN"/>
        </w:rPr>
      </w:pPr>
      <w:bookmarkStart w:id="38" w:name="_Toc69833210"/>
      <w:r>
        <w:rPr>
          <w:rFonts w:eastAsia="方正仿宋_GBK"/>
          <w:sz w:val="32"/>
          <w:szCs w:val="32"/>
          <w:lang w:bidi="zh-CN"/>
        </w:rPr>
        <w:t>加快构建生产高效、资源节约、环境友好、布局合理、产销协调的畜牧业高质量发展新格局。优化生猪产业发展布局，建立规模化、标准化、生态化、智慧化养殖基地，稳定扩张生猪产能，大力推动种养结合循环农业发展；调整优化畜产品结构，深化供给侧结构性改革，持续稳定适度规模发展牛羊禽蜂特色高效畜牧业；继续保持优势水产养殖规模，适度引进新品种，全面提高养殖技术，积极开展水产健康养殖示范场创建和产地产品认证，走绿色、生态、集约型发展道路。发展大水面生态渔业、稻渔综合种养，加快建设一批水产健康养殖示范场。强化重大动物疫病防控，引导养殖场（户）改善防疫条件，提升生物安全防护水平，建立筑牢防疫屏障，建设无疫区和无疫小区。开展标准化生猪屠宰场创建，完善猪肉冷链物流运输体系，推动运猪向运肉转变；大力发展畜产品精深加工，完善产加销产业体系，拓展延伸产业链。到2025年出栏生猪100万头、家禽800万羽（只）、草食牲畜5万头（只）、蜜蜂保有量3.5万群，水产品总产量稳定在2.5万吨，肉蛋奶蜜等各类畜产品产量持续稳定增长。</w:t>
      </w:r>
      <w:bookmarkStart w:id="39" w:name="_Toc72182754"/>
    </w:p>
    <w:p w14:paraId="518B19A2">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center"/>
        <w:textAlignment w:val="auto"/>
        <w:outlineLvl w:val="1"/>
        <w:rPr>
          <w:rFonts w:eastAsia="方正楷体_GBK"/>
          <w:iCs/>
          <w:sz w:val="32"/>
          <w:szCs w:val="36"/>
          <w:lang w:bidi="zh-CN"/>
        </w:rPr>
      </w:pPr>
      <w:bookmarkStart w:id="40" w:name="_Toc72825897"/>
      <w:bookmarkStart w:id="41" w:name="_Toc108078357"/>
      <w:r>
        <w:rPr>
          <w:rFonts w:eastAsia="方正楷体_GBK"/>
          <w:iCs/>
          <w:sz w:val="32"/>
          <w:szCs w:val="36"/>
          <w:lang w:bidi="zh-CN"/>
        </w:rPr>
        <w:t>第三节</w:t>
      </w:r>
      <w:r>
        <w:rPr>
          <w:rFonts w:hint="eastAsia" w:eastAsia="方正楷体_GBK"/>
          <w:iCs/>
          <w:sz w:val="32"/>
          <w:szCs w:val="36"/>
          <w:lang w:val="en-US" w:bidi="zh-CN"/>
        </w:rPr>
        <w:t xml:space="preserve"> </w:t>
      </w:r>
      <w:r>
        <w:rPr>
          <w:rFonts w:eastAsia="方正楷体_GBK"/>
          <w:iCs/>
          <w:sz w:val="32"/>
          <w:szCs w:val="36"/>
          <w:lang w:bidi="zh-CN"/>
        </w:rPr>
        <w:t xml:space="preserve"> 稳定提高蔬菜生产能力</w:t>
      </w:r>
      <w:bookmarkEnd w:id="38"/>
      <w:bookmarkEnd w:id="39"/>
      <w:bookmarkEnd w:id="40"/>
      <w:bookmarkEnd w:id="41"/>
    </w:p>
    <w:p w14:paraId="5FBD6E2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lang w:bidi="zh-CN"/>
        </w:rPr>
      </w:pPr>
      <w:bookmarkStart w:id="42" w:name="_Toc69833206"/>
      <w:r>
        <w:rPr>
          <w:rFonts w:eastAsia="方正仿宋_GBK"/>
          <w:sz w:val="32"/>
          <w:szCs w:val="32"/>
          <w:lang w:bidi="zh-CN"/>
        </w:rPr>
        <w:t>压实“菜篮子”责任制，大力推进蔬菜保供基地建设，按照“稳定大宗菜，增种错季菜，补充特色菜”的思路，进一步稳定露地大路菜生产，扩大设施精细菜规模，做大做强特色蔬菜。稳步推进设施蔬菜提升工程和“菜篮子”生产基地建设稳定榨菜、蜜本南瓜等大宗品种的种植面积，加速发展特色菜、速生菜、食用菌等优势品种，支持发展绿色、有机蔬菜等高端品种。到2025年，全县蔬菜种植适度扩大面值，促进产量增加，播种面积达到40万亩，蔬菜总产量达80万吨。</w:t>
      </w:r>
    </w:p>
    <w:bookmarkEnd w:id="42"/>
    <w:p w14:paraId="502671E5">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center"/>
        <w:textAlignment w:val="auto"/>
        <w:outlineLvl w:val="1"/>
        <w:rPr>
          <w:rFonts w:eastAsia="方正楷体_GBK"/>
          <w:b/>
          <w:bCs/>
          <w:iCs/>
          <w:sz w:val="32"/>
          <w:szCs w:val="36"/>
          <w:lang w:bidi="zh-CN"/>
        </w:rPr>
      </w:pPr>
      <w:bookmarkStart w:id="43" w:name="_Toc69833207"/>
      <w:bookmarkStart w:id="44" w:name="_Toc72825899"/>
      <w:bookmarkStart w:id="45" w:name="_Toc72182756"/>
      <w:bookmarkStart w:id="46" w:name="_Toc108078358"/>
      <w:r>
        <w:rPr>
          <w:rFonts w:eastAsia="方正楷体_GBK"/>
          <w:iCs/>
          <w:sz w:val="32"/>
          <w:szCs w:val="36"/>
          <w:lang w:bidi="zh-CN"/>
        </w:rPr>
        <w:t xml:space="preserve">第四节 </w:t>
      </w:r>
      <w:bookmarkEnd w:id="43"/>
      <w:bookmarkEnd w:id="44"/>
      <w:bookmarkEnd w:id="45"/>
      <w:r>
        <w:rPr>
          <w:rFonts w:hint="eastAsia" w:eastAsia="方正楷体_GBK"/>
          <w:iCs/>
          <w:sz w:val="32"/>
          <w:szCs w:val="36"/>
          <w:lang w:val="en-US" w:bidi="zh-CN"/>
        </w:rPr>
        <w:t xml:space="preserve"> </w:t>
      </w:r>
      <w:r>
        <w:rPr>
          <w:rFonts w:eastAsia="方正楷体_GBK"/>
          <w:iCs/>
          <w:sz w:val="32"/>
          <w:szCs w:val="36"/>
          <w:lang w:bidi="zh-CN"/>
        </w:rPr>
        <w:t>守住耕地保护底线</w:t>
      </w:r>
      <w:bookmarkEnd w:id="46"/>
    </w:p>
    <w:p w14:paraId="4AE58BE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lang w:bidi="zh-CN"/>
        </w:rPr>
      </w:pPr>
      <w:bookmarkStart w:id="47" w:name="_Toc69833211"/>
      <w:r>
        <w:rPr>
          <w:rFonts w:eastAsia="方正仿宋_GBK"/>
          <w:b/>
          <w:bCs/>
          <w:sz w:val="32"/>
          <w:szCs w:val="32"/>
          <w:lang w:bidi="zh-CN"/>
        </w:rPr>
        <w:t>加强耕地资源保护利用。</w:t>
      </w:r>
      <w:r>
        <w:rPr>
          <w:rFonts w:eastAsia="方正仿宋_GBK"/>
          <w:sz w:val="32"/>
          <w:szCs w:val="32"/>
          <w:lang w:bidi="zh-CN"/>
        </w:rPr>
        <w:t>健全耕地保护目标考核机制，严格落实耕地保护目标和永久基本农田保护任务。开展农村乱占耕地建房专项整治行动，巩固“大棚房”问题专项清理成果，强化工商资本流转农村土地全程监管机制。坚决遏制耕地“非农化”、严格管控“非粮化”，全面落实耕地占补平衡政策，保障县域内耕地年度“进出平衡”</w:t>
      </w:r>
      <w:r>
        <w:rPr>
          <w:rFonts w:eastAsia="方正仿宋_GBK"/>
          <w:color w:val="auto"/>
          <w:sz w:val="32"/>
          <w:szCs w:val="32"/>
          <w:u w:val="none"/>
          <w:lang w:bidi="zh-CN"/>
        </w:rPr>
        <w:t>。</w:t>
      </w:r>
      <w:r>
        <w:rPr>
          <w:rFonts w:hint="eastAsia" w:eastAsia="方正仿宋_GBK"/>
          <w:color w:val="auto"/>
          <w:sz w:val="32"/>
          <w:szCs w:val="32"/>
          <w:u w:val="none"/>
          <w:lang w:bidi="zh-CN"/>
        </w:rPr>
        <w:t>发挥地势相对平坦优势，开展土地整理试点，努力在全市耕地整理中走在前列、做出示范。</w:t>
      </w:r>
      <w:r>
        <w:rPr>
          <w:rFonts w:eastAsia="方正仿宋_GBK"/>
          <w:color w:val="auto"/>
          <w:sz w:val="32"/>
          <w:szCs w:val="32"/>
          <w:u w:val="none"/>
          <w:lang w:bidi="zh-CN"/>
        </w:rPr>
        <w:t>实</w:t>
      </w:r>
      <w:r>
        <w:rPr>
          <w:rFonts w:eastAsia="方正仿宋_GBK"/>
          <w:sz w:val="32"/>
          <w:szCs w:val="32"/>
          <w:lang w:bidi="zh-CN"/>
        </w:rPr>
        <w:t>施耕地质量提升行动，持续推广耕地质量提升技术，着力改善土壤理化性状，提高土壤有机质含量，提高耕地基础地力。推进土壤保水保肥，推广深松深耕和水肥一体化技术，提高保水保肥能力，实行节水节肥。到2025年，全县耕地面积稳定在108万</w:t>
      </w:r>
      <w:r>
        <w:rPr>
          <w:rFonts w:hint="eastAsia" w:eastAsia="方正仿宋_GBK"/>
          <w:sz w:val="32"/>
          <w:szCs w:val="32"/>
          <w:lang w:bidi="zh-CN"/>
        </w:rPr>
        <w:t>亩</w:t>
      </w:r>
      <w:r>
        <w:rPr>
          <w:rFonts w:eastAsia="方正仿宋_GBK"/>
          <w:sz w:val="32"/>
          <w:szCs w:val="32"/>
          <w:lang w:bidi="zh-CN"/>
        </w:rPr>
        <w:t>。</w:t>
      </w:r>
    </w:p>
    <w:p w14:paraId="61D45D6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lang w:bidi="zh-CN"/>
        </w:rPr>
      </w:pPr>
      <w:r>
        <w:rPr>
          <w:rFonts w:eastAsia="方正仿宋_GBK"/>
          <w:b/>
          <w:bCs/>
          <w:sz w:val="32"/>
          <w:szCs w:val="32"/>
          <w:lang w:bidi="zh-CN"/>
        </w:rPr>
        <w:t>统筹撂荒地利用与督促检查。</w:t>
      </w:r>
      <w:r>
        <w:rPr>
          <w:rFonts w:eastAsia="方正仿宋_GBK"/>
          <w:sz w:val="32"/>
          <w:szCs w:val="32"/>
          <w:lang w:bidi="zh-CN"/>
        </w:rPr>
        <w:t>建立信息台账，全面落实撂荒地实施方案，开发利用撂荒地。强化政策扶持，引导农民复耕撂荒地。加快基础设施建设，改善撂荒地耕种条件。健全农村土地经营权流转市场和产权交易市场，指导流转双方将防止耕地撂荒要求纳入流转合同内容。提升农业社会化服务水平，培育社会化服务组织，为外出务工和无力耕种的农户提供全程托管服务。加大宣传引导，宣传国家耕地保护法律法规和强农惠农富农政策，营造全社会遏制耕地撂荒的浓厚氛围。</w:t>
      </w:r>
    </w:p>
    <w:p w14:paraId="3C99ABD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lang w:bidi="zh-CN"/>
        </w:rPr>
      </w:pPr>
      <w:r>
        <w:rPr>
          <w:rFonts w:eastAsia="方正仿宋_GBK"/>
          <w:b/>
          <w:bCs/>
          <w:sz w:val="32"/>
          <w:szCs w:val="32"/>
          <w:lang w:bidi="zh-CN"/>
        </w:rPr>
        <w:t>强化土壤污染管控与修复。</w:t>
      </w:r>
      <w:r>
        <w:rPr>
          <w:rFonts w:eastAsia="方正仿宋_GBK"/>
          <w:sz w:val="32"/>
          <w:szCs w:val="32"/>
          <w:lang w:bidi="zh-CN"/>
        </w:rPr>
        <w:t>完成耕地土壤环境质量类别划分，健全农产品产地土壤环境质量监测网，加快推广安全利用技术，对重度污染耕地实施种植结构调整。完善耕地土壤环境质量调查成果，开展耕地土壤污染成因排查试点工作。持续加强农业投入品土壤污染源头控制，严防新增污染来源。加强农田灌溉用水管理，严禁污水灌溉。全面实施农用地分类管理，实施受污染农用地安全利用，推进严格管控类耕地种植结构调整或退耕还林还草。加快提高农田土壤污染防治基础能力，推动开展重金属污染耕地安全利用等关键技术研究及示范，总结提炼适宜于当地的技术模式，建立受污染耕地治理与修复和安全利用企业名录。</w:t>
      </w:r>
    </w:p>
    <w:p w14:paraId="67679D2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lang w:bidi="zh-CN"/>
        </w:rPr>
      </w:pPr>
      <w:r>
        <w:rPr>
          <w:rFonts w:eastAsia="方正仿宋_GBK"/>
          <w:b/>
          <w:bCs/>
          <w:sz w:val="32"/>
          <w:szCs w:val="32"/>
          <w:lang w:bidi="zh-CN"/>
        </w:rPr>
        <w:t>推进实施“千年良田”工程</w:t>
      </w:r>
      <w:r>
        <w:rPr>
          <w:rFonts w:eastAsia="方正仿宋_GBK"/>
          <w:sz w:val="32"/>
          <w:szCs w:val="32"/>
          <w:lang w:bidi="zh-CN"/>
        </w:rPr>
        <w:t>。以永久基本农田保护区、粮食生产功能区、重要农产品生产保护区和特色农产品优势区、种子基地为重点，加快建设高标准农田，巩固提高粮食综合生产能力。</w:t>
      </w:r>
      <w:bookmarkStart w:id="48" w:name="_Toc72182757"/>
      <w:r>
        <w:rPr>
          <w:rFonts w:eastAsia="方正仿宋_GBK"/>
          <w:sz w:val="32"/>
          <w:szCs w:val="32"/>
          <w:lang w:bidi="zh-CN"/>
        </w:rPr>
        <w:t>整乡整村集中连片宜机化改造，重点开展土地平整、土壤改良、灌溉排水、田间道路等工程建设，改造中低产田，健全高标准农田建后管护机制。以“七化”为目标，建设高标准农田示范区。加强高标准农田上图入库和全程监管。完善高标准农田管护机制，落实管护主体和管护责任。健全高标准农田改造更新机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14:paraId="46DF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5" w:type="dxa"/>
            <w:noWrap w:val="0"/>
            <w:vAlign w:val="top"/>
          </w:tcPr>
          <w:p w14:paraId="4B3914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sz w:val="21"/>
                <w:szCs w:val="21"/>
              </w:rPr>
            </w:pPr>
            <w:r>
              <w:rPr>
                <w:b/>
                <w:bCs/>
                <w:sz w:val="21"/>
                <w:szCs w:val="21"/>
              </w:rPr>
              <w:t>专栏1“千年良田”工程建设项目</w:t>
            </w:r>
          </w:p>
        </w:tc>
      </w:tr>
      <w:tr w14:paraId="4B81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5" w:type="dxa"/>
            <w:noWrap w:val="0"/>
            <w:vAlign w:val="top"/>
          </w:tcPr>
          <w:p w14:paraId="2A5272C6">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b/>
                <w:bCs/>
                <w:kern w:val="0"/>
                <w:sz w:val="21"/>
                <w:szCs w:val="21"/>
              </w:rPr>
            </w:pPr>
            <w:r>
              <w:rPr>
                <w:b/>
                <w:bCs/>
                <w:kern w:val="0"/>
                <w:sz w:val="21"/>
                <w:szCs w:val="21"/>
              </w:rPr>
              <w:t>宜机化改造。</w:t>
            </w:r>
            <w:r>
              <w:rPr>
                <w:kern w:val="0"/>
                <w:sz w:val="21"/>
                <w:szCs w:val="21"/>
              </w:rPr>
              <w:t>按照地块小改大、零并整、梯改缓、短并长、弯变直，开展农田宜机化改造10万亩，大幅改善机械化生产作业条件。</w:t>
            </w:r>
          </w:p>
          <w:p w14:paraId="6B0ECE74">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b/>
                <w:bCs/>
                <w:sz w:val="21"/>
                <w:szCs w:val="21"/>
              </w:rPr>
            </w:pPr>
            <w:r>
              <w:rPr>
                <w:b/>
                <w:bCs/>
                <w:kern w:val="0"/>
                <w:sz w:val="21"/>
                <w:szCs w:val="21"/>
              </w:rPr>
              <w:t>高标准农田。</w:t>
            </w:r>
            <w:r>
              <w:rPr>
                <w:kern w:val="0"/>
                <w:sz w:val="21"/>
                <w:szCs w:val="21"/>
              </w:rPr>
              <w:t>按照宜机化、水利化、生态化、园田化、规模化、标准化、智能化“七化”要求，建成高标准农田30万亩，建成3个以上的万亩级高标准农田示范片。</w:t>
            </w:r>
          </w:p>
        </w:tc>
      </w:tr>
      <w:bookmarkEnd w:id="47"/>
      <w:bookmarkEnd w:id="48"/>
    </w:tbl>
    <w:p w14:paraId="7DCD26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49" w:name="_Toc50559167"/>
      <w:bookmarkStart w:id="50" w:name="_Toc108078359"/>
      <w:bookmarkStart w:id="51" w:name="_Hlk75698544"/>
      <w:r>
        <w:rPr>
          <w:rFonts w:eastAsia="方正楷体_GBK"/>
          <w:sz w:val="32"/>
          <w:szCs w:val="22"/>
        </w:rPr>
        <w:t>第五节</w:t>
      </w:r>
      <w:bookmarkEnd w:id="49"/>
      <w:r>
        <w:rPr>
          <w:rFonts w:eastAsia="方正楷体_GBK"/>
          <w:sz w:val="32"/>
          <w:szCs w:val="22"/>
        </w:rPr>
        <w:t xml:space="preserve"> </w:t>
      </w:r>
      <w:r>
        <w:rPr>
          <w:rFonts w:hint="eastAsia" w:eastAsia="方正楷体_GBK"/>
          <w:sz w:val="32"/>
          <w:szCs w:val="22"/>
          <w:lang w:val="en-US" w:eastAsia="zh-CN"/>
        </w:rPr>
        <w:t xml:space="preserve"> </w:t>
      </w:r>
      <w:r>
        <w:rPr>
          <w:rFonts w:eastAsia="方正楷体_GBK"/>
          <w:sz w:val="32"/>
          <w:szCs w:val="22"/>
        </w:rPr>
        <w:t>提升农业抗风险能力</w:t>
      </w:r>
      <w:bookmarkEnd w:id="50"/>
    </w:p>
    <w:p w14:paraId="39B5CDE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提高农村设防抵灾能力。</w:t>
      </w:r>
      <w:r>
        <w:rPr>
          <w:rFonts w:eastAsia="方正仿宋_GBK"/>
          <w:kern w:val="0"/>
          <w:sz w:val="32"/>
          <w:szCs w:val="32"/>
        </w:rPr>
        <w:t>积极推进现代气象为农服务体系建设，运用“智慧农业·数字农村”气象支撑工程，完善基础设施建设，打造农业精准应急防御应急体系。加强农村森林防火、山洪地质灾害等预测预警能力建设，加强县级救灾物资储备库建设，健全完善气象、地震、国土、供电、供水、交通和通信等部门的灾害风险预测预警、抗灾救灾管理等信息共享平台和预</w:t>
      </w:r>
      <w:r>
        <w:rPr>
          <w:rFonts w:eastAsia="方正仿宋_GBK"/>
          <w:sz w:val="32"/>
          <w:szCs w:val="32"/>
        </w:rPr>
        <w:t>警联动机制，提高应对灾害的综合效益。</w:t>
      </w:r>
      <w:r>
        <w:rPr>
          <w:rFonts w:eastAsia="方正仿宋_GBK"/>
          <w:sz w:val="32"/>
          <w:szCs w:val="20"/>
        </w:rPr>
        <w:t>加强农村地质灾害防灾减灾体系建设，完善地质灾害群策群防体系。</w:t>
      </w:r>
      <w:r>
        <w:rPr>
          <w:rFonts w:eastAsia="方正仿宋_GBK"/>
          <w:sz w:val="32"/>
          <w:szCs w:val="32"/>
        </w:rPr>
        <w:t>加强农村防灾减灾救灾应急力量、日常巡护等公益岗位队伍建设。</w:t>
      </w:r>
    </w:p>
    <w:p w14:paraId="59BA4E0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提升收储调控能力。</w:t>
      </w:r>
      <w:r>
        <w:rPr>
          <w:rFonts w:eastAsia="方正仿宋_GBK"/>
          <w:sz w:val="32"/>
          <w:szCs w:val="32"/>
        </w:rPr>
        <w:t>压实生产责任，落实“米袋子”“菜篮子”产品储备制度，健全政府储备体系。加强收储能力建设，确保“有仓收粮”。健全粮食产后服务体系，构建集生产、收购、储存、加工、物流、销售于一体的粮油流通体系。稳定粮食供给渠道，健全粮食应急体系，促进粮食市场体系规划建设，稳步扩大应急供应网点、应急加工企业、主食加工企业规模。促进“菜篮子”产品市场信息监测制度和预警机制建设，积极提供“菜篮子”产品信息。</w:t>
      </w:r>
    </w:p>
    <w:p w14:paraId="20F9C66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加强防灾减灾宣传教育。</w:t>
      </w:r>
      <w:r>
        <w:rPr>
          <w:rFonts w:eastAsia="方正仿宋_GBK"/>
          <w:sz w:val="32"/>
          <w:szCs w:val="32"/>
        </w:rPr>
        <w:t>发展农村防灾减灾救灾志愿者队伍，充分发挥志愿者在农村防灾减灾防灾中的宣传培训、应急演练和应急处置等方面的作用，提高志愿者队伍的救援能力。开展好</w:t>
      </w:r>
      <w:r>
        <w:rPr>
          <w:rFonts w:hint="eastAsia" w:eastAsia="方正仿宋_GBK"/>
          <w:sz w:val="32"/>
          <w:szCs w:val="32"/>
        </w:rPr>
        <w:t>全国防灾减灾日</w:t>
      </w:r>
      <w:bookmarkStart w:id="167" w:name="_GoBack"/>
      <w:bookmarkEnd w:id="167"/>
      <w:r>
        <w:rPr>
          <w:rFonts w:eastAsia="方正仿宋_GBK"/>
          <w:sz w:val="32"/>
          <w:szCs w:val="32"/>
        </w:rPr>
        <w:t>宣传教育活动，充分利用各种媒体手段，广泛宣传灾害防治知识和政策，开展防灾减灾救灾知识培训，增强监测预警、防灾避险等互救自救能力。</w:t>
      </w:r>
    </w:p>
    <w:p w14:paraId="1433BDC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健全农业再保险制度。</w:t>
      </w:r>
      <w:r>
        <w:rPr>
          <w:rFonts w:eastAsia="方正仿宋_GBK"/>
          <w:sz w:val="32"/>
          <w:szCs w:val="32"/>
        </w:rPr>
        <w:t>推动农业保险高质量发展，推进政策性农业保险扩面、增品、提标，稳步扩大稻谷、玉米、生猪等大宗农产品保险覆盖面，因地制宜在全县开展优势特色农产品保险。探索完全成本保险和收入保险试点，扩大“保险+期货”试点，探索“订单农业+保险+期货（权）”试点，发挥农业再保险功能解决可持续发展问题，进一步加强农业保险增信功能解决农户贷款难问题。</w:t>
      </w:r>
    </w:p>
    <w:bookmarkEnd w:id="51"/>
    <w:p w14:paraId="05C549A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eastAsia="方正黑体_GBK"/>
          <w:sz w:val="32"/>
          <w:szCs w:val="22"/>
        </w:rPr>
      </w:pPr>
      <w:bookmarkStart w:id="52" w:name="_Toc108078360"/>
      <w:r>
        <w:rPr>
          <w:rFonts w:eastAsia="方正黑体_GBK"/>
          <w:sz w:val="32"/>
          <w:szCs w:val="22"/>
        </w:rPr>
        <w:t xml:space="preserve">第四章 </w:t>
      </w:r>
      <w:r>
        <w:rPr>
          <w:rFonts w:hint="eastAsia" w:eastAsia="方正黑体_GBK"/>
          <w:sz w:val="32"/>
          <w:szCs w:val="22"/>
          <w:lang w:val="en-US" w:eastAsia="zh-CN"/>
        </w:rPr>
        <w:t xml:space="preserve"> </w:t>
      </w:r>
      <w:r>
        <w:rPr>
          <w:rFonts w:eastAsia="方正黑体_GBK"/>
          <w:sz w:val="32"/>
          <w:szCs w:val="22"/>
        </w:rPr>
        <w:t>构建现代高效特色农业产业体系</w:t>
      </w:r>
      <w:bookmarkEnd w:id="52"/>
      <w:bookmarkStart w:id="53" w:name="_Toc47285780"/>
      <w:bookmarkStart w:id="54" w:name="_Toc48407529"/>
    </w:p>
    <w:p w14:paraId="2EB1929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sz w:val="32"/>
          <w:szCs w:val="32"/>
        </w:rPr>
        <w:t>积极融入现代成渝现代产业带建设，优化区域产业布局，推进农业现代化示范区建设，培育壮大粮油、生猪主导产业，积极发展优势产业和特色产业，依托现有产业基础，发展农产品加工和乡村旅游，延伸产业链，促进现代农业融合发展，构建现代高效</w:t>
      </w:r>
      <w:r>
        <w:rPr>
          <w:rFonts w:hint="eastAsia" w:eastAsia="方正仿宋_GBK"/>
          <w:sz w:val="32"/>
          <w:szCs w:val="32"/>
        </w:rPr>
        <w:t>特色</w:t>
      </w:r>
      <w:r>
        <w:rPr>
          <w:rFonts w:eastAsia="方正仿宋_GBK"/>
          <w:sz w:val="32"/>
          <w:szCs w:val="32"/>
        </w:rPr>
        <w:t>农业产业体系。</w:t>
      </w:r>
    </w:p>
    <w:p w14:paraId="5B0A4AB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55" w:name="_Toc108078361"/>
      <w:r>
        <w:rPr>
          <w:rFonts w:eastAsia="方正楷体_GBK"/>
          <w:sz w:val="32"/>
          <w:szCs w:val="22"/>
        </w:rPr>
        <w:t xml:space="preserve">第一节 </w:t>
      </w:r>
      <w:r>
        <w:rPr>
          <w:rFonts w:hint="eastAsia" w:eastAsia="方正楷体_GBK"/>
          <w:sz w:val="32"/>
          <w:szCs w:val="22"/>
          <w:lang w:val="en-US" w:eastAsia="zh-CN"/>
        </w:rPr>
        <w:t xml:space="preserve"> </w:t>
      </w:r>
      <w:r>
        <w:rPr>
          <w:rFonts w:eastAsia="方正楷体_GBK"/>
          <w:sz w:val="32"/>
          <w:szCs w:val="22"/>
        </w:rPr>
        <w:t>积极融入成渝现代高效特色农业带</w:t>
      </w:r>
      <w:bookmarkEnd w:id="55"/>
    </w:p>
    <w:p w14:paraId="6821867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sz w:val="32"/>
          <w:szCs w:val="32"/>
        </w:rPr>
        <w:t>大力发展优质特色粮油，加强与邻水、广安、大竹、长寿等周边区县联动，携手推进区域农业农村高质量发展，推进国家粮食安全产业带和优质粮油保障基地建设。积极融入国家优质商品猪产业集群，协同打造国家重要的生猪生产基地。探索与邻水共建农业现代化合作示范园，鼓励和引导两地新型农业经营主体组建农业产业化联合体、行业协会，实现抱团发展。大力发展特色柑橘（晚柚）产业，协同广安、长寿、梁平、丰都打造成渝地区柚类产业集聚发展优势区。做强“垫江白柚”“垫江丹皮”等地理标志农产品，围绕优质粮油、特色柑橘（晚柚）、绿色蔬菜、鲜切花、生猪、肉鹅、有机生态鱼等重点产业，共创成渝现代高效特色农业带。</w:t>
      </w:r>
    </w:p>
    <w:p w14:paraId="6D84987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color w:val="000000"/>
          <w:sz w:val="32"/>
          <w:szCs w:val="22"/>
        </w:rPr>
      </w:pPr>
      <w:bookmarkStart w:id="56" w:name="_Toc108078362"/>
      <w:r>
        <w:rPr>
          <w:rFonts w:eastAsia="方正楷体_GBK"/>
          <w:color w:val="000000"/>
          <w:sz w:val="32"/>
          <w:szCs w:val="22"/>
        </w:rPr>
        <w:t>第二节</w:t>
      </w:r>
      <w:r>
        <w:rPr>
          <w:rFonts w:hint="eastAsia" w:eastAsia="方正楷体_GBK"/>
          <w:color w:val="000000"/>
          <w:sz w:val="32"/>
          <w:szCs w:val="22"/>
          <w:lang w:val="en-US" w:eastAsia="zh-CN"/>
        </w:rPr>
        <w:t xml:space="preserve"> </w:t>
      </w:r>
      <w:r>
        <w:rPr>
          <w:rFonts w:eastAsia="方正楷体_GBK"/>
          <w:color w:val="000000"/>
          <w:sz w:val="32"/>
          <w:szCs w:val="22"/>
        </w:rPr>
        <w:t xml:space="preserve"> 创建国家农业现代化示范区</w:t>
      </w:r>
      <w:bookmarkEnd w:id="56"/>
    </w:p>
    <w:bookmarkEnd w:id="53"/>
    <w:p w14:paraId="140091C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color w:val="FF0000"/>
        </w:rPr>
      </w:pPr>
      <w:r>
        <w:rPr>
          <w:rFonts w:eastAsia="方正仿宋_GBK"/>
          <w:color w:val="000000"/>
          <w:sz w:val="32"/>
          <w:szCs w:val="32"/>
        </w:rPr>
        <w:t>围绕粮食产业体系、生产体系、经营体系现代化，全面推进高标准农田建设、现代农机具应用、现代高素质农民培育等重点任务，实施粮食生产科技创新，深化粮—粮、粮—油、粮—菜、粮—猪等多种轮作、复种和循环模式，拉长粮食产学研、产加销、农文旅融合发展产业链条，创建国家农业现代化示范区。</w:t>
      </w:r>
      <w:r>
        <w:rPr>
          <w:color w:val="FF0000"/>
        </w:rPr>
        <w:t xml:space="preserve"> </w:t>
      </w:r>
    </w:p>
    <w:p w14:paraId="50D5E7DA">
      <w:pPr>
        <w:keepNext w:val="0"/>
        <w:keepLines w:val="0"/>
        <w:pageBreakBefore w:val="0"/>
        <w:widowControl w:val="0"/>
        <w:kinsoku/>
        <w:wordWrap/>
        <w:overflowPunct/>
        <w:topLinePunct w:val="0"/>
        <w:autoSpaceDE/>
        <w:autoSpaceDN/>
        <w:bidi w:val="0"/>
        <w:adjustRightInd/>
        <w:snapToGrid/>
        <w:spacing w:line="240" w:lineRule="auto"/>
        <w:ind w:firstLine="790" w:firstLineChars="250"/>
        <w:textAlignment w:val="auto"/>
        <w:rPr>
          <w:rFonts w:eastAsia="方正仿宋_GBK"/>
          <w:color w:val="000000"/>
          <w:sz w:val="32"/>
          <w:szCs w:val="32"/>
        </w:rPr>
      </w:pPr>
      <w:r>
        <w:rPr>
          <w:rFonts w:eastAsia="方正仿宋_GBK"/>
          <w:b/>
          <w:bCs/>
          <w:color w:val="000000"/>
          <w:sz w:val="32"/>
          <w:szCs w:val="32"/>
        </w:rPr>
        <w:t>实施“五个聚焦</w:t>
      </w:r>
      <w:r>
        <w:rPr>
          <w:rFonts w:eastAsia="方正仿宋_GBK"/>
          <w:color w:val="000000"/>
          <w:sz w:val="32"/>
          <w:szCs w:val="32"/>
        </w:rPr>
        <w:t>”。</w:t>
      </w:r>
      <w:r>
        <w:rPr>
          <w:rFonts w:eastAsia="方正仿宋_GBK"/>
          <w:b/>
          <w:bCs/>
          <w:color w:val="000000"/>
          <w:sz w:val="32"/>
          <w:szCs w:val="32"/>
        </w:rPr>
        <w:t>聚焦耕地种子，强化基础支撑</w:t>
      </w:r>
      <w:r>
        <w:rPr>
          <w:rFonts w:eastAsia="方正仿宋_GBK"/>
          <w:color w:val="000000"/>
          <w:sz w:val="32"/>
          <w:szCs w:val="32"/>
        </w:rPr>
        <w:t>，大规模实施高标准农田建设和提质改造，推动高标准农田增至89万亩。实施种业提振行动，建设高标准水稻制种基地5万亩、高标准油菜制种基地1万亩。</w:t>
      </w:r>
      <w:r>
        <w:rPr>
          <w:rFonts w:eastAsia="方正仿宋_GBK"/>
          <w:b/>
          <w:bCs/>
          <w:color w:val="000000"/>
          <w:sz w:val="32"/>
          <w:szCs w:val="32"/>
        </w:rPr>
        <w:t>聚焦资源禀赋，推进产业集聚，</w:t>
      </w:r>
      <w:r>
        <w:rPr>
          <w:rFonts w:eastAsia="方正仿宋_GBK"/>
          <w:color w:val="000000"/>
          <w:sz w:val="32"/>
          <w:szCs w:val="32"/>
        </w:rPr>
        <w:t>引导农作物种业向北部平坝地区集聚、粮油轮作向中部浅丘地区集聚、粮菜轮作向南部高台地区集聚、粮药（油）轮作向明月山沿线集聚，促进优势产业与优势区域结合。</w:t>
      </w:r>
      <w:r>
        <w:rPr>
          <w:rFonts w:eastAsia="方正仿宋_GBK"/>
          <w:b/>
          <w:bCs/>
          <w:color w:val="000000"/>
          <w:sz w:val="32"/>
          <w:szCs w:val="32"/>
        </w:rPr>
        <w:t>聚焦链条功能，推进产业融合</w:t>
      </w:r>
      <w:r>
        <w:rPr>
          <w:rFonts w:eastAsia="方正仿宋_GBK"/>
          <w:color w:val="000000"/>
          <w:sz w:val="32"/>
          <w:szCs w:val="32"/>
        </w:rPr>
        <w:t>，聚焦产学研，加强与科研院所深度合作，搭建粮油新品种研发创新平台；聚焦产加销，建设7平方公里加工园区，打造粮食加工企业集群；聚焦村镇城，建设电商（直播带货）基地。</w:t>
      </w:r>
      <w:r>
        <w:rPr>
          <w:rFonts w:eastAsia="方正仿宋_GBK"/>
          <w:b/>
          <w:bCs/>
          <w:color w:val="000000"/>
          <w:sz w:val="32"/>
          <w:szCs w:val="32"/>
        </w:rPr>
        <w:t>聚焦低碳循环，推动绿色发展，</w:t>
      </w:r>
      <w:r>
        <w:rPr>
          <w:rFonts w:eastAsia="方正仿宋_GBK"/>
          <w:color w:val="000000"/>
          <w:sz w:val="32"/>
          <w:szCs w:val="32"/>
        </w:rPr>
        <w:t>实施种养循环、化肥农药减量使用、农作物秸秆综合利用，打造绿色品牌。</w:t>
      </w:r>
      <w:r>
        <w:rPr>
          <w:rFonts w:eastAsia="方正仿宋_GBK"/>
          <w:b/>
          <w:bCs/>
          <w:color w:val="000000"/>
          <w:sz w:val="32"/>
          <w:szCs w:val="32"/>
        </w:rPr>
        <w:t>聚焦设施装备，发展智慧农业</w:t>
      </w:r>
      <w:r>
        <w:rPr>
          <w:rFonts w:eastAsia="方正仿宋_GBK"/>
          <w:color w:val="000000"/>
          <w:sz w:val="32"/>
          <w:szCs w:val="32"/>
        </w:rPr>
        <w:t>，推进农机农艺融合，开展全程机械化作业。突破薄弱环节，实施农业社会化服务创新试点。发展智慧农业，建设一批现代遥感技术、物联网技术等高新技术应用场景。</w:t>
      </w:r>
    </w:p>
    <w:p w14:paraId="21C7AD8A">
      <w:pPr>
        <w:keepNext w:val="0"/>
        <w:keepLines w:val="0"/>
        <w:pageBreakBefore w:val="0"/>
        <w:widowControl w:val="0"/>
        <w:kinsoku/>
        <w:wordWrap/>
        <w:overflowPunct/>
        <w:topLinePunct w:val="0"/>
        <w:autoSpaceDE/>
        <w:autoSpaceDN/>
        <w:bidi w:val="0"/>
        <w:adjustRightInd/>
        <w:snapToGrid/>
        <w:spacing w:line="240" w:lineRule="auto"/>
        <w:ind w:firstLine="2212" w:firstLineChars="700"/>
        <w:textAlignment w:val="auto"/>
        <w:outlineLvl w:val="1"/>
        <w:rPr>
          <w:rFonts w:eastAsia="方正仿宋_GBK"/>
          <w:sz w:val="32"/>
          <w:szCs w:val="32"/>
        </w:rPr>
      </w:pPr>
      <w:bookmarkStart w:id="57" w:name="_Toc108078363"/>
      <w:r>
        <w:rPr>
          <w:rFonts w:eastAsia="方正楷体_GBK"/>
          <w:sz w:val="32"/>
          <w:szCs w:val="22"/>
        </w:rPr>
        <w:t>第三节</w:t>
      </w:r>
      <w:r>
        <w:rPr>
          <w:rFonts w:hint="eastAsia" w:eastAsia="方正楷体_GBK"/>
          <w:sz w:val="32"/>
          <w:szCs w:val="22"/>
          <w:lang w:val="en-US" w:eastAsia="zh-CN"/>
        </w:rPr>
        <w:t xml:space="preserve"> </w:t>
      </w:r>
      <w:r>
        <w:rPr>
          <w:rFonts w:eastAsia="方正楷体_GBK"/>
          <w:sz w:val="32"/>
          <w:szCs w:val="22"/>
        </w:rPr>
        <w:t xml:space="preserve"> 优化现代农业空间布局</w:t>
      </w:r>
      <w:bookmarkEnd w:id="57"/>
    </w:p>
    <w:bookmarkEnd w:id="54"/>
    <w:p w14:paraId="6535E371">
      <w:pPr>
        <w:keepNext w:val="0"/>
        <w:keepLines w:val="0"/>
        <w:pageBreakBefore w:val="0"/>
        <w:widowControl w:val="0"/>
        <w:kinsoku/>
        <w:wordWrap/>
        <w:overflowPunct/>
        <w:topLinePunct w:val="0"/>
        <w:autoSpaceDE/>
        <w:autoSpaceDN/>
        <w:bidi w:val="0"/>
        <w:adjustRightInd/>
        <w:snapToGrid/>
        <w:spacing w:line="240" w:lineRule="auto"/>
        <w:ind w:firstLine="790" w:firstLineChars="250"/>
        <w:textAlignment w:val="auto"/>
        <w:rPr>
          <w:rFonts w:eastAsia="方正仿宋_GBK"/>
          <w:sz w:val="32"/>
          <w:szCs w:val="32"/>
        </w:rPr>
      </w:pPr>
      <w:r>
        <w:rPr>
          <w:rFonts w:eastAsia="方正仿宋_GBK"/>
          <w:b/>
          <w:bCs/>
          <w:sz w:val="32"/>
          <w:szCs w:val="32"/>
        </w:rPr>
        <w:t>构建“三园四区</w:t>
      </w:r>
      <w:r>
        <w:rPr>
          <w:rFonts w:eastAsia="方正仿宋_GBK"/>
          <w:sz w:val="32"/>
          <w:szCs w:val="32"/>
        </w:rPr>
        <w:t>”</w:t>
      </w:r>
      <w:r>
        <w:rPr>
          <w:rFonts w:eastAsia="仿宋"/>
          <w:sz w:val="32"/>
          <w:szCs w:val="32"/>
        </w:rPr>
        <w:t>。</w:t>
      </w:r>
      <w:r>
        <w:rPr>
          <w:rFonts w:eastAsia="方正仿宋_GBK"/>
          <w:b/>
          <w:bCs/>
          <w:sz w:val="32"/>
          <w:szCs w:val="32"/>
        </w:rPr>
        <w:t>打造农业科技园</w:t>
      </w:r>
      <w:r>
        <w:rPr>
          <w:rFonts w:eastAsia="方正仿宋_GBK"/>
          <w:sz w:val="32"/>
          <w:szCs w:val="32"/>
        </w:rPr>
        <w:t>，开展种质资源保护、粮油作物育种攻关、粮油新品种新技术展示示范；</w:t>
      </w:r>
      <w:r>
        <w:rPr>
          <w:rFonts w:eastAsia="方正仿宋_GBK"/>
          <w:b/>
          <w:bCs/>
          <w:sz w:val="32"/>
          <w:szCs w:val="32"/>
        </w:rPr>
        <w:t>打造农产品加工园</w:t>
      </w:r>
      <w:r>
        <w:rPr>
          <w:rFonts w:eastAsia="方正仿宋_GBK"/>
          <w:sz w:val="32"/>
          <w:szCs w:val="32"/>
        </w:rPr>
        <w:t>，建设中国（重庆）国际农产品加工产业园垫江示范区；</w:t>
      </w:r>
      <w:r>
        <w:rPr>
          <w:rFonts w:eastAsia="方正仿宋_GBK"/>
          <w:b/>
          <w:bCs/>
          <w:sz w:val="32"/>
          <w:szCs w:val="32"/>
        </w:rPr>
        <w:t>打造农产品电商产业园</w:t>
      </w:r>
      <w:r>
        <w:rPr>
          <w:rFonts w:eastAsia="方正仿宋_GBK"/>
          <w:sz w:val="32"/>
          <w:szCs w:val="32"/>
        </w:rPr>
        <w:t>，建设线上线下一体的专业化大型农贸实体平台。</w:t>
      </w:r>
      <w:r>
        <w:rPr>
          <w:rFonts w:eastAsia="方正仿宋_GBK"/>
          <w:b/>
          <w:bCs/>
          <w:sz w:val="32"/>
          <w:szCs w:val="32"/>
        </w:rPr>
        <w:t>打造北部现代农作物种子生产示范区</w:t>
      </w:r>
      <w:r>
        <w:rPr>
          <w:rFonts w:eastAsia="方正仿宋_GBK"/>
          <w:sz w:val="32"/>
          <w:szCs w:val="32"/>
        </w:rPr>
        <w:t>，建设全市水稻、油菜制种高地；</w:t>
      </w:r>
      <w:r>
        <w:rPr>
          <w:rFonts w:eastAsia="方正仿宋_GBK"/>
          <w:b/>
          <w:bCs/>
          <w:sz w:val="32"/>
          <w:szCs w:val="32"/>
        </w:rPr>
        <w:t>打造中部粮—油生产示范区</w:t>
      </w:r>
      <w:r>
        <w:rPr>
          <w:rFonts w:eastAsia="方正仿宋_GBK"/>
          <w:sz w:val="32"/>
          <w:szCs w:val="32"/>
        </w:rPr>
        <w:t>，开展主要粮油作物绿色高质高效示范；</w:t>
      </w:r>
      <w:r>
        <w:rPr>
          <w:rFonts w:eastAsia="方正仿宋_GBK"/>
          <w:b/>
          <w:bCs/>
          <w:sz w:val="32"/>
          <w:szCs w:val="32"/>
        </w:rPr>
        <w:t>打造南部粮—菜生产示范区</w:t>
      </w:r>
      <w:r>
        <w:rPr>
          <w:rFonts w:eastAsia="方正仿宋_GBK"/>
          <w:sz w:val="32"/>
          <w:szCs w:val="32"/>
        </w:rPr>
        <w:t>，开展粮菜作物绿色高质高效示范；</w:t>
      </w:r>
      <w:r>
        <w:rPr>
          <w:rFonts w:eastAsia="方正仿宋_GBK"/>
          <w:b/>
          <w:bCs/>
          <w:sz w:val="32"/>
          <w:szCs w:val="32"/>
        </w:rPr>
        <w:t>打造明月山农文旅融合发展示范区</w:t>
      </w:r>
      <w:r>
        <w:rPr>
          <w:rFonts w:eastAsia="方正仿宋_GBK"/>
          <w:sz w:val="32"/>
          <w:szCs w:val="32"/>
        </w:rPr>
        <w:t>，打造百里彩田、百里花谷、百里彩林。</w:t>
      </w:r>
    </w:p>
    <w:p w14:paraId="12A45BA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color w:val="000000"/>
          <w:sz w:val="32"/>
          <w:szCs w:val="32"/>
        </w:rPr>
      </w:pPr>
      <w:bookmarkStart w:id="58" w:name="_Toc108078364"/>
      <w:bookmarkStart w:id="59" w:name="_Toc48407531"/>
      <w:r>
        <w:rPr>
          <w:rFonts w:eastAsia="方正楷体_GBK"/>
          <w:color w:val="000000"/>
          <w:sz w:val="32"/>
          <w:szCs w:val="32"/>
        </w:rPr>
        <w:t xml:space="preserve">第四节 </w:t>
      </w:r>
      <w:r>
        <w:rPr>
          <w:rFonts w:hint="eastAsia" w:eastAsia="方正楷体_GBK"/>
          <w:color w:val="000000"/>
          <w:sz w:val="32"/>
          <w:szCs w:val="32"/>
          <w:lang w:val="en-US" w:eastAsia="zh-CN"/>
        </w:rPr>
        <w:t xml:space="preserve"> </w:t>
      </w:r>
      <w:r>
        <w:rPr>
          <w:rFonts w:eastAsia="方正楷体_GBK"/>
          <w:color w:val="000000"/>
          <w:sz w:val="32"/>
          <w:szCs w:val="32"/>
        </w:rPr>
        <w:t>构建 “四县三乡”现代农业体系</w:t>
      </w:r>
      <w:bookmarkEnd w:id="58"/>
    </w:p>
    <w:p w14:paraId="7423F22C">
      <w:pPr>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eastAsia="方正仿宋_GBK"/>
          <w:sz w:val="32"/>
          <w:szCs w:val="32"/>
        </w:rPr>
      </w:pPr>
      <w:r>
        <w:rPr>
          <w:rFonts w:eastAsia="方正仿宋_GBK"/>
          <w:color w:val="000000"/>
          <w:sz w:val="32"/>
          <w:szCs w:val="32"/>
        </w:rPr>
        <w:t>依托县域农业优势产业，提升农业产业发展基础，延伸农业产业链条，促进农业产业融合发展，实现农业</w:t>
      </w:r>
      <w:r>
        <w:rPr>
          <w:rFonts w:eastAsia="方正仿宋_GBK"/>
          <w:sz w:val="32"/>
          <w:szCs w:val="32"/>
        </w:rPr>
        <w:t>产业高质量发展</w:t>
      </w:r>
      <w:r>
        <w:rPr>
          <w:rFonts w:hint="eastAsia" w:eastAsia="方正仿宋_GBK"/>
          <w:sz w:val="32"/>
          <w:szCs w:val="32"/>
        </w:rPr>
        <w:t>。</w:t>
      </w:r>
      <w:r>
        <w:rPr>
          <w:rFonts w:eastAsia="方正仿宋_GBK"/>
          <w:sz w:val="32"/>
          <w:szCs w:val="32"/>
        </w:rPr>
        <w:t>大力推进以高安为中心的东部片区、周嘉为中心的北部片区、坪山为中心的南部片区的农产品主产功能区建设，以构架“四县三乡”县域农业体系为契机，打造现代</w:t>
      </w:r>
      <w:r>
        <w:rPr>
          <w:rFonts w:hint="eastAsia" w:eastAsia="方正仿宋_GBK"/>
          <w:sz w:val="32"/>
          <w:szCs w:val="32"/>
        </w:rPr>
        <w:t>山地</w:t>
      </w:r>
      <w:r>
        <w:rPr>
          <w:rFonts w:eastAsia="方正仿宋_GBK"/>
          <w:sz w:val="32"/>
          <w:szCs w:val="32"/>
        </w:rPr>
        <w:t>高效特色农业示范区。</w:t>
      </w:r>
    </w:p>
    <w:p w14:paraId="04CF20BF">
      <w:pPr>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eastAsia="方正仿宋_GBK"/>
          <w:color w:val="000000"/>
          <w:sz w:val="32"/>
          <w:szCs w:val="32"/>
        </w:rPr>
      </w:pPr>
      <w:r>
        <w:rPr>
          <w:rFonts w:eastAsia="方正仿宋_GBK"/>
          <w:b/>
          <w:bCs/>
          <w:color w:val="000000"/>
          <w:sz w:val="32"/>
          <w:szCs w:val="32"/>
        </w:rPr>
        <w:t>稳定发展优质粮油产业，建设粮食大县。</w:t>
      </w:r>
      <w:r>
        <w:rPr>
          <w:rFonts w:eastAsia="方正仿宋_GBK"/>
          <w:color w:val="000000"/>
          <w:sz w:val="32"/>
          <w:szCs w:val="32"/>
        </w:rPr>
        <w:t>重点围绕优质水稻、优质玉米、豆类杂粮、鲜食薯类四大重点，面积上挖潜，单产上攻坚，结构上增效</w:t>
      </w:r>
      <w:r>
        <w:rPr>
          <w:rFonts w:eastAsia="仿宋"/>
          <w:color w:val="000000"/>
          <w:sz w:val="32"/>
          <w:szCs w:val="32"/>
        </w:rPr>
        <w:t>，</w:t>
      </w:r>
      <w:r>
        <w:rPr>
          <w:rFonts w:eastAsia="方正仿宋_GBK"/>
          <w:color w:val="000000"/>
          <w:sz w:val="32"/>
          <w:szCs w:val="32"/>
        </w:rPr>
        <w:t>稳定粮食播种面积100万亩左右，产量实现41万吨以上。落实“永久基本农田重点用于粮食生产、高标准农田原则上全部用于粮食生产”的政策，应种尽种。推进撂荒地清理和利用，对适宜种粮的地块逐一登记、逐一整理，发挥村级集体经济组织和社会化服务组织作用，推进代耕代种，能种尽种。分类推动“非粮化”地块尽快恢复粮食生产，能复尽复。推广优良品种和高产栽培技术，加强农田基础设施配套，提高技术装备水平，健全优质粮油产业化体系</w:t>
      </w:r>
      <w:r>
        <w:rPr>
          <w:rFonts w:eastAsia="方正仿宋_GBK"/>
          <w:sz w:val="32"/>
          <w:szCs w:val="32"/>
        </w:rPr>
        <w:t>，提高粮油单产。单产上攻关，开展绿色高质高效示范创建10万亩，打造一批千亩示范片、万亩示范片。大力推动工厂化育苗，推动育苗的专业化生产和产业化经营，并结合市场需求推行种苗“订单培育”，推动育苗社会化服务。抓好农作物病虫害综合防治，建设万亩病虫害绿色防控示范片1个。</w:t>
      </w:r>
      <w:r>
        <w:rPr>
          <w:rFonts w:eastAsia="方正仿宋_GBK"/>
          <w:color w:val="000000"/>
          <w:sz w:val="32"/>
          <w:szCs w:val="32"/>
        </w:rPr>
        <w:t>加大有机肥、复合肥推广力度，每年实施测土配方施肥120万亩次。调整粮油产业结构，推广鲜食甜糯玉米、青贮玉米、高淀粉和鲜食特色薯类，推广玉米大豆复合带状种植技术，确保玉米基本不减产，增收一季大豆。大力发展再生稻，推广发展稻渔、稻药、稻油等生产模式。到2025年全县粮油总面积稳定保持在100万亩以上，重点建设优质水稻基地45万亩、优质玉米基地23万亩、豆类杂粮基地20万亩、鲜食薯类基地12万亩，油菜种植基地15万亩。</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14:paraId="1ACB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noWrap w:val="0"/>
            <w:vAlign w:val="top"/>
          </w:tcPr>
          <w:p w14:paraId="319A668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b/>
                <w:bCs/>
                <w:color w:val="000000"/>
                <w:sz w:val="21"/>
                <w:szCs w:val="21"/>
              </w:rPr>
            </w:pPr>
            <w:bookmarkStart w:id="60" w:name="_Hlk75177905"/>
            <w:r>
              <w:rPr>
                <w:b/>
                <w:bCs/>
                <w:color w:val="000000"/>
                <w:sz w:val="21"/>
                <w:szCs w:val="21"/>
              </w:rPr>
              <w:t>专栏2优质粮油产业重点发展举措</w:t>
            </w:r>
          </w:p>
        </w:tc>
      </w:tr>
      <w:tr w14:paraId="543F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noWrap w:val="0"/>
            <w:vAlign w:val="top"/>
          </w:tcPr>
          <w:p w14:paraId="1BEDDA5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12" w:firstLineChars="200"/>
              <w:textAlignment w:val="auto"/>
              <w:outlineLvl w:val="9"/>
              <w:rPr>
                <w:color w:val="000000"/>
                <w:sz w:val="21"/>
                <w:szCs w:val="21"/>
              </w:rPr>
            </w:pPr>
            <w:r>
              <w:rPr>
                <w:b/>
                <w:bCs/>
                <w:color w:val="000000"/>
                <w:sz w:val="21"/>
                <w:szCs w:val="21"/>
              </w:rPr>
              <w:t>推广优良品种和高产栽培技术。</w:t>
            </w:r>
            <w:r>
              <w:rPr>
                <w:color w:val="000000"/>
                <w:sz w:val="21"/>
                <w:szCs w:val="21"/>
              </w:rPr>
              <w:t>整合科技资源加大优良品种选育、引进、示范和推广，提高良种覆盖率；积极探索丰产增收新技术，逐步扩大示范面积，加快形成带动效应。</w:t>
            </w:r>
          </w:p>
          <w:p w14:paraId="61C8585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12" w:firstLineChars="200"/>
              <w:textAlignment w:val="auto"/>
              <w:outlineLvl w:val="9"/>
              <w:rPr>
                <w:color w:val="000000"/>
                <w:sz w:val="21"/>
                <w:szCs w:val="21"/>
              </w:rPr>
            </w:pPr>
            <w:r>
              <w:rPr>
                <w:b/>
                <w:bCs/>
                <w:color w:val="000000"/>
                <w:sz w:val="21"/>
                <w:szCs w:val="21"/>
              </w:rPr>
              <w:t>加强农田基础设施配套。</w:t>
            </w:r>
            <w:r>
              <w:rPr>
                <w:color w:val="000000"/>
                <w:sz w:val="21"/>
                <w:szCs w:val="21"/>
              </w:rPr>
              <w:t>重点抓好高标准农田建设和中低产田改造，改善田间灌溉、耕作路等生产条件，推动土地适度规模流转，建设规模化优质粮油基地。</w:t>
            </w:r>
          </w:p>
          <w:p w14:paraId="27166B7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12" w:firstLineChars="200"/>
              <w:textAlignment w:val="auto"/>
              <w:outlineLvl w:val="9"/>
              <w:rPr>
                <w:color w:val="000000"/>
                <w:sz w:val="21"/>
                <w:szCs w:val="21"/>
              </w:rPr>
            </w:pPr>
            <w:r>
              <w:rPr>
                <w:b/>
                <w:bCs/>
                <w:color w:val="000000"/>
                <w:sz w:val="21"/>
                <w:szCs w:val="21"/>
              </w:rPr>
              <w:t>提高技术装备水平。</w:t>
            </w:r>
            <w:r>
              <w:rPr>
                <w:color w:val="000000"/>
                <w:sz w:val="21"/>
                <w:szCs w:val="21"/>
              </w:rPr>
              <w:t>推广使用先进适用山地农业机械及配套技术，积极发展智慧农业，提高粮油作物耕种收综合机械化率。</w:t>
            </w:r>
          </w:p>
          <w:p w14:paraId="5FE8515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12" w:firstLineChars="200"/>
              <w:textAlignment w:val="auto"/>
              <w:outlineLvl w:val="9"/>
              <w:rPr>
                <w:b/>
                <w:bCs/>
                <w:color w:val="000000"/>
                <w:sz w:val="21"/>
                <w:szCs w:val="21"/>
              </w:rPr>
            </w:pPr>
            <w:r>
              <w:rPr>
                <w:b/>
                <w:bCs/>
                <w:color w:val="000000"/>
                <w:sz w:val="21"/>
                <w:szCs w:val="21"/>
              </w:rPr>
              <w:t>积极构建优质粮油产业化体系。</w:t>
            </w:r>
            <w:r>
              <w:rPr>
                <w:color w:val="000000"/>
                <w:sz w:val="21"/>
                <w:szCs w:val="21"/>
              </w:rPr>
              <w:t>加快培育新型经营主体，建立标准化生产体系和技术服务体系，壮大粮油加工骨干企业，完善农产品流通网络，提高优质粮油商品化处理率，力争到2025年新增亿元级粮油龙头企业2家。</w:t>
            </w:r>
          </w:p>
        </w:tc>
      </w:tr>
      <w:bookmarkEnd w:id="60"/>
    </w:tbl>
    <w:p w14:paraId="1D5C93DE">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eastAsia="方正仿宋_GBK"/>
          <w:b/>
          <w:bCs/>
          <w:color w:val="000000"/>
          <w:sz w:val="32"/>
          <w:szCs w:val="32"/>
        </w:rPr>
      </w:pPr>
      <w:r>
        <w:rPr>
          <w:rFonts w:eastAsia="方正仿宋_GBK"/>
          <w:b/>
          <w:bCs/>
          <w:color w:val="000000"/>
          <w:sz w:val="32"/>
          <w:szCs w:val="32"/>
        </w:rPr>
        <w:t>拓展制种产业，建设种业大县。</w:t>
      </w:r>
      <w:r>
        <w:rPr>
          <w:rFonts w:eastAsia="方正仿宋_GBK"/>
          <w:bCs/>
          <w:color w:val="000000"/>
          <w:sz w:val="32"/>
          <w:szCs w:val="32"/>
        </w:rPr>
        <w:t>围绕一个科技园、两大主产区、三个拓展片，落实县企共建举措，以建设垫江国家级杂交水稻种子生产基地为契机，以巩固发展国家级制种大县为抓手，以服务成渝双城经济圈建设和重庆市“一区两群”协调发展为目标，以县企共建为引领、保护种质资源为源头、以激活创新为动力、以做强企业为关键、以提升基地为基础、以优化环境为保障，建设国内一流的种业强县。依托重庆中一种业有限公司等重点企业为基础，推进制种基地标准化建设，创建重庆市水稻种质资源库。推动水稻新品种研发，建设制种科技创新平台，推进中一种业生产集群化、加工智能化、销售扁平化、品种品牌化发展。严格执行制种准入制、违规违法黑榜制等制度，严厉打击串种、套购等违法经营行为。到2025年，围绕“一园两区三片”水稻、油菜制种规划布局，落实县企共建举措，实施育种攻坚、制种扩容、加工配套、农旅融合，拓展水稻制种至8万亩 、油菜制种至2万亩、3个镇制种拓展区，争创国家级油菜制种基地县。</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6"/>
      </w:tblGrid>
      <w:tr w14:paraId="7375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6" w:type="dxa"/>
            <w:noWrap w:val="0"/>
            <w:vAlign w:val="top"/>
          </w:tcPr>
          <w:p w14:paraId="1B7D31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 w:val="22"/>
                <w:szCs w:val="32"/>
              </w:rPr>
            </w:pPr>
            <w:r>
              <w:rPr>
                <w:b/>
                <w:bCs/>
                <w:color w:val="000000"/>
                <w:sz w:val="22"/>
                <w:szCs w:val="32"/>
              </w:rPr>
              <w:t>专栏3现代种业提升工程重要举措</w:t>
            </w:r>
          </w:p>
        </w:tc>
      </w:tr>
      <w:tr w14:paraId="0C47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6" w:type="dxa"/>
            <w:noWrap w:val="0"/>
            <w:vAlign w:val="top"/>
          </w:tcPr>
          <w:p w14:paraId="51C39E6D">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color w:val="000000"/>
                <w:sz w:val="22"/>
                <w:szCs w:val="32"/>
              </w:rPr>
            </w:pPr>
            <w:r>
              <w:rPr>
                <w:b/>
                <w:bCs/>
                <w:color w:val="000000"/>
                <w:sz w:val="22"/>
                <w:szCs w:val="32"/>
              </w:rPr>
              <w:t>粮油种质资源保护。</w:t>
            </w:r>
            <w:r>
              <w:rPr>
                <w:color w:val="000000"/>
                <w:sz w:val="22"/>
                <w:szCs w:val="32"/>
              </w:rPr>
              <w:t>协同构建农业种质资源保护体系，建设重庆市水稻种质资源库1座。</w:t>
            </w:r>
          </w:p>
          <w:p w14:paraId="60B0399F">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color w:val="000000"/>
                <w:sz w:val="22"/>
                <w:szCs w:val="32"/>
              </w:rPr>
            </w:pPr>
            <w:r>
              <w:rPr>
                <w:b/>
                <w:bCs/>
                <w:color w:val="000000"/>
                <w:sz w:val="22"/>
                <w:szCs w:val="32"/>
              </w:rPr>
              <w:t>现代粮油制种科技创新</w:t>
            </w:r>
            <w:r>
              <w:rPr>
                <w:color w:val="000000"/>
                <w:sz w:val="22"/>
                <w:szCs w:val="32"/>
              </w:rPr>
              <w:t>。提升市农科院垫江分院、市水稻工程技术中心、杂交水稻育种重庆市重点实验室三大创新平台，建设360°全景视频监控等智慧种业系统。</w:t>
            </w:r>
          </w:p>
          <w:p w14:paraId="5A68E6BC">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color w:val="000000"/>
                <w:sz w:val="22"/>
                <w:szCs w:val="32"/>
              </w:rPr>
            </w:pPr>
            <w:r>
              <w:rPr>
                <w:b/>
                <w:bCs/>
                <w:color w:val="000000"/>
                <w:sz w:val="22"/>
                <w:szCs w:val="32"/>
              </w:rPr>
              <w:t>重点制种企业扶持。</w:t>
            </w:r>
            <w:r>
              <w:rPr>
                <w:color w:val="000000"/>
                <w:sz w:val="22"/>
                <w:szCs w:val="32"/>
              </w:rPr>
              <w:t>协同制种企业建设生产基地2万亩、出口基地5000亩，购置加工设备2套，更新种子低温贮藏设备3套，更新生物分析检测设备1套，扩大镇村销售网络1000个，做大做强Q优系列、神农优系列品种品牌，扩建种业博物馆1个，建设种业科普教育基地2个。</w:t>
            </w:r>
          </w:p>
          <w:p w14:paraId="59C054C3">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color w:val="000000"/>
                <w:sz w:val="22"/>
                <w:szCs w:val="32"/>
              </w:rPr>
            </w:pPr>
            <w:r>
              <w:rPr>
                <w:b/>
                <w:bCs/>
                <w:color w:val="000000"/>
                <w:sz w:val="22"/>
                <w:szCs w:val="32"/>
              </w:rPr>
              <w:t>完善制种基地基础设施。</w:t>
            </w:r>
            <w:r>
              <w:rPr>
                <w:color w:val="000000"/>
                <w:sz w:val="22"/>
                <w:szCs w:val="32"/>
              </w:rPr>
              <w:t>新建高标准制种田2万亩、提升制种基地质量2.5万亩。完善基础设施配套，实施生产全程机械化。建设亲本繁殖基地1000亩。提升救灾备荒水稻种子储备库2000平方米。</w:t>
            </w:r>
          </w:p>
          <w:p w14:paraId="4FE145E9">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b/>
                <w:bCs/>
                <w:color w:val="000000"/>
                <w:sz w:val="22"/>
                <w:szCs w:val="32"/>
              </w:rPr>
            </w:pPr>
            <w:r>
              <w:rPr>
                <w:b/>
                <w:bCs/>
                <w:color w:val="000000"/>
                <w:sz w:val="22"/>
                <w:szCs w:val="32"/>
              </w:rPr>
              <w:t>健全种业监管服务体系。</w:t>
            </w:r>
            <w:r>
              <w:rPr>
                <w:color w:val="000000"/>
                <w:sz w:val="22"/>
                <w:szCs w:val="32"/>
              </w:rPr>
              <w:t>建立健全粮油制种技术支撑服务体系，提升粮油制种监管能力，全面推进粮油制种保险政策。</w:t>
            </w:r>
          </w:p>
        </w:tc>
      </w:tr>
    </w:tbl>
    <w:p w14:paraId="7095DCC5">
      <w:pPr>
        <w:keepNext w:val="0"/>
        <w:keepLines w:val="0"/>
        <w:pageBreakBefore w:val="0"/>
        <w:widowControl w:val="0"/>
        <w:kinsoku/>
        <w:wordWrap/>
        <w:topLinePunct w:val="0"/>
        <w:autoSpaceDE/>
        <w:autoSpaceDN/>
        <w:bidi w:val="0"/>
        <w:adjustRightInd/>
        <w:snapToGrid/>
        <w:spacing w:line="240" w:lineRule="auto"/>
        <w:ind w:left="0" w:leftChars="0" w:right="0" w:rightChars="0" w:firstLine="643"/>
        <w:jc w:val="both"/>
        <w:textAlignment w:val="auto"/>
        <w:outlineLvl w:val="9"/>
        <w:rPr>
          <w:rFonts w:eastAsia="方正仿宋_GBK"/>
          <w:color w:val="000000"/>
          <w:sz w:val="32"/>
          <w:szCs w:val="32"/>
        </w:rPr>
      </w:pPr>
      <w:r>
        <w:rPr>
          <w:rFonts w:eastAsia="方正仿宋_GBK"/>
          <w:b/>
          <w:bCs/>
          <w:color w:val="000000"/>
          <w:sz w:val="32"/>
          <w:szCs w:val="32"/>
        </w:rPr>
        <w:t>稳步壮大生猪产业，建设生猪大县。</w:t>
      </w:r>
      <w:r>
        <w:rPr>
          <w:rFonts w:eastAsia="方正仿宋_GBK"/>
          <w:color w:val="000000"/>
          <w:sz w:val="32"/>
          <w:szCs w:val="32"/>
        </w:rPr>
        <w:t>重点围绕种苗繁育、规模养殖、肉品加工、粪污集中处理四大重点，持续实施100万头生猪一体化产业链项目，加强良繁体系建设，积极引进、推广优良品种，建立高品质繁育基地。稳定生猪养殖用地、环保、贷款、保险等长效性支持政策，持续提升产业规模化、标准化水平。重点引进温氏、正大等畜牧龙头企业，加强与县内企业合作，推进工厂化养猪，改变传统养猪方法，推进规模化、集约化、标准化、智能化、生态化养猪，建设1000头以上规模养殖场60家，发展200头以上养殖场220家。落实能繁母猪引种补贴，建设专业繁育、自繁自养养殖场20家，实现年存栏能繁母猪3.5万头以上。引导养殖场（户）升级改造，引进现代化养殖设备，配套资源循环利用设施，强化物联网、互联网现代科技应用，建设自动化饲喂、资源化利用、智能化管理养殖场10家以上，提高养殖水平。大力发展肉品精深加工，延伸屠宰、加工、分销产业链，拓展饲料生产加工，建立多元化加工基地。持续强化非洲猪瘟等重大动物疫病防控，逐步减少活猪长距离跨行政区调运，实现“运猪”向“运肉”转变，强化食品安全管理，加强产地、屠宰、运输、加工管理，实施“四位一体”联防联控，开展病死猪集中无害化处理，充分保障食品安全。到2025年，重点建设50万头仔猪繁育基地、100万头商品猪养殖基地、100万头生猪肉制品加工基地、20万吨畜禽粪污集中处理基地。</w:t>
      </w:r>
    </w:p>
    <w:p w14:paraId="1F56C84B">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仿宋_GBK"/>
          <w:color w:val="000000"/>
          <w:kern w:val="0"/>
          <w:sz w:val="32"/>
          <w:szCs w:val="32"/>
        </w:rPr>
      </w:pPr>
      <w:r>
        <w:rPr>
          <w:rFonts w:eastAsia="方正仿宋_GBK"/>
          <w:b/>
          <w:bCs/>
          <w:color w:val="000000"/>
          <w:sz w:val="32"/>
          <w:szCs w:val="32"/>
        </w:rPr>
        <w:t>做大做强农产品加工业，打造农产品加工大县。</w:t>
      </w:r>
      <w:r>
        <w:rPr>
          <w:rFonts w:eastAsia="方正仿宋_GBK"/>
          <w:color w:val="000000"/>
          <w:sz w:val="32"/>
          <w:szCs w:val="32"/>
        </w:rPr>
        <w:t>围绕一个园区、三大集群、十个亿元级龙头三大重点，坚持园区加工和产地加工并举，重点发展粮油、生猪、榨菜、柑橘、调味品、木材等农产品初加工和精深加工，力争农产品加工业总产值年均增长10%以上。坚持“外引”“内育”两手抓。外引上，瞄准全国、全市100强中的农产品加工类企业，做好项目包装、策划，有针对性开展招商，引进亿元级加工企业5家。内育上，推动农产品加工企业上市、上规、上云，重点培育坪山榨菜、川久食品、国承堂等5家本土企业规模破亿，组织开展县内企业参加国家、市级推介活动，力争每年认定市级以上示范企业2家以上。依托高安食品工业园区，完善园区基础设施建设，推进调味品、休闲食品等的绿色食品产业加工业，发展绿色、养生的杂粮深加工产业，建设农产品集散中心、批发市场、完善农产品物流骨干网络和10万吨冷链物流体系。要重点发展粮油、畜禽、蔬菜等三大产地加工业，大力培育链主企业，依托重粮集团发展粮油加工企业群，依托坪山榨菜发展蔬菜加工群、依托川久食品发展畜禽产品加工群，引导产地初加工和精深加工配套、大中小型企业抱团，形成利益共同体。建设农产品集散中心、批发市场，完善农产品物流骨干网络和冷链物流体系。打造“垫江优质米”“箐口龙头大米”“大石卷洞大米”“垫江优质纯菜籽油”等优质粮油品牌、地方特色饮料“咂酒”品牌和“雀舌翠茗”“东印碧螺春”等高山有机富硒茶，加快发展农产品电商，推动加工产品更好与大市场对接。到2025年，力争创建100亿级农产品加工区，全县主要农产品加工转化率达80%，农产品加工业产值与农业总产值比达到2:1，创建市级农产品加工示范企业达到10家以上，提升高安农产品加工园区，构建畜禽、蔬菜和粮油等三大产业加工集群，培育壮大10个亿元级龙头企业，推进园区加工与产地加工并行、初级加工与精深加工衔接，打造渝东北重要农产品加工基地</w:t>
      </w:r>
      <w:r>
        <w:rPr>
          <w:rFonts w:eastAsia="方正仿宋_GBK"/>
          <w:color w:val="000000"/>
          <w:kern w:val="0"/>
          <w:sz w:val="32"/>
          <w:szCs w:val="32"/>
        </w:rPr>
        <w:t>。</w:t>
      </w:r>
    </w:p>
    <w:p w14:paraId="4E10BBA7">
      <w:pPr>
        <w:pStyle w:val="2"/>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8"/>
      </w:tblGrid>
      <w:tr w14:paraId="6686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8" w:type="dxa"/>
            <w:noWrap w:val="0"/>
            <w:vAlign w:val="top"/>
          </w:tcPr>
          <w:p w14:paraId="0BE275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 w:val="21"/>
                <w:szCs w:val="21"/>
              </w:rPr>
            </w:pPr>
            <w:r>
              <w:rPr>
                <w:b/>
                <w:bCs/>
                <w:color w:val="000000"/>
                <w:sz w:val="21"/>
                <w:szCs w:val="21"/>
              </w:rPr>
              <w:t>专栏4农产品加工重点项目</w:t>
            </w:r>
          </w:p>
        </w:tc>
      </w:tr>
      <w:tr w14:paraId="0EC4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8" w:type="dxa"/>
            <w:noWrap w:val="0"/>
            <w:vAlign w:val="top"/>
          </w:tcPr>
          <w:p w14:paraId="1FEE815C">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color w:val="000000"/>
                <w:kern w:val="0"/>
                <w:sz w:val="21"/>
                <w:szCs w:val="21"/>
              </w:rPr>
            </w:pPr>
            <w:r>
              <w:rPr>
                <w:b/>
                <w:bCs/>
                <w:color w:val="000000"/>
                <w:kern w:val="0"/>
                <w:sz w:val="21"/>
                <w:szCs w:val="21"/>
              </w:rPr>
              <w:t>重庆垫江农产品加工示范园区基础设施建设项目。</w:t>
            </w:r>
            <w:r>
              <w:rPr>
                <w:color w:val="000000"/>
                <w:kern w:val="0"/>
                <w:sz w:val="21"/>
                <w:szCs w:val="21"/>
              </w:rPr>
              <w:t>新建农产品示范园区标准化厂房6万平方米；5万吨冷链物流及仓储建筑面积6万平方米；整治河道4千米；新建处理能力5000m³/d污水处理厂一座，改造污水处理厂一座；新建城市道路5条，长5.222千米，完善相关配套基础设施。</w:t>
            </w:r>
          </w:p>
          <w:p w14:paraId="7F82BE88">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rPr>
                <w:b/>
                <w:bCs/>
                <w:color w:val="000000"/>
                <w:kern w:val="0"/>
                <w:sz w:val="21"/>
                <w:szCs w:val="21"/>
              </w:rPr>
            </w:pPr>
            <w:r>
              <w:rPr>
                <w:b/>
                <w:bCs/>
                <w:color w:val="000000"/>
                <w:kern w:val="0"/>
                <w:sz w:val="21"/>
                <w:szCs w:val="21"/>
              </w:rPr>
              <w:t>中药材精深加工项目。</w:t>
            </w:r>
            <w:r>
              <w:rPr>
                <w:color w:val="000000"/>
                <w:kern w:val="0"/>
                <w:sz w:val="21"/>
                <w:szCs w:val="21"/>
              </w:rPr>
              <w:t>建设年产5000吨的中药口服固体制剂生产线1条。</w:t>
            </w:r>
          </w:p>
          <w:p w14:paraId="73D0B3F6">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rPr>
                <w:color w:val="000000"/>
                <w:kern w:val="0"/>
                <w:sz w:val="21"/>
                <w:szCs w:val="21"/>
              </w:rPr>
            </w:pPr>
            <w:r>
              <w:rPr>
                <w:b/>
                <w:bCs/>
                <w:color w:val="000000"/>
                <w:kern w:val="0"/>
                <w:sz w:val="21"/>
                <w:szCs w:val="21"/>
              </w:rPr>
              <w:t>高安、周嘉畜禽定点屠宰加工厂。</w:t>
            </w:r>
            <w:r>
              <w:rPr>
                <w:color w:val="000000"/>
                <w:kern w:val="0"/>
                <w:sz w:val="21"/>
                <w:szCs w:val="21"/>
              </w:rPr>
              <w:t>建筑面积20000平方米，包含屠宰间、冷库、生猪待宰间、存栏间、焚化间、办公室、员工宿舍及其他配套附属用房。</w:t>
            </w:r>
          </w:p>
          <w:p w14:paraId="69AD1BD9">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rPr>
                <w:color w:val="000000"/>
                <w:kern w:val="0"/>
                <w:sz w:val="21"/>
                <w:szCs w:val="21"/>
              </w:rPr>
            </w:pPr>
            <w:r>
              <w:rPr>
                <w:b/>
                <w:bCs/>
                <w:color w:val="000000"/>
                <w:kern w:val="0"/>
                <w:sz w:val="21"/>
                <w:szCs w:val="21"/>
              </w:rPr>
              <w:t>榨菜加工项目。</w:t>
            </w:r>
            <w:r>
              <w:rPr>
                <w:color w:val="000000"/>
                <w:kern w:val="0"/>
                <w:sz w:val="21"/>
                <w:szCs w:val="21"/>
              </w:rPr>
              <w:t>推动榨菜产业向中高档、绿色保健高附加值发展，以榨菜龙头骨干企业、榨菜粗加工大户为主，实施规模化、标准化建池，提高榨菜废水治理率和榨菜原料加工水平。</w:t>
            </w:r>
          </w:p>
          <w:p w14:paraId="5AAF1D50">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b/>
                <w:bCs/>
                <w:color w:val="000000"/>
                <w:sz w:val="21"/>
                <w:szCs w:val="21"/>
              </w:rPr>
            </w:pPr>
            <w:r>
              <w:rPr>
                <w:b/>
                <w:bCs/>
                <w:color w:val="000000"/>
                <w:kern w:val="0"/>
                <w:sz w:val="21"/>
                <w:szCs w:val="21"/>
              </w:rPr>
              <w:t>坪山榨菜食品有限公司1万吨/年豆瓣酱生产项目。</w:t>
            </w:r>
            <w:r>
              <w:rPr>
                <w:color w:val="000000"/>
                <w:kern w:val="0"/>
                <w:sz w:val="21"/>
                <w:szCs w:val="21"/>
              </w:rPr>
              <w:t>建成1条1万吨/年豆瓣酱自动化生产线及配套晒场条池。</w:t>
            </w:r>
          </w:p>
        </w:tc>
      </w:tr>
    </w:tbl>
    <w:p w14:paraId="4EF2A9DF">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eastAsia="方正仿宋_GBK"/>
          <w:b/>
          <w:bCs/>
          <w:color w:val="000000"/>
          <w:sz w:val="32"/>
          <w:szCs w:val="32"/>
        </w:rPr>
      </w:pPr>
      <w:r>
        <w:rPr>
          <w:rFonts w:eastAsia="方正仿宋_GBK"/>
          <w:b/>
          <w:bCs/>
          <w:color w:val="000000"/>
          <w:sz w:val="32"/>
          <w:szCs w:val="32"/>
        </w:rPr>
        <w:t>创新发展牡丹产业，建设牡丹之乡。</w:t>
      </w:r>
      <w:r>
        <w:rPr>
          <w:rFonts w:eastAsia="方正仿宋_GBK"/>
          <w:color w:val="000000"/>
          <w:sz w:val="32"/>
          <w:szCs w:val="32"/>
        </w:rPr>
        <w:t>坚定不移的把牡丹产业作为乡村振兴的主导产业来发展，重点围绕牡丹（芍药）种苗培育、鲜切花种植、盆景培植、景区景点四大重点，加大业主引育力度，积极引进培育国内外优质牡丹芍药种群、品种，建设精品园，扩大牡丹（芍药）种植规模，建设“牡丹（芍药）花海”基地，打造牡丹</w:t>
      </w:r>
      <w:r>
        <w:rPr>
          <w:rFonts w:hint="eastAsia" w:eastAsia="方正仿宋_GBK"/>
          <w:color w:val="000000"/>
          <w:sz w:val="32"/>
          <w:szCs w:val="32"/>
          <w:lang w:eastAsia="zh-CN"/>
        </w:rPr>
        <w:t>（</w:t>
      </w:r>
      <w:r>
        <w:rPr>
          <w:rFonts w:eastAsia="方正仿宋_GBK"/>
          <w:color w:val="000000"/>
          <w:sz w:val="32"/>
          <w:szCs w:val="32"/>
        </w:rPr>
        <w:t>芍药</w:t>
      </w:r>
      <w:r>
        <w:rPr>
          <w:rFonts w:hint="eastAsia" w:eastAsia="方正仿宋_GBK"/>
          <w:color w:val="000000"/>
          <w:sz w:val="32"/>
          <w:szCs w:val="32"/>
          <w:lang w:eastAsia="zh-CN"/>
        </w:rPr>
        <w:t>）</w:t>
      </w:r>
      <w:r>
        <w:rPr>
          <w:rFonts w:eastAsia="方正仿宋_GBK"/>
          <w:color w:val="000000"/>
          <w:sz w:val="32"/>
          <w:szCs w:val="32"/>
        </w:rPr>
        <w:t>植物工厂。建设牡丹研发中心，补齐产业研发功能，加强与大专院校和科研机构合作，建设牡丹大棚精品园20亩，开展牡丹（芍药）等花卉新品种选育、引进和扩繁，推进牡丹标准化种植，研究多品种促成、延迟栽培等技术，延长牡丹（芍药）开花周期。依托牡丹源景区建设走廊式交易市场，集中、规范开展牡丹花、牡丹盆景、牡丹苗木等销售。延长牡丹、芍药产业链条，深入挖掘牡丹丹皮、芍药鲜切花的附加价值,大力研发花茶、花油、花饼、花宴等核心产品，切实提升经济价值；充分利用直播等多媒体形式，大力宣传牡丹（芍药）产业全过程种植、观赏价值、药用价值，打造“网红牡丹（芍药）”。深入挖掘“牡丹+”“芍药+”产业形态，推动牡丹芍药与相关产业深度融合发展大力发展牡丹旅游，以牡丹核心种植区为载体，推进牡丹花谷、明月山牡丹花居项目建设，打造“山里山外”牡丹主题名宿，开发牡丹采花游、饮食游、书画游等精品线路，丰富旅游产品推进牡丹产业融合发展。挖掘文化内涵，依托牡丹展现垫江牡丹历史文化精髓，讲好垫江故事，办好垫江牡丹文化节系列节庆活动，采用“线上+线下”的方式推动垫江牡丹“走出去”。到2025年，以牡丹（芍药）种苗培育、鲜切花种植、盆景培植、景区景点重点，建设牡丹（芍药）产业5万亩，牡丹（芍药）全产业链达到30亿元。</w:t>
      </w:r>
    </w:p>
    <w:p w14:paraId="28E07CE9">
      <w:pPr>
        <w:keepNext w:val="0"/>
        <w:keepLines w:val="0"/>
        <w:pageBreakBefore w:val="0"/>
        <w:widowControl w:val="0"/>
        <w:kinsoku/>
        <w:wordWrap/>
        <w:topLinePunct w:val="0"/>
        <w:autoSpaceDE/>
        <w:autoSpaceDN/>
        <w:bidi w:val="0"/>
        <w:adjustRightInd/>
        <w:snapToGrid/>
        <w:spacing w:line="540" w:lineRule="exact"/>
        <w:ind w:firstLine="643"/>
        <w:textAlignment w:val="auto"/>
        <w:rPr>
          <w:rFonts w:eastAsia="方正仿宋_GBK"/>
          <w:color w:val="000000"/>
          <w:sz w:val="32"/>
          <w:szCs w:val="32"/>
        </w:rPr>
      </w:pPr>
      <w:r>
        <w:rPr>
          <w:rFonts w:eastAsia="方正仿宋_GBK"/>
          <w:b/>
          <w:bCs/>
          <w:color w:val="000000"/>
          <w:sz w:val="32"/>
          <w:szCs w:val="32"/>
        </w:rPr>
        <w:t>提质增效发展晚柚产业，建设晚柚之乡。</w:t>
      </w:r>
      <w:r>
        <w:rPr>
          <w:rFonts w:eastAsia="方正仿宋_GBK"/>
          <w:color w:val="000000"/>
          <w:sz w:val="32"/>
          <w:szCs w:val="32"/>
        </w:rPr>
        <w:t>重点以晚柚母本园、标准园、改良园建设为依托，持续实施垫江晚柚“双十”工程，建设垫江晚柚母本园60亩，开展专业化种苗培育，保证种苗质量。积极申报垫江晚柚地理标志品牌认证，加强优质特色品种资源保护。完善基础设施建设，高质量推进土地宜机化整治，以龙溪河沿线乡镇为重点实施连片推进，加快完善沟、渠、路、池等配套，提高垫江晚柚生产全过程机械化程度。加强智能化设施设备配套，强化数字技术应用，推动建设垫江晚柚（柑橘）产业云服务平台、垫江晚柚（柑橘）智慧生态田园示范区、垫江晚柚（柑橘）3D数字化示范果园，运用大数据、5G等智慧技术为产业发展赋能。抓好标准园、改良园建设，统一选苗育苗、统一栽植标准、统一技术指导，持续改良品种、规范种植，实施精细化管理，打造规模化、集约化、标准化、机械化、智能化生产的现代化果园，积极申报创建垫江晚柚市级现代农业园区。到2025年，建设晚柚母本园、标准园、改良园3个，推进土地宜机化改造3.7万亩，新发展规模化、集约化、标准化、机械化、信息化等现代果园4万亩，改造老旧果园2万亩，全县晚柚种植面积达到10万亩，综合产值达到10亿元以上。</w:t>
      </w:r>
    </w:p>
    <w:bookmarkEnd w:id="59"/>
    <w:p w14:paraId="00B4F82A">
      <w:pPr>
        <w:keepNext w:val="0"/>
        <w:keepLines w:val="0"/>
        <w:pageBreakBefore w:val="0"/>
        <w:widowControl w:val="0"/>
        <w:kinsoku/>
        <w:wordWrap/>
        <w:topLinePunct w:val="0"/>
        <w:autoSpaceDE/>
        <w:autoSpaceDN/>
        <w:bidi w:val="0"/>
        <w:adjustRightInd/>
        <w:snapToGrid/>
        <w:spacing w:line="540" w:lineRule="exact"/>
        <w:ind w:firstLine="643"/>
        <w:textAlignment w:val="auto"/>
        <w:rPr>
          <w:rFonts w:eastAsia="方正仿宋_GBK"/>
          <w:color w:val="000000"/>
          <w:sz w:val="32"/>
          <w:szCs w:val="32"/>
        </w:rPr>
      </w:pPr>
      <w:r>
        <w:rPr>
          <w:rFonts w:eastAsia="方正仿宋_GBK"/>
          <w:b/>
          <w:bCs/>
          <w:color w:val="000000"/>
          <w:sz w:val="32"/>
          <w:szCs w:val="32"/>
        </w:rPr>
        <w:t>高质量发展蔬菜产业，建设蔬菜之乡。</w:t>
      </w:r>
      <w:r>
        <w:rPr>
          <w:rFonts w:eastAsia="方正仿宋_GBK"/>
          <w:color w:val="000000"/>
          <w:sz w:val="32"/>
          <w:szCs w:val="32"/>
        </w:rPr>
        <w:t>围绕优质榨菜、蜜本南瓜、时令蔬菜、设施蔬菜四大重点，立足“城区蔬菜自平衡供应基地”定位，以进入全市区县产量第一方阵为目标，调整蔬菜种类、规模，增种错季菜、补充特色菜，建立时令蔬菜基地18万亩，保数量、保质量、保多样。大力推进榨菜优势特色产业集群建设，推动榨菜产业由南向北延伸拓展，种植规模扩大到16万亩。大力发展蜜本南瓜，推动种植规模扩大到6万亩。加强蔬菜骨干品种培育力度。强化主体培育，支持新型经营主体发展设施蔬菜1万亩，提升生产效率，摊低生产成本，增强风险抵御能力。加大技术创新及推广力度，推进标准化生产，建设标准化基地，稳定产量水平。加强市场监测，加大“</w:t>
      </w:r>
      <w:r>
        <w:rPr>
          <w:rFonts w:hint="eastAsia" w:eastAsia="方正仿宋_GBK"/>
          <w:color w:val="000000"/>
          <w:sz w:val="32"/>
          <w:szCs w:val="32"/>
        </w:rPr>
        <w:t>菜篮子</w:t>
      </w:r>
      <w:r>
        <w:rPr>
          <w:rFonts w:eastAsia="方正仿宋_GBK"/>
          <w:color w:val="000000"/>
          <w:sz w:val="32"/>
          <w:szCs w:val="32"/>
        </w:rPr>
        <w:t>”产品生产、流通与储备等环节调节力度，确保在发生自然灾害、疫情影响、突发事件和重大节庆活动条件下产品市场有效供给、价格总体稳定。到2025年，建设榨菜、蜜本南瓜、时令蔬菜、设施蔬菜等四大基地建设，发展蔬菜种植40万亩、80万吨以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8"/>
      </w:tblGrid>
      <w:tr w14:paraId="372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noWrap w:val="0"/>
            <w:vAlign w:val="top"/>
          </w:tcPr>
          <w:p w14:paraId="3B63AD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 w:val="22"/>
                <w:szCs w:val="32"/>
              </w:rPr>
            </w:pPr>
            <w:r>
              <w:rPr>
                <w:b/>
                <w:bCs/>
                <w:color w:val="000000"/>
                <w:sz w:val="22"/>
                <w:szCs w:val="32"/>
              </w:rPr>
              <w:t>专栏5蔬菜产业重点发展举措</w:t>
            </w:r>
          </w:p>
        </w:tc>
      </w:tr>
      <w:tr w14:paraId="1EF9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8" w:type="dxa"/>
            <w:noWrap w:val="0"/>
            <w:vAlign w:val="top"/>
          </w:tcPr>
          <w:p w14:paraId="35EDDE02">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color w:val="000000"/>
                <w:sz w:val="22"/>
                <w:szCs w:val="32"/>
              </w:rPr>
            </w:pPr>
            <w:r>
              <w:rPr>
                <w:b/>
                <w:bCs/>
                <w:color w:val="000000"/>
                <w:sz w:val="22"/>
                <w:szCs w:val="32"/>
              </w:rPr>
              <w:t>加强品种选育。</w:t>
            </w:r>
            <w:r>
              <w:rPr>
                <w:color w:val="000000"/>
                <w:sz w:val="22"/>
                <w:szCs w:val="32"/>
              </w:rPr>
              <w:t>依托县内龙头企业争取建成蜜本南瓜品种改良中心和种繁基地，加大示范推广。</w:t>
            </w:r>
          </w:p>
          <w:p w14:paraId="7C86AD0D">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color w:val="000000"/>
                <w:sz w:val="22"/>
                <w:szCs w:val="32"/>
              </w:rPr>
            </w:pPr>
            <w:r>
              <w:rPr>
                <w:b/>
                <w:bCs/>
                <w:color w:val="000000"/>
                <w:sz w:val="22"/>
                <w:szCs w:val="32"/>
              </w:rPr>
              <w:t>推进标准化生产。</w:t>
            </w:r>
            <w:r>
              <w:rPr>
                <w:color w:val="000000"/>
                <w:sz w:val="22"/>
                <w:szCs w:val="32"/>
              </w:rPr>
              <w:t>优化区域布局，推广集约化育苗、高效丰产栽培和测土配方施肥技术，抓好病虫害绿色防控，建成市级榨菜、南瓜产业示范园区2个，打造蜜本南瓜产业特色优势区。</w:t>
            </w:r>
          </w:p>
          <w:p w14:paraId="6D7D63A4">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b/>
                <w:bCs/>
                <w:color w:val="000000"/>
                <w:sz w:val="22"/>
                <w:szCs w:val="32"/>
              </w:rPr>
            </w:pPr>
            <w:r>
              <w:rPr>
                <w:b/>
                <w:bCs/>
                <w:color w:val="000000"/>
                <w:sz w:val="22"/>
                <w:szCs w:val="32"/>
              </w:rPr>
              <w:t>实施品牌战略。</w:t>
            </w:r>
            <w:r>
              <w:rPr>
                <w:color w:val="000000"/>
                <w:sz w:val="22"/>
                <w:szCs w:val="32"/>
              </w:rPr>
              <w:t>在现有品牌产品的基础上，加大品牌扶持力度，引导骨干企业加强品牌营销推广，打造叫得响、立得住的知名品牌2个。同时鼓励企业成立联盟、抱团发展，做响区域公共品牌。</w:t>
            </w:r>
          </w:p>
        </w:tc>
      </w:tr>
    </w:tbl>
    <w:p w14:paraId="5AC9C4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eastAsia="方正楷体_GBK"/>
          <w:color w:val="auto"/>
          <w:sz w:val="32"/>
          <w:szCs w:val="32"/>
          <w:u w:val="none"/>
        </w:rPr>
      </w:pPr>
      <w:bookmarkStart w:id="61" w:name="_Toc72825905"/>
      <w:bookmarkStart w:id="62" w:name="_Toc108078365"/>
      <w:bookmarkStart w:id="63" w:name="_Toc48407533"/>
      <w:r>
        <w:rPr>
          <w:rFonts w:eastAsia="方正楷体_GBK"/>
          <w:sz w:val="32"/>
          <w:szCs w:val="32"/>
        </w:rPr>
        <w:t>第五节</w:t>
      </w:r>
      <w:r>
        <w:rPr>
          <w:rFonts w:hint="eastAsia" w:eastAsia="方正楷体_GBK"/>
          <w:sz w:val="32"/>
          <w:szCs w:val="32"/>
          <w:lang w:val="en-US" w:eastAsia="zh-CN"/>
        </w:rPr>
        <w:t xml:space="preserve">  </w:t>
      </w:r>
      <w:r>
        <w:rPr>
          <w:rFonts w:hint="eastAsia" w:eastAsia="方正楷体_GBK"/>
          <w:color w:val="auto"/>
          <w:sz w:val="32"/>
          <w:szCs w:val="32"/>
          <w:u w:val="none"/>
          <w:lang w:val="en-US" w:eastAsia="zh-CN"/>
        </w:rPr>
        <w:t>打造重庆近郊重要休闲旅游目的地</w:t>
      </w:r>
      <w:bookmarkEnd w:id="61"/>
      <w:bookmarkEnd w:id="62"/>
    </w:p>
    <w:p w14:paraId="063026E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eastAsia="方正仿宋_GBK"/>
          <w:sz w:val="32"/>
          <w:szCs w:val="32"/>
        </w:rPr>
      </w:pPr>
      <w:r>
        <w:rPr>
          <w:rFonts w:eastAsia="方正仿宋_GBK"/>
          <w:color w:val="auto"/>
          <w:sz w:val="32"/>
          <w:szCs w:val="32"/>
          <w:u w:val="none"/>
        </w:rPr>
        <w:t>依托县域现代高效特色农业发展基础，</w:t>
      </w:r>
      <w:r>
        <w:rPr>
          <w:rFonts w:hint="eastAsia" w:eastAsia="方正仿宋_GBK"/>
          <w:color w:val="auto"/>
          <w:sz w:val="32"/>
          <w:szCs w:val="32"/>
          <w:u w:val="none"/>
          <w:lang w:eastAsia="zh-CN"/>
        </w:rPr>
        <w:t>以“明月山沿线的沙坪、新民、桂溪至澄溪</w:t>
      </w:r>
      <w:r>
        <w:rPr>
          <w:rFonts w:hint="eastAsia" w:eastAsia="方正仿宋_GBK"/>
          <w:color w:val="auto"/>
          <w:sz w:val="32"/>
          <w:szCs w:val="32"/>
          <w:u w:val="none"/>
          <w:lang w:val="en-US" w:eastAsia="zh-CN"/>
        </w:rPr>
        <w:t>G243复线以西片区和长寿湖沿湖区域、市级乡村振兴重点帮扶乡镇大石乡</w:t>
      </w:r>
      <w:r>
        <w:rPr>
          <w:rFonts w:hint="eastAsia" w:eastAsia="方正仿宋_GBK"/>
          <w:color w:val="auto"/>
          <w:sz w:val="32"/>
          <w:szCs w:val="32"/>
          <w:u w:val="none"/>
          <w:lang w:eastAsia="zh-CN"/>
        </w:rPr>
        <w:t>”约</w:t>
      </w:r>
      <w:r>
        <w:rPr>
          <w:rFonts w:hint="eastAsia" w:eastAsia="方正仿宋_GBK"/>
          <w:color w:val="auto"/>
          <w:sz w:val="32"/>
          <w:szCs w:val="32"/>
          <w:u w:val="none"/>
          <w:lang w:val="en-US" w:eastAsia="zh-CN"/>
        </w:rPr>
        <w:t>400平方公里为主体，重点</w:t>
      </w:r>
      <w:r>
        <w:rPr>
          <w:rFonts w:eastAsia="方正仿宋_GBK"/>
          <w:color w:val="auto"/>
          <w:sz w:val="32"/>
          <w:szCs w:val="32"/>
          <w:u w:val="none"/>
        </w:rPr>
        <w:t>加强山水林田湖草系统治理，</w:t>
      </w:r>
      <w:r>
        <w:rPr>
          <w:rFonts w:hint="eastAsia" w:eastAsia="方正仿宋_GBK"/>
          <w:color w:val="auto"/>
          <w:sz w:val="32"/>
          <w:szCs w:val="32"/>
          <w:u w:val="none"/>
          <w:lang w:eastAsia="zh-CN"/>
        </w:rPr>
        <w:t>发挥良好的</w:t>
      </w:r>
      <w:r>
        <w:rPr>
          <w:rFonts w:eastAsia="方正仿宋_GBK"/>
          <w:color w:val="auto"/>
          <w:sz w:val="32"/>
          <w:szCs w:val="32"/>
          <w:u w:val="none"/>
        </w:rPr>
        <w:t>生态环</w:t>
      </w:r>
      <w:r>
        <w:rPr>
          <w:rFonts w:eastAsia="方正仿宋_GBK"/>
          <w:sz w:val="32"/>
          <w:szCs w:val="32"/>
        </w:rPr>
        <w:t>境、人文禀赋和旅游资源优势，促进农文旅融合发展，打造重庆近郊重要休闲旅游目的地。围绕乡村旅游化，做好“旅游+”“+旅游”文章，依托垫江县旅游资源禀赋，打造农文旅融合的国家康养文化旅游集聚区，创建市级全域旅游示范区。以“牡丹故里·康养垫江”为品牌，建设健康田园度假目的地；依托明月山瓜子坪、楠竹山、峰门铺、天池坝等独特地理环境，打造森林康养主题产品；依托仙草园中医药文化体验园，孵化中草药种植示范基地、中医药养生体验馆、中医药文化博物馆等医养旅游项目，打造医养主题产品；依托迎风湖、卧龙岩盐、东印茶山等生态旅游资源，打造以康养度假、温泉康养、生态康养为主题的康养产品。依托“三山四水四季花”乡村旅游发展思路，打好“牡丹”“康养”“盐浴”“古寨”“乡村”五张牌，推动百里四季花谷、温泉康养小镇、巴谷·宿集（二期）、茶山民宿文化小镇、明月山水乐园等文旅重点项目建设，改造提升牡丹樱花世界、牡丹水乡旅游区、迎风湖生态旅游度假区、宝鼎山生态旅游区建设、中华仙草园、毕桥乡愁园、李花源、华夏牡丹园等景点，建设全国山水牡丹旅游胜地、全市城乡融合发展示范区、全县农业农村现代化先行区、精品农业体验区、休闲摄影产业区、休闲农业观光区，打造牡丹之乡，发展集循环农业、创意农业、农事体验于一体乡村休闲旅游集聚区。串联长寿、梁平、万州等毗邻区县镇乡、村，打造休闲农业与乡村旅游示范片，发展集农事体验、水果采摘、休闲度假、自助垂钓、自驾旅居、精品民宿等于一体的“农文旅融合”新业态。到2025年，打造4条乡村旅游线路，建设2个休闲农业与乡村旅游示范镇、10个休闲农业与乡村旅游示范村、20个休闲农业与乡村旅游示范点、3个乡村休闲体验基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8"/>
      </w:tblGrid>
      <w:tr w14:paraId="3BE7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8" w:type="dxa"/>
            <w:noWrap w:val="0"/>
            <w:vAlign w:val="top"/>
          </w:tcPr>
          <w:p w14:paraId="3CCF39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b/>
                <w:bCs/>
                <w:sz w:val="21"/>
                <w:szCs w:val="21"/>
              </w:rPr>
            </w:pPr>
            <w:r>
              <w:rPr>
                <w:b/>
                <w:bCs/>
                <w:sz w:val="21"/>
                <w:szCs w:val="21"/>
              </w:rPr>
              <w:t>专栏6乡村休闲旅游业重点工程</w:t>
            </w:r>
          </w:p>
        </w:tc>
      </w:tr>
      <w:tr w14:paraId="6F02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8" w:type="dxa"/>
            <w:noWrap w:val="0"/>
            <w:vAlign w:val="top"/>
          </w:tcPr>
          <w:p w14:paraId="3AEB4B09">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rPr>
                <w:kern w:val="0"/>
                <w:sz w:val="21"/>
                <w:szCs w:val="21"/>
              </w:rPr>
            </w:pPr>
            <w:r>
              <w:rPr>
                <w:b/>
                <w:bCs/>
                <w:kern w:val="0"/>
                <w:sz w:val="21"/>
                <w:szCs w:val="21"/>
              </w:rPr>
              <w:t>重点景区升级工程。</w:t>
            </w:r>
            <w:r>
              <w:rPr>
                <w:kern w:val="0"/>
                <w:sz w:val="21"/>
                <w:szCs w:val="21"/>
              </w:rPr>
              <w:t>重点实施恺之峰旅游区建设项目、牡丹樱花世界景区二期、垫江李花源、仙草园中医文化旅游区、毕桥乡愁园、乐天花谷等完善景区内基础设施、景点打造、大数据管理等内容。</w:t>
            </w:r>
          </w:p>
          <w:p w14:paraId="246930B7">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rPr>
                <w:rFonts w:eastAsia="方正仿宋_GBK"/>
                <w:b/>
                <w:bCs/>
                <w:sz w:val="21"/>
                <w:szCs w:val="21"/>
              </w:rPr>
            </w:pPr>
            <w:r>
              <w:rPr>
                <w:b/>
                <w:bCs/>
                <w:kern w:val="0"/>
                <w:sz w:val="21"/>
                <w:szCs w:val="21"/>
              </w:rPr>
              <w:t>生态旅游度假区建设项目。</w:t>
            </w:r>
            <w:r>
              <w:rPr>
                <w:kern w:val="0"/>
                <w:sz w:val="21"/>
                <w:szCs w:val="21"/>
              </w:rPr>
              <w:t>大力推进明月山生态旅游度假区、重庆迎风湖生态旅游度假区、东印茶山生态旅游区、龙溪河生态康养产业带、宝鼎山生态旅游区等项目，配套完善基础设施、生态修复、生态治理，完成生态旅游度假区基本功能。</w:t>
            </w:r>
          </w:p>
        </w:tc>
      </w:tr>
      <w:bookmarkEnd w:id="63"/>
    </w:tbl>
    <w:p w14:paraId="453758E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eastAsia="方正黑体_GBK"/>
          <w:sz w:val="32"/>
          <w:szCs w:val="22"/>
        </w:rPr>
      </w:pPr>
      <w:bookmarkStart w:id="64" w:name="_Toc108078366"/>
      <w:r>
        <w:rPr>
          <w:rFonts w:eastAsia="方正黑体_GBK"/>
          <w:sz w:val="32"/>
          <w:szCs w:val="22"/>
        </w:rPr>
        <w:t xml:space="preserve">第五章 </w:t>
      </w:r>
      <w:r>
        <w:rPr>
          <w:rFonts w:hint="eastAsia" w:eastAsia="方正黑体_GBK"/>
          <w:sz w:val="32"/>
          <w:szCs w:val="22"/>
          <w:lang w:val="en-US" w:eastAsia="zh-CN"/>
        </w:rPr>
        <w:t xml:space="preserve"> </w:t>
      </w:r>
      <w:r>
        <w:rPr>
          <w:rFonts w:eastAsia="方正黑体_GBK"/>
          <w:sz w:val="32"/>
          <w:szCs w:val="22"/>
        </w:rPr>
        <w:t>提升农业科技创新水平</w:t>
      </w:r>
      <w:bookmarkEnd w:id="64"/>
    </w:p>
    <w:p w14:paraId="5D39FA1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lang w:bidi="zh-CN"/>
        </w:rPr>
      </w:pPr>
      <w:bookmarkStart w:id="65" w:name="_Hlk72660612"/>
      <w:r>
        <w:rPr>
          <w:rFonts w:eastAsia="方正仿宋_GBK"/>
          <w:sz w:val="32"/>
          <w:szCs w:val="32"/>
          <w:lang w:bidi="zh-CN"/>
        </w:rPr>
        <w:t>优化科技资源配置，加强多层次创新平台建设，强化协同创新，提升农业科技创新能力和成果转化能力，全面提升农业生产技术装备水平。</w:t>
      </w:r>
    </w:p>
    <w:bookmarkEnd w:id="65"/>
    <w:p w14:paraId="5E3179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66" w:name="_Toc108078367"/>
      <w:r>
        <w:rPr>
          <w:rFonts w:eastAsia="方正楷体_GBK"/>
          <w:sz w:val="32"/>
          <w:szCs w:val="22"/>
        </w:rPr>
        <w:t xml:space="preserve">第一节 </w:t>
      </w:r>
      <w:r>
        <w:rPr>
          <w:rFonts w:hint="eastAsia" w:eastAsia="方正楷体_GBK"/>
          <w:sz w:val="32"/>
          <w:szCs w:val="22"/>
          <w:lang w:val="en-US" w:eastAsia="zh-CN"/>
        </w:rPr>
        <w:t xml:space="preserve"> </w:t>
      </w:r>
      <w:r>
        <w:rPr>
          <w:rFonts w:eastAsia="方正楷体_GBK"/>
          <w:sz w:val="32"/>
          <w:szCs w:val="22"/>
        </w:rPr>
        <w:t>强化农业科技支撑</w:t>
      </w:r>
      <w:bookmarkEnd w:id="66"/>
    </w:p>
    <w:p w14:paraId="7D6A826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创建农业科技成果转化平台。</w:t>
      </w:r>
      <w:r>
        <w:rPr>
          <w:rFonts w:eastAsia="方正仿宋_GBK"/>
          <w:sz w:val="32"/>
          <w:szCs w:val="32"/>
        </w:rPr>
        <w:t>推动政府与大专院校、科研机构、龙头企业之间的科技成果信息互通共享，支持有条件的龙头企业建立研发中心。重点围绕水稻制种、晚柚、蜜本南瓜等品种研发，重点建设</w:t>
      </w:r>
      <w:bookmarkStart w:id="67" w:name="_Hlk57316076"/>
      <w:r>
        <w:rPr>
          <w:rFonts w:eastAsia="方正仿宋_GBK"/>
          <w:sz w:val="32"/>
          <w:szCs w:val="32"/>
        </w:rPr>
        <w:t>中国农业大学垫江教授工作站、重庆市农科院垫江分院、杂交水稻育种重庆重点实验室、国家耐热杂交稻创新基地</w:t>
      </w:r>
      <w:bookmarkEnd w:id="67"/>
      <w:r>
        <w:rPr>
          <w:rFonts w:eastAsia="方正仿宋_GBK"/>
          <w:sz w:val="32"/>
          <w:szCs w:val="32"/>
        </w:rPr>
        <w:t>。加强与瞰天科技、极目科技、伽和科技等农业高科技企业，建设垫江数字农业云平台，探索共建产业技术创新战略联盟、农业科技创新平台、农业重点实验室，加大科技特派员工作站建设支持力度，积极承接市级以上重大科技项目。</w:t>
      </w:r>
    </w:p>
    <w:p w14:paraId="25F154E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健全科技成果转化激励机制。</w:t>
      </w:r>
      <w:r>
        <w:rPr>
          <w:rFonts w:eastAsia="方正仿宋_GBK"/>
          <w:sz w:val="32"/>
          <w:szCs w:val="32"/>
        </w:rPr>
        <w:t>加强科技成果入乡转化，基层农技推广体系改革，构建“农科教、产学研”一体化农技推广联盟，高质量派遣科技特派员，加强农业生产技术服务指导。建立健全科技成果奖励报酬制度，加大农产品加工企业研发支持力度，采取入股奖励、收益分成、股权奖励、股权出售、期权奖励、分红奖励等激励方式，调动农业科研人员工作积极性。健全县乡村三级科技服务体系，推广“专家+农业技术人员+科技示范户+辐射带动户”服务指导模式，支持各类社会力量广泛参与农业科技推广。力争到2025年，农业科技进步贡献率达到60%。</w:t>
      </w:r>
    </w:p>
    <w:p w14:paraId="0B10111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68" w:name="_Toc108078368"/>
      <w:r>
        <w:rPr>
          <w:rFonts w:eastAsia="方正楷体_GBK"/>
          <w:sz w:val="32"/>
          <w:szCs w:val="22"/>
        </w:rPr>
        <w:t xml:space="preserve">第二节 </w:t>
      </w:r>
      <w:r>
        <w:rPr>
          <w:rFonts w:hint="eastAsia" w:eastAsia="方正楷体_GBK"/>
          <w:sz w:val="32"/>
          <w:szCs w:val="22"/>
          <w:lang w:val="en-US" w:eastAsia="zh-CN"/>
        </w:rPr>
        <w:t xml:space="preserve"> </w:t>
      </w:r>
      <w:r>
        <w:rPr>
          <w:rFonts w:eastAsia="方正楷体_GBK"/>
          <w:sz w:val="32"/>
          <w:szCs w:val="22"/>
        </w:rPr>
        <w:t>提升农业机械化水平</w:t>
      </w:r>
      <w:bookmarkEnd w:id="68"/>
    </w:p>
    <w:p w14:paraId="37A824C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推进农业机械化全程全面发展。</w:t>
      </w:r>
      <w:r>
        <w:rPr>
          <w:rFonts w:eastAsia="方正仿宋_GBK"/>
          <w:sz w:val="32"/>
          <w:szCs w:val="32"/>
        </w:rPr>
        <w:t>立足全程机械化、全面机械化，补齐产前和产后机械化生产短板，大力开展水稻、油菜、晚柚等作物全程机械化生产示范，围绕整地、栽植、收获、植保、烘干和秸秆处理等主要环节机械化，提高产前产中产后全程机械化水平，探索畜禽养殖场、果园、菜园机械化生产新技术、新方式，打造一批农业生产全程机械化集成示范工程。强化农机农艺融合，加快选育和推广适于机械化作业、轻简化栽培的品种，促使良种、良法、良地、良机配套。落实好各项农机补贴政策，开发农机购置补贴APP，加强信息化应用。到2025年，农业耕种收综合机械化水平提高到65%。</w:t>
      </w:r>
    </w:p>
    <w:p w14:paraId="2D7D5D6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b/>
          <w:bCs/>
          <w:sz w:val="32"/>
          <w:szCs w:val="32"/>
        </w:rPr>
      </w:pPr>
      <w:r>
        <w:rPr>
          <w:rFonts w:eastAsia="方正仿宋_GBK"/>
          <w:b/>
          <w:bCs/>
          <w:sz w:val="32"/>
          <w:szCs w:val="32"/>
        </w:rPr>
        <w:t>推动农机农业融合发展。</w:t>
      </w:r>
      <w:r>
        <w:rPr>
          <w:rFonts w:eastAsia="方正仿宋_GBK"/>
          <w:sz w:val="32"/>
          <w:szCs w:val="32"/>
        </w:rPr>
        <w:t>积极推广适合丘陵、山地耕作的农机具，坚持装备大中动力与微小轻简机型互补，加强中型农机推广力度。开展农产品初加工等关键机械化技术试点示范，强化农机、农艺和信息化技术融合。组织实施好农机新产品及无人机补贴试点。着力解决山地和小块农田机械化技术与装备问题。实施农业领域“机器换人”推进行动计划，鼓励县内装备制造企业发展农机装备产业，坚持装备大中型动力与微小轻简机型互补，推广先进适用的山地农机具。加快发展“智慧农机”，开展农机装备智能化示范，推动植保无人机、播种无人机等新装备在规模种养领域率先应用，建设一批大田作物精准耕作、智慧养殖、园艺作物智能化生产等数字农业示范基地。</w:t>
      </w:r>
    </w:p>
    <w:p w14:paraId="29CA25C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b/>
          <w:bCs/>
          <w:sz w:val="32"/>
          <w:szCs w:val="32"/>
        </w:rPr>
      </w:pPr>
      <w:r>
        <w:rPr>
          <w:rFonts w:eastAsia="方正仿宋_GBK"/>
          <w:b/>
          <w:bCs/>
          <w:sz w:val="32"/>
          <w:szCs w:val="32"/>
        </w:rPr>
        <w:t>建立健全农机社会化服务体系。</w:t>
      </w:r>
      <w:r>
        <w:rPr>
          <w:rFonts w:eastAsia="方正仿宋_GBK"/>
          <w:sz w:val="32"/>
          <w:szCs w:val="32"/>
        </w:rPr>
        <w:t>培育壮大农机大户、农机专业户以及农机合作社、农机作业公司等新型农机服务组织，支持农机服务组织开展多种形式适度规模经营，鼓励家庭农场、农业企业等新型农业经营</w:t>
      </w:r>
      <w:r>
        <w:rPr>
          <w:rFonts w:eastAsia="方正仿宋_GBK"/>
          <w:sz w:val="32"/>
          <w:szCs w:val="32"/>
          <w:lang w:bidi="zh-CN"/>
        </w:rPr>
        <w:t>主体</w:t>
      </w:r>
      <w:r>
        <w:rPr>
          <w:rFonts w:eastAsia="方正仿宋_GBK"/>
          <w:sz w:val="32"/>
          <w:szCs w:val="32"/>
        </w:rPr>
        <w:t>从事农机作业服务。创新农机社会化服务方式，推行“自有基地+社会化服务”“生产服务+综合农事服务”等。综合运用奖励、补贴、税收优惠等政策工具，加大对农机服务组织的政策支持。引导金融机构加大对农机企业和新型农机服务组织的信贷投放。推进农机服务机制创新，鼓励农机服务主体通过多种形式开展高效便捷的农机作业服务，积极推进政府购买农机社会化服务。支持农业院校、农机企业合作探索“双主体”育人机制，培养一批创新型、应用型、复合型农业机械化人才。</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6"/>
      </w:tblGrid>
      <w:tr w14:paraId="7992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6" w:type="dxa"/>
            <w:noWrap w:val="0"/>
            <w:vAlign w:val="top"/>
          </w:tcPr>
          <w:p w14:paraId="097A8E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b/>
                <w:bCs/>
                <w:sz w:val="21"/>
                <w:szCs w:val="21"/>
              </w:rPr>
            </w:pPr>
            <w:bookmarkStart w:id="69" w:name="_Hlk73345345"/>
            <w:r>
              <w:rPr>
                <w:b/>
                <w:bCs/>
                <w:sz w:val="21"/>
                <w:szCs w:val="21"/>
              </w:rPr>
              <w:t>专栏7农业科技成果转化应用工程</w:t>
            </w:r>
          </w:p>
        </w:tc>
      </w:tr>
      <w:tr w14:paraId="2CEC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6" w:type="dxa"/>
            <w:noWrap w:val="0"/>
            <w:vAlign w:val="top"/>
          </w:tcPr>
          <w:p w14:paraId="58D382D4">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rPr>
                <w:kern w:val="0"/>
                <w:sz w:val="21"/>
                <w:szCs w:val="21"/>
              </w:rPr>
            </w:pPr>
            <w:r>
              <w:rPr>
                <w:b/>
                <w:bCs/>
                <w:kern w:val="0"/>
                <w:sz w:val="21"/>
                <w:szCs w:val="21"/>
              </w:rPr>
              <w:t>农业科技成果转化平台建设。</w:t>
            </w:r>
            <w:r>
              <w:rPr>
                <w:kern w:val="0"/>
                <w:sz w:val="21"/>
                <w:szCs w:val="21"/>
              </w:rPr>
              <w:t>争取建设全国农业技术转移服务中心与国家农业科技服务云平台，国家级、市级农业科技成果中试基地和成果转化中心。创建市级农业科技试验示范基地4-5个，每个基地建设农民田间学校1所，开展新品种及新技术的试验示范。</w:t>
            </w:r>
          </w:p>
          <w:p w14:paraId="0CC0CB3B">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rPr>
                <w:b/>
                <w:bCs/>
                <w:kern w:val="0"/>
                <w:sz w:val="21"/>
                <w:szCs w:val="21"/>
              </w:rPr>
            </w:pPr>
            <w:r>
              <w:rPr>
                <w:b/>
                <w:bCs/>
                <w:kern w:val="0"/>
                <w:sz w:val="21"/>
                <w:szCs w:val="21"/>
              </w:rPr>
              <w:t>优化农业科技推广体系。</w:t>
            </w:r>
            <w:r>
              <w:rPr>
                <w:kern w:val="0"/>
                <w:sz w:val="21"/>
                <w:szCs w:val="21"/>
              </w:rPr>
              <w:t>加强与市农科院、市畜科院、袁隆平重庆院士专家工作站等科研机构科技合作，加大力度建设科技特派员工作站，选派科技特派员55人，科技特派员服务乡镇达到80%以上。</w:t>
            </w:r>
          </w:p>
          <w:p w14:paraId="732FD420">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rPr>
                <w:rFonts w:eastAsia="方正仿宋_GBK"/>
                <w:b/>
                <w:bCs/>
                <w:sz w:val="21"/>
                <w:szCs w:val="21"/>
              </w:rPr>
            </w:pPr>
            <w:r>
              <w:rPr>
                <w:b/>
                <w:bCs/>
                <w:kern w:val="0"/>
                <w:sz w:val="21"/>
                <w:szCs w:val="21"/>
              </w:rPr>
              <w:t>优化农业科技推广模式。</w:t>
            </w:r>
            <w:r>
              <w:rPr>
                <w:kern w:val="0"/>
                <w:sz w:val="21"/>
                <w:szCs w:val="21"/>
              </w:rPr>
              <w:t>结合优势特色产业发展需求，每个产业确定技术专家1名，带动农技推广人员10名，其中乡镇农技人员比例不低于70%，开展农业生产技术攻关；每个农技推广人员联系3-5名科技示范户，每个科技示范户口辐射周边农户10户。</w:t>
            </w:r>
          </w:p>
        </w:tc>
      </w:tr>
      <w:bookmarkEnd w:id="69"/>
    </w:tbl>
    <w:p w14:paraId="52DF5A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70" w:name="_Toc108078369"/>
      <w:r>
        <w:rPr>
          <w:rFonts w:eastAsia="方正楷体_GBK"/>
          <w:sz w:val="32"/>
          <w:szCs w:val="22"/>
        </w:rPr>
        <w:t xml:space="preserve">第三节 </w:t>
      </w:r>
      <w:r>
        <w:rPr>
          <w:rFonts w:hint="eastAsia" w:eastAsia="方正楷体_GBK"/>
          <w:sz w:val="32"/>
          <w:szCs w:val="22"/>
          <w:lang w:val="en-US" w:eastAsia="zh-CN"/>
        </w:rPr>
        <w:t xml:space="preserve"> </w:t>
      </w:r>
      <w:r>
        <w:rPr>
          <w:rFonts w:eastAsia="方正楷体_GBK"/>
          <w:sz w:val="32"/>
          <w:szCs w:val="22"/>
        </w:rPr>
        <w:t>大力发展智慧农业</w:t>
      </w:r>
      <w:bookmarkEnd w:id="70"/>
    </w:p>
    <w:p w14:paraId="4EA8E26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加快推进生产数字化转型。</w:t>
      </w:r>
      <w:r>
        <w:rPr>
          <w:rFonts w:eastAsia="方正仿宋_GBK"/>
          <w:sz w:val="32"/>
          <w:szCs w:val="32"/>
        </w:rPr>
        <w:t>推进农业产业链关键环节智能化建设，重点围绕垫江晚柚、生猪、制种等优势产业，构建产业互联网、智能化种植养殖生产设施设备、数字化规范管理系统。促进信息技术在农业生产管理、加工流通、市场销售、安全追溯等环节融合应用。推进农机化与大数据智能化深度融合发展，完善农机管理系统，加快实现农机调度、安全监管、推广展示的信息化、智能化，显著提高农机作业质量和效率。聚力开展现代农业产业园智能化示范，依托国家现代农业（种业）产业园打造全县智慧农业技术发展先行区、产业集聚区和企业孵化区。加快建设天空地一体化智慧农业监测体系，综合利用卫星遥感、无人机、物联网、云计算等现代信息技术和设施设备，对农业资源要素、生产过程、时空方位及生产环境进行感知、诊断、决策，精准指导县域智慧农业生产发展。</w:t>
      </w:r>
    </w:p>
    <w:p w14:paraId="289F597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b/>
          <w:bCs/>
          <w:sz w:val="32"/>
          <w:szCs w:val="32"/>
        </w:rPr>
      </w:pPr>
      <w:r>
        <w:rPr>
          <w:rFonts w:eastAsia="方正仿宋_GBK"/>
          <w:b/>
          <w:bCs/>
          <w:sz w:val="32"/>
          <w:szCs w:val="32"/>
        </w:rPr>
        <w:t>发展壮大农村电子商务。</w:t>
      </w:r>
      <w:r>
        <w:rPr>
          <w:rFonts w:eastAsia="方正仿宋_GBK"/>
          <w:sz w:val="32"/>
          <w:szCs w:val="32"/>
        </w:rPr>
        <w:t>大力实施“互联网+”农产品出村进城工程，加强农产品网销基础</w:t>
      </w:r>
      <w:r>
        <w:rPr>
          <w:rFonts w:eastAsia="方正仿宋_GBK"/>
          <w:sz w:val="32"/>
          <w:szCs w:val="32"/>
          <w:lang w:bidi="zh-CN"/>
        </w:rPr>
        <w:t>设施</w:t>
      </w:r>
      <w:r>
        <w:rPr>
          <w:rFonts w:eastAsia="方正仿宋_GBK"/>
          <w:sz w:val="32"/>
          <w:szCs w:val="32"/>
        </w:rPr>
        <w:t>建设，引导优势特色产业与农产品电子商务融合发展，建设网销农产品集中产区和产业带，提升农产品网销能力。鼓励电商企业、农业企业政府开展合作，建立农产品电商孵化基地、产业园等服务机构，提升农产品商品化服务能力。鼓励各类农业生产经营主体加强农产品分等分级、加工包装、冷链物流等基础设施建设，提升农产品标准化、电商化改造能力。引导建设农产品商品化处理设施，就近服务基地、服务农户、服务产业。推进区域电商仓储物流分拨中心建设，提高农村电商物流集约化、规模化、智慧化水平，提升农产品电商配送能力。</w:t>
      </w:r>
    </w:p>
    <w:p w14:paraId="5AB6C97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加快推进农业数据管理。</w:t>
      </w:r>
      <w:r>
        <w:rPr>
          <w:rFonts w:eastAsia="方正仿宋_GBK"/>
          <w:sz w:val="32"/>
          <w:szCs w:val="32"/>
        </w:rPr>
        <w:t>根据全市政务数据资源目录编制规范等标准体系，制定全县涉农数据资源目录体系和相关标准，整合各类农业资源、生产、市场、加工、科教、监管执法和政务服务等领域数据，推动实现农业农村数据资源共建共享、系统互联互通、业务协作协同。挖掘农业大数据商用、政用、民用价值，生产服务政府、服务市场、服务公众的农业大数据产品，促进农业提质增效。开展以水稻制种、晚柚、生猪等为重点的单品种全产业链大数据综合应用试点，探索可复制的农业全产业链数字化改造模式。</w:t>
      </w:r>
    </w:p>
    <w:p w14:paraId="25C5B6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22"/>
        </w:rPr>
      </w:pPr>
      <w:r>
        <w:rPr>
          <w:rFonts w:eastAsia="方正仿宋_GBK"/>
          <w:b/>
          <w:bCs/>
          <w:sz w:val="32"/>
          <w:szCs w:val="22"/>
        </w:rPr>
        <w:t>强化农村综合信息服务。</w:t>
      </w:r>
      <w:r>
        <w:rPr>
          <w:rFonts w:eastAsia="方正仿宋_GBK"/>
          <w:sz w:val="32"/>
          <w:szCs w:val="22"/>
        </w:rPr>
        <w:t>积极推进益农信息社建设，落地公益、便民、电商、培训4类服务，全面整合农村现有服务资源，推动实现信息进村入户。结合特色农产品优势区、“一村一品”示范乡镇，建设具有明确产业定位、文化内涵、旅游特征和社区功能的农业特色“互联网”示范小镇，推动智慧农业与互联网、旅游、教育、文化、康养等产业深度融合，培育农村新产业新业态新模式。推进手机“新农具”应用，把农民手机培训纳入新型职业农民培训内容，带动基层群众“触网”。推进农业气象服务标准化建设，建成标准化农业气象服务区，精细化智能服务覆盖全部新型农业经营主体。</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61AF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3" w:type="dxa"/>
            <w:noWrap w:val="0"/>
            <w:vAlign w:val="center"/>
          </w:tcPr>
          <w:p w14:paraId="0A2464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b/>
                <w:bCs/>
                <w:sz w:val="21"/>
                <w:szCs w:val="21"/>
              </w:rPr>
            </w:pPr>
            <w:r>
              <w:rPr>
                <w:b/>
                <w:bCs/>
                <w:sz w:val="21"/>
                <w:szCs w:val="21"/>
              </w:rPr>
              <w:t>专栏8智慧农业发展工程</w:t>
            </w:r>
          </w:p>
        </w:tc>
      </w:tr>
      <w:tr w14:paraId="64F7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3" w:type="dxa"/>
            <w:noWrap w:val="0"/>
            <w:vAlign w:val="top"/>
          </w:tcPr>
          <w:p w14:paraId="63B0A70A">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rPr>
                <w:kern w:val="0"/>
                <w:sz w:val="21"/>
                <w:szCs w:val="21"/>
              </w:rPr>
            </w:pPr>
            <w:r>
              <w:rPr>
                <w:b/>
                <w:bCs/>
                <w:kern w:val="0"/>
                <w:sz w:val="21"/>
                <w:szCs w:val="21"/>
              </w:rPr>
              <w:t>农业生产智能化重点项目。</w:t>
            </w:r>
            <w:r>
              <w:rPr>
                <w:kern w:val="0"/>
                <w:sz w:val="21"/>
                <w:szCs w:val="21"/>
              </w:rPr>
              <w:t>建设10个智慧农业示范点、3个市级智慧农业产业园，打造4个宜机化智能生产示范基地，建设智慧农业天空地一体化农业物联网管理平台，形成全县农业产业数字地图，推动实现主要农作物智能监测与预警全覆盖。</w:t>
            </w:r>
          </w:p>
          <w:p w14:paraId="2899EE39">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rPr>
                <w:kern w:val="0"/>
                <w:sz w:val="21"/>
                <w:szCs w:val="21"/>
              </w:rPr>
            </w:pPr>
            <w:r>
              <w:rPr>
                <w:b/>
                <w:bCs/>
                <w:kern w:val="0"/>
                <w:sz w:val="21"/>
                <w:szCs w:val="21"/>
              </w:rPr>
              <w:t>农产品网销工程重点项目。</w:t>
            </w:r>
            <w:r>
              <w:rPr>
                <w:kern w:val="0"/>
                <w:sz w:val="21"/>
                <w:szCs w:val="21"/>
              </w:rPr>
              <w:t>力争打造2个年网上销售额达1亿元的全国知名农产品品牌，建设县级农产品电商资源汇聚公益平台，培育年销售额超过5000万元的农产品电子商务主体5个以上，建设10个综合型电商平台、2个网销农产品仓储物流分拨中心，积极引导垫江晚柚、垫江藠头、“树臣”牛肉、“鹭馨”酱板鸭、川久蒸鸭、鹅莱福、大石人家等特色农产品线上销售。</w:t>
            </w:r>
          </w:p>
          <w:p w14:paraId="44B3B523">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rPr>
                <w:rFonts w:eastAsia="方正仿宋_GBK"/>
                <w:b/>
                <w:bCs/>
                <w:sz w:val="21"/>
                <w:szCs w:val="21"/>
              </w:rPr>
            </w:pPr>
            <w:r>
              <w:rPr>
                <w:b/>
                <w:bCs/>
                <w:kern w:val="0"/>
                <w:sz w:val="21"/>
                <w:szCs w:val="21"/>
              </w:rPr>
              <w:t>推进信息进村重点项目。</w:t>
            </w:r>
            <w:r>
              <w:rPr>
                <w:kern w:val="0"/>
                <w:sz w:val="21"/>
                <w:szCs w:val="21"/>
              </w:rPr>
              <w:t>县域益农信息社达到26个以上、发展并培训信息员100名以上，实现信息进村入户实现网络全覆盖、服务无盲区、运营可持续。</w:t>
            </w:r>
          </w:p>
        </w:tc>
      </w:tr>
    </w:tbl>
    <w:p w14:paraId="3905A5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32"/>
        </w:rPr>
      </w:pPr>
      <w:r>
        <w:rPr>
          <w:rFonts w:eastAsia="方正楷体_GBK"/>
          <w:sz w:val="32"/>
          <w:szCs w:val="32"/>
        </w:rPr>
        <w:t xml:space="preserve">第四节 </w:t>
      </w:r>
      <w:r>
        <w:rPr>
          <w:rFonts w:hint="eastAsia" w:eastAsia="方正楷体_GBK"/>
          <w:sz w:val="32"/>
          <w:szCs w:val="32"/>
          <w:lang w:val="en-US" w:eastAsia="zh-CN"/>
        </w:rPr>
        <w:t xml:space="preserve"> </w:t>
      </w:r>
      <w:r>
        <w:rPr>
          <w:rFonts w:eastAsia="方正楷体_GBK"/>
          <w:sz w:val="32"/>
          <w:szCs w:val="32"/>
        </w:rPr>
        <w:t>打造产业发展新载体</w:t>
      </w:r>
    </w:p>
    <w:p w14:paraId="412DF02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sz w:val="32"/>
          <w:szCs w:val="32"/>
        </w:rPr>
        <w:t>实施现代农业园区建设工程，按照建园规模化、品种优良化、管护标准化、技术科技化、产品品牌化、管理智能化、营销多样化的要求，推进“生产+加工+科技+品牌”一体化，推动国家级现代农业产业园创建，推动水稻市级现代农业产业园创建，形成以国家级现代农业产业园为龙头、市级现代农业产业园为骨干、县级现代农业产业园为基础的发展格局。实施农业产业强镇建设工程，聚焦主导产业，打造一批“一村一品”示范村和农业产业强镇，培育乡村产业增长极，示范带动乡村产业转型升级。做好创建特色农产品优势区，畜牧业绿色发展示范县、现代农业产业园，国家农村产业融合发展示范园、农业产业强镇，加强“一村一品”示范村建设，促进乡村特色产业发展。到2025年，争创1个优势特色产业集群，2个国家级现代农业产业园区（晚柚、种业），1个市级农业产业园，1个市级种业产业园，建成1-2个国家级农业产业强镇、40个“一村一品”示范村镇。</w:t>
      </w:r>
    </w:p>
    <w:p w14:paraId="79645E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eastAsia="方正黑体_GBK"/>
          <w:sz w:val="32"/>
          <w:szCs w:val="32"/>
        </w:rPr>
      </w:pPr>
      <w:bookmarkStart w:id="71" w:name="_Toc108078371"/>
      <w:r>
        <w:rPr>
          <w:rFonts w:eastAsia="方正黑体_GBK"/>
          <w:sz w:val="32"/>
          <w:szCs w:val="32"/>
        </w:rPr>
        <w:t xml:space="preserve">第六章 </w:t>
      </w:r>
      <w:r>
        <w:rPr>
          <w:rFonts w:hint="eastAsia" w:eastAsia="方正黑体_GBK"/>
          <w:sz w:val="32"/>
          <w:szCs w:val="32"/>
          <w:lang w:val="en-US" w:eastAsia="zh-CN"/>
        </w:rPr>
        <w:t xml:space="preserve"> </w:t>
      </w:r>
      <w:r>
        <w:rPr>
          <w:rFonts w:eastAsia="方正黑体_GBK"/>
          <w:sz w:val="32"/>
          <w:szCs w:val="32"/>
        </w:rPr>
        <w:t>推进质量兴农品牌强农</w:t>
      </w:r>
      <w:bookmarkEnd w:id="71"/>
    </w:p>
    <w:p w14:paraId="5E8FD34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黑体_GBK"/>
          <w:sz w:val="32"/>
          <w:szCs w:val="32"/>
        </w:rPr>
      </w:pPr>
      <w:r>
        <w:rPr>
          <w:rFonts w:eastAsia="方正仿宋_GBK"/>
          <w:sz w:val="32"/>
          <w:szCs w:val="32"/>
        </w:rPr>
        <w:t>加强品种品质品牌和农业生产标准体系建设，以品种提品质、以品质创品牌、以品牌增效益，不断增强优质农产品供给能力，提升农产品综合竞争力。</w:t>
      </w:r>
    </w:p>
    <w:p w14:paraId="7529EC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32"/>
        </w:rPr>
      </w:pPr>
      <w:bookmarkStart w:id="72" w:name="_Toc108078372"/>
      <w:r>
        <w:rPr>
          <w:rFonts w:eastAsia="方正楷体_GBK"/>
          <w:sz w:val="32"/>
          <w:szCs w:val="32"/>
        </w:rPr>
        <w:t xml:space="preserve">第一节 </w:t>
      </w:r>
      <w:r>
        <w:rPr>
          <w:rFonts w:hint="eastAsia" w:eastAsia="方正楷体_GBK"/>
          <w:sz w:val="32"/>
          <w:szCs w:val="32"/>
          <w:lang w:val="en-US" w:eastAsia="zh-CN"/>
        </w:rPr>
        <w:t xml:space="preserve"> </w:t>
      </w:r>
      <w:r>
        <w:rPr>
          <w:rFonts w:eastAsia="方正楷体_GBK"/>
          <w:sz w:val="32"/>
          <w:szCs w:val="32"/>
        </w:rPr>
        <w:t>优化农产品品种结构</w:t>
      </w:r>
      <w:bookmarkEnd w:id="72"/>
    </w:p>
    <w:p w14:paraId="618D0ED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选育优良品种。</w:t>
      </w:r>
      <w:r>
        <w:rPr>
          <w:rFonts w:eastAsia="方正仿宋_GBK"/>
          <w:sz w:val="32"/>
          <w:szCs w:val="32"/>
        </w:rPr>
        <w:t>加强垫江晚柚、垫江优质李、牡丹、芍药等种质资源保护与利用；加快推进“渝州白鹅”新品种（配套系）培育，推进垫江牡丹、垫江芍药农业品牌做大做强，打造垫江一线新品牌。以重庆中医药研究院、农科院等科研院所为依托，开展晚柚、粮油、蔬果新奇品种等领域育种、育苗研发。以产业化资源收集为基础，扎实推进基因资源的保存、评价，开展常规品种的提纯与培育。实施良种创新工程，围绕杂交水稻、油菜、玉米、蔬菜、中药材、特色家禽等领域，重点选育一批高产优质新品种。</w:t>
      </w:r>
    </w:p>
    <w:p w14:paraId="78CAF11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b/>
          <w:bCs/>
          <w:sz w:val="32"/>
          <w:szCs w:val="32"/>
        </w:rPr>
      </w:pPr>
      <w:r>
        <w:rPr>
          <w:rFonts w:eastAsia="方正仿宋_GBK"/>
          <w:b/>
          <w:bCs/>
          <w:sz w:val="32"/>
          <w:szCs w:val="32"/>
        </w:rPr>
        <w:t>推广优良品种。</w:t>
      </w:r>
      <w:r>
        <w:rPr>
          <w:rFonts w:eastAsia="方正仿宋_GBK"/>
          <w:sz w:val="32"/>
          <w:szCs w:val="32"/>
        </w:rPr>
        <w:t>筛选50个特色农业主导品种，加大示范推广力度，加速推进优良品种全域覆盖。粮油产业重点推广国标三级、部颁二级优质稻、高含油油菜等品种。蔬菜产业重点推广涪杂系列榨菜、蜜本南瓜等品种。水果产业重点推广垫江晚柚、垫江优质李、爱媛38号、大雅、春见等品种。畜禽产业重点推广洋三元生猪、荣昌猪、西门塔尔牛、波尔山羊、罗曼鸡、渝州白鹅等品种。水产品重点推广花鲢、白鲢、草鱼、鲫鱼、鲤鱼、小龙虾、黄颡鱼等品种。调味品重点推藤椒、笋壳青菜等新品种。中药材重点推广牡丹、芍药、紫苏、香樟等品种。特色经济林重点推广油樟、油桐、笋竹等品种。推动优势产业新品种覆盖率超过98%。</w:t>
      </w:r>
    </w:p>
    <w:p w14:paraId="3115B97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32"/>
        </w:rPr>
      </w:pPr>
      <w:bookmarkStart w:id="73" w:name="_Toc108078373"/>
      <w:r>
        <w:rPr>
          <w:rFonts w:eastAsia="方正楷体_GBK"/>
          <w:sz w:val="32"/>
          <w:szCs w:val="32"/>
        </w:rPr>
        <w:t>第二节</w:t>
      </w:r>
      <w:r>
        <w:rPr>
          <w:rFonts w:hint="eastAsia" w:eastAsia="方正楷体_GBK"/>
          <w:sz w:val="32"/>
          <w:szCs w:val="32"/>
          <w:lang w:val="en-US" w:eastAsia="zh-CN"/>
        </w:rPr>
        <w:t xml:space="preserve"> </w:t>
      </w:r>
      <w:r>
        <w:rPr>
          <w:rFonts w:eastAsia="方正楷体_GBK"/>
          <w:sz w:val="32"/>
          <w:szCs w:val="32"/>
        </w:rPr>
        <w:t xml:space="preserve"> 保障农产品质量安全</w:t>
      </w:r>
      <w:bookmarkEnd w:id="73"/>
    </w:p>
    <w:p w14:paraId="1B4F90F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提升农业标准化水平。</w:t>
      </w:r>
      <w:r>
        <w:rPr>
          <w:rFonts w:eastAsia="方正仿宋_GBK"/>
          <w:kern w:val="0"/>
          <w:sz w:val="32"/>
          <w:szCs w:val="32"/>
        </w:rPr>
        <w:t>鼓励和引导龙头企业、农民专业合作社、家庭农场等新型农业经营主体，积极推广标准化生产技术。有序推进高标准农田、蔬菜基地、水果基地、花木基地、畜禽养殖场、水产养殖场标注化建设，强化全程质量控制，不断增加绿色优质农产品供给，</w:t>
      </w:r>
      <w:r>
        <w:rPr>
          <w:rFonts w:eastAsia="方正仿宋_GBK"/>
          <w:sz w:val="32"/>
          <w:szCs w:val="32"/>
        </w:rPr>
        <w:t>巩固提升“国家级杂交水稻种子生产基地县”创建成果，积极申报“国家现代种业园”。</w:t>
      </w:r>
      <w:r>
        <w:rPr>
          <w:rFonts w:eastAsia="方正仿宋_GBK"/>
          <w:kern w:val="0"/>
          <w:sz w:val="32"/>
          <w:szCs w:val="32"/>
        </w:rPr>
        <w:t>推动主要农产品监测、检测网络体系的技术升级，加速农产品加工质量监测、检测技术体系与国际接轨。开展全县标准化生产创建活动，到2025年，打造标准化示范点5个，各类标准化生产基地10个。</w:t>
      </w:r>
    </w:p>
    <w:p w14:paraId="01CAE99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加强农业投入品监管。</w:t>
      </w:r>
      <w:r>
        <w:rPr>
          <w:rFonts w:eastAsia="方正仿宋_GBK"/>
          <w:sz w:val="32"/>
          <w:szCs w:val="32"/>
        </w:rPr>
        <w:t>加强农药、兽药、肥料、饲料等农业生产资料的监管，全面落实限制使用农药定点经营和实名购买制度。加强农产品质量安全执法。推行规模主体名录管理和网格化监管，健全农产品生产经营主体质量安全黑名单管理制度，实行承诺达标合格证制度。</w:t>
      </w:r>
    </w:p>
    <w:p w14:paraId="3BBF5A8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楷体_GBK"/>
          <w:b/>
          <w:bCs/>
          <w:sz w:val="32"/>
          <w:szCs w:val="32"/>
        </w:rPr>
      </w:pPr>
      <w:r>
        <w:rPr>
          <w:rFonts w:eastAsia="方正仿宋_GBK"/>
          <w:b/>
          <w:bCs/>
          <w:sz w:val="32"/>
          <w:szCs w:val="32"/>
        </w:rPr>
        <w:t>加强农产品质量安全追溯体系建设。</w:t>
      </w:r>
      <w:r>
        <w:rPr>
          <w:rFonts w:eastAsia="方正仿宋_GBK"/>
          <w:sz w:val="32"/>
          <w:szCs w:val="32"/>
        </w:rPr>
        <w:t>聚焦“产出来”和“管出来”，持续开展农产品质量安全提升行动，健全完善县、乡、村三级农产品质量安全监管体系，追溯制度，强化抽检、送检、自检，推广绿色生态综合种养技术，做好“国家农产品质量安全县”示范作用。到2025年，建设追溯点1</w:t>
      </w:r>
      <w:r>
        <w:rPr>
          <w:rFonts w:eastAsia="方正仿宋_GBK"/>
          <w:kern w:val="0"/>
          <w:sz w:val="32"/>
          <w:szCs w:val="32"/>
        </w:rPr>
        <w:t>50个以上，</w:t>
      </w:r>
      <w:r>
        <w:rPr>
          <w:rFonts w:eastAsia="方正仿宋_GBK"/>
          <w:sz w:val="32"/>
          <w:szCs w:val="32"/>
        </w:rPr>
        <w:t>农产品生产主体入驻国家农产品质量安全追溯管理信息平台60%、认证企业达100%。</w:t>
      </w:r>
    </w:p>
    <w:p w14:paraId="2B403EC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32"/>
        </w:rPr>
      </w:pPr>
      <w:bookmarkStart w:id="74" w:name="_Toc108078374"/>
      <w:r>
        <w:rPr>
          <w:rFonts w:eastAsia="方正楷体_GBK"/>
          <w:sz w:val="32"/>
          <w:szCs w:val="32"/>
        </w:rPr>
        <w:t xml:space="preserve">第三节 </w:t>
      </w:r>
      <w:r>
        <w:rPr>
          <w:rFonts w:hint="eastAsia" w:eastAsia="方正楷体_GBK"/>
          <w:sz w:val="32"/>
          <w:szCs w:val="32"/>
          <w:lang w:val="en-US" w:eastAsia="zh-CN"/>
        </w:rPr>
        <w:t xml:space="preserve"> </w:t>
      </w:r>
      <w:r>
        <w:rPr>
          <w:rFonts w:eastAsia="方正楷体_GBK"/>
          <w:sz w:val="32"/>
          <w:szCs w:val="32"/>
        </w:rPr>
        <w:t>健全农业品牌体系</w:t>
      </w:r>
      <w:bookmarkEnd w:id="74"/>
    </w:p>
    <w:p w14:paraId="4AC3603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kern w:val="0"/>
          <w:sz w:val="32"/>
          <w:szCs w:val="32"/>
        </w:rPr>
      </w:pPr>
      <w:r>
        <w:rPr>
          <w:rFonts w:eastAsia="方正仿宋_GBK"/>
          <w:b/>
          <w:bCs/>
          <w:kern w:val="0"/>
          <w:sz w:val="32"/>
          <w:szCs w:val="32"/>
        </w:rPr>
        <w:t>建设绿色质量标准体系。</w:t>
      </w:r>
      <w:r>
        <w:rPr>
          <w:rFonts w:eastAsia="方正仿宋_GBK"/>
          <w:kern w:val="0"/>
          <w:sz w:val="32"/>
          <w:szCs w:val="32"/>
        </w:rPr>
        <w:t>聚焦农产品市场需求，在品种优化、品质提升、</w:t>
      </w:r>
      <w:r>
        <w:rPr>
          <w:rFonts w:hint="eastAsia" w:ascii="方正仿宋_GBK" w:hAnsi="方正仿宋_GBK" w:eastAsia="方正仿宋_GBK" w:cs="方正仿宋_GBK"/>
          <w:kern w:val="0"/>
          <w:sz w:val="32"/>
          <w:szCs w:val="32"/>
        </w:rPr>
        <w:t>品</w:t>
      </w:r>
      <w:r>
        <w:rPr>
          <w:rFonts w:hint="eastAsia" w:ascii="方正仿宋_GBK" w:hAnsi="方正仿宋_GBK" w:eastAsia="方正仿宋_GBK" w:cs="方正仿宋_GBK"/>
          <w:color w:val="auto"/>
          <w:kern w:val="0"/>
          <w:sz w:val="32"/>
          <w:szCs w:val="32"/>
          <w:u w:val="none"/>
        </w:rPr>
        <w:t>牌</w:t>
      </w:r>
      <w:r>
        <w:rPr>
          <w:rFonts w:hint="eastAsia" w:ascii="方正仿宋_GBK" w:hAnsi="方正仿宋_GBK" w:eastAsia="方正仿宋_GBK" w:cs="方正仿宋_GBK"/>
          <w:color w:val="auto"/>
          <w:kern w:val="0"/>
          <w:sz w:val="32"/>
          <w:szCs w:val="32"/>
          <w:u w:val="none"/>
          <w:lang w:eastAsia="zh-CN"/>
        </w:rPr>
        <w:t>打造和标准化生产上下功夫。推广“</w:t>
      </w:r>
      <w:r>
        <w:rPr>
          <w:rFonts w:hint="eastAsia" w:ascii="方正仿宋_GBK" w:hAnsi="方正仿宋_GBK" w:eastAsia="方正仿宋_GBK" w:cs="方正仿宋_GBK"/>
          <w:color w:val="auto"/>
          <w:kern w:val="0"/>
          <w:sz w:val="32"/>
          <w:szCs w:val="32"/>
          <w:u w:val="none"/>
          <w:lang w:val="en-US" w:eastAsia="zh-CN"/>
        </w:rPr>
        <w:t>巴味渝珍</w:t>
      </w:r>
      <w:r>
        <w:rPr>
          <w:rFonts w:hint="eastAsia" w:ascii="方正仿宋_GBK" w:hAnsi="方正仿宋_GBK" w:eastAsia="方正仿宋_GBK" w:cs="方正仿宋_GBK"/>
          <w:color w:val="auto"/>
          <w:kern w:val="0"/>
          <w:sz w:val="32"/>
          <w:szCs w:val="32"/>
          <w:u w:val="none"/>
          <w:lang w:eastAsia="zh-CN"/>
        </w:rPr>
        <w:t>”“三峡柑橘”等区域公用品牌，推动“裕康葡萄”“桑椹柚子酒”等地方品牌进入“</w:t>
      </w:r>
      <w:r>
        <w:rPr>
          <w:rFonts w:hint="eastAsia" w:ascii="方正仿宋_GBK" w:hAnsi="方正仿宋_GBK" w:eastAsia="方正仿宋_GBK" w:cs="方正仿宋_GBK"/>
          <w:color w:val="auto"/>
          <w:kern w:val="0"/>
          <w:sz w:val="32"/>
          <w:szCs w:val="32"/>
          <w:u w:val="none"/>
          <w:lang w:val="en-US" w:eastAsia="zh-CN"/>
        </w:rPr>
        <w:t>巴味渝珍</w:t>
      </w:r>
      <w:r>
        <w:rPr>
          <w:rFonts w:hint="eastAsia" w:ascii="方正仿宋_GBK" w:hAnsi="方正仿宋_GBK" w:eastAsia="方正仿宋_GBK" w:cs="方正仿宋_GBK"/>
          <w:color w:val="auto"/>
          <w:kern w:val="0"/>
          <w:sz w:val="32"/>
          <w:szCs w:val="32"/>
          <w:u w:val="none"/>
          <w:lang w:eastAsia="zh-CN"/>
        </w:rPr>
        <w:t>”，垫江晚柚、晚熟柑橘等使用“三峡柑橘”区域公用品牌。</w:t>
      </w:r>
      <w:r>
        <w:rPr>
          <w:rFonts w:eastAsia="方正仿宋_GBK"/>
          <w:color w:val="auto"/>
          <w:kern w:val="0"/>
          <w:sz w:val="32"/>
          <w:szCs w:val="32"/>
          <w:u w:val="none"/>
        </w:rPr>
        <w:t>聚焦地域优势</w:t>
      </w:r>
      <w:r>
        <w:rPr>
          <w:rFonts w:eastAsia="方正仿宋_GBK"/>
          <w:kern w:val="0"/>
          <w:sz w:val="32"/>
          <w:szCs w:val="32"/>
        </w:rPr>
        <w:t>，加强“名特优新”品牌培育，重点打造一到两个区域公共品牌和地理品牌，全面推进“花田垫乡”区域公用品牌运营使用，扶持壮大垫江牡丹、垫江芍药、太平红、垫江晚柚、“鹭馨”酱板鸭、川久蒸鸭、佳佳乳业、大石人家等优质特色农产品品牌，提升品牌价值。加强</w:t>
      </w:r>
      <w:bookmarkStart w:id="75" w:name="_Hlk57317889"/>
      <w:r>
        <w:rPr>
          <w:rFonts w:eastAsia="方正仿宋_GBK"/>
          <w:kern w:val="0"/>
          <w:sz w:val="32"/>
          <w:szCs w:val="32"/>
        </w:rPr>
        <w:t>垫江晚柚</w:t>
      </w:r>
      <w:bookmarkEnd w:id="75"/>
      <w:r>
        <w:rPr>
          <w:rFonts w:eastAsia="方正仿宋_GBK"/>
          <w:kern w:val="0"/>
          <w:sz w:val="32"/>
          <w:szCs w:val="32"/>
        </w:rPr>
        <w:t>、龙溪河生态鱼等县域特色品牌建设，鼓励组建专业合作协会，引导农户实行统一标准、包装、销售，把特色优势做大、做强、做精，提高市场竞争力和知名度。到2025年，全县打造区域公共品牌2个，地理品牌2个，全力打造一线品牌2个，二线品牌4个，三线品牌若干个。</w:t>
      </w:r>
    </w:p>
    <w:p w14:paraId="7D8C85A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kern w:val="0"/>
          <w:sz w:val="32"/>
          <w:szCs w:val="32"/>
        </w:rPr>
      </w:pPr>
      <w:r>
        <w:rPr>
          <w:rFonts w:eastAsia="方正仿宋_GBK"/>
          <w:b/>
          <w:bCs/>
          <w:kern w:val="0"/>
          <w:sz w:val="32"/>
          <w:szCs w:val="32"/>
        </w:rPr>
        <w:t>健全农业品牌管理制度。</w:t>
      </w:r>
      <w:r>
        <w:rPr>
          <w:rFonts w:eastAsia="方正仿宋_GBK"/>
          <w:kern w:val="0"/>
          <w:sz w:val="32"/>
          <w:szCs w:val="32"/>
        </w:rPr>
        <w:t>推行品牌目录动态管理，严格准入门槛，健全定期审核与退出机制。全面加强农业品牌监管，强化商标及地理标志商标注册和保护。完善农业品牌诚信体系，构建社会监督体系，将品牌信誉纳入诚信体系。</w:t>
      </w:r>
    </w:p>
    <w:p w14:paraId="01C477A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kern w:val="0"/>
          <w:sz w:val="32"/>
          <w:szCs w:val="32"/>
        </w:rPr>
      </w:pPr>
      <w:r>
        <w:rPr>
          <w:rFonts w:eastAsia="方正仿宋_GBK"/>
          <w:b/>
          <w:bCs/>
          <w:kern w:val="0"/>
          <w:sz w:val="32"/>
          <w:szCs w:val="32"/>
        </w:rPr>
        <w:t>创新品牌营销方式。</w:t>
      </w:r>
      <w:r>
        <w:rPr>
          <w:rFonts w:eastAsia="方正仿宋_GBK"/>
          <w:kern w:val="0"/>
          <w:sz w:val="32"/>
          <w:szCs w:val="32"/>
        </w:rPr>
        <w:t>深化农业对外交流与合作，积极组织参加全国农交会、西部农交会、绿博会、地标会、畜博会、糖酒会、电商等营销平台，借助现代数字信息技术，提升品牌农产品市场占有率，实现农产品优质优价。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14:paraId="6CFF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36" w:type="dxa"/>
            <w:noWrap w:val="0"/>
            <w:vAlign w:val="top"/>
          </w:tcPr>
          <w:p w14:paraId="5C2D00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b/>
                <w:bCs/>
                <w:kern w:val="0"/>
                <w:sz w:val="21"/>
                <w:szCs w:val="21"/>
              </w:rPr>
            </w:pPr>
            <w:r>
              <w:rPr>
                <w:b/>
                <w:bCs/>
                <w:kern w:val="0"/>
                <w:sz w:val="21"/>
                <w:szCs w:val="21"/>
              </w:rPr>
              <w:t>专栏9农产品品质品牌建设工程</w:t>
            </w:r>
          </w:p>
        </w:tc>
      </w:tr>
      <w:tr w14:paraId="72F6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noWrap w:val="0"/>
            <w:vAlign w:val="center"/>
          </w:tcPr>
          <w:p w14:paraId="419BF30B">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kern w:val="0"/>
                <w:sz w:val="21"/>
                <w:szCs w:val="21"/>
              </w:rPr>
            </w:pPr>
            <w:r>
              <w:rPr>
                <w:b/>
                <w:bCs/>
                <w:kern w:val="0"/>
                <w:sz w:val="21"/>
                <w:szCs w:val="21"/>
              </w:rPr>
              <w:t>提升农业标准化水平重点项目。</w:t>
            </w:r>
            <w:r>
              <w:rPr>
                <w:kern w:val="0"/>
                <w:sz w:val="21"/>
                <w:szCs w:val="21"/>
              </w:rPr>
              <w:t>全县创建“三园两场”15个以上。实施农产品地理标志保护工程项目10个以上。建设一批特色中药材GAP规范化种植基地。加强农业标准制定，力争农业地方标准历年累计达到5项以上。</w:t>
            </w:r>
          </w:p>
          <w:p w14:paraId="62EB9C96">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kern w:val="0"/>
                <w:sz w:val="21"/>
                <w:szCs w:val="21"/>
              </w:rPr>
            </w:pPr>
            <w:r>
              <w:rPr>
                <w:b/>
                <w:bCs/>
                <w:kern w:val="0"/>
                <w:sz w:val="21"/>
                <w:szCs w:val="21"/>
              </w:rPr>
              <w:t>农产品质量安全追溯重点项目。</w:t>
            </w:r>
            <w:r>
              <w:rPr>
                <w:kern w:val="0"/>
                <w:sz w:val="21"/>
                <w:szCs w:val="21"/>
              </w:rPr>
              <w:t>农产品质量安全追溯建设项目，推动融入全国追溯“一张网”；加强农产品质量安全追溯点建设。</w:t>
            </w:r>
          </w:p>
          <w:p w14:paraId="09884FDA">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kern w:val="0"/>
                <w:sz w:val="21"/>
                <w:szCs w:val="21"/>
              </w:rPr>
            </w:pPr>
            <w:r>
              <w:rPr>
                <w:b/>
                <w:bCs/>
                <w:kern w:val="0"/>
                <w:sz w:val="21"/>
                <w:szCs w:val="21"/>
              </w:rPr>
              <w:t>农产品质量安全检验检测体系能力建设工程。</w:t>
            </w:r>
            <w:r>
              <w:rPr>
                <w:kern w:val="0"/>
                <w:sz w:val="21"/>
                <w:szCs w:val="21"/>
              </w:rPr>
              <w:t>完善提升职能明确、运行高效、参数齐全、支撑有力的农产品质量安全检验检测体系，强化全县农产品质量安全检验检测站建设和运行保障。加强人员和经费保障，推动设施设备更新升级，健全完善风险监测和执法性检测功能。全面推进县级农产品质检机构合法资质认定、能力验证和监督检查。</w:t>
            </w:r>
          </w:p>
          <w:p w14:paraId="291B2BC5">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rFonts w:eastAsia="方正仿宋_GBK"/>
                <w:b/>
                <w:bCs/>
                <w:kern w:val="0"/>
                <w:sz w:val="21"/>
                <w:szCs w:val="21"/>
              </w:rPr>
            </w:pPr>
            <w:r>
              <w:rPr>
                <w:b/>
                <w:bCs/>
                <w:kern w:val="0"/>
                <w:sz w:val="21"/>
                <w:szCs w:val="21"/>
              </w:rPr>
              <w:t>品牌农产品培育。</w:t>
            </w:r>
            <w:r>
              <w:rPr>
                <w:kern w:val="0"/>
                <w:sz w:val="21"/>
                <w:szCs w:val="21"/>
              </w:rPr>
              <w:t>加快培育品质优良、特色鲜明的区域公用品牌“花田垫乡”，扶持壮大“白由王”垫江白柚、垫江晚柚、“树臣”牛肉、“鹭馨”酱板鸭、垫江酱板鸭、川久蒸鸭、佳佳乳业、鹅莱福、大石人家等优质特色农产品品牌。争创市级区域公共品牌4个，引导农业企业申报重庆市名牌农产品；全县有效期内的绿色食品、有机农产品和地理标志农产品数量稳定在40个以上。</w:t>
            </w:r>
          </w:p>
        </w:tc>
      </w:tr>
    </w:tbl>
    <w:p w14:paraId="0EE1E6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eastAsia="方正黑体_GBK"/>
          <w:sz w:val="32"/>
          <w:szCs w:val="22"/>
        </w:rPr>
      </w:pPr>
      <w:bookmarkStart w:id="76" w:name="_Toc108078375"/>
    </w:p>
    <w:p w14:paraId="604377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eastAsia="方正黑体_GBK"/>
          <w:sz w:val="32"/>
          <w:szCs w:val="22"/>
        </w:rPr>
      </w:pPr>
      <w:r>
        <w:rPr>
          <w:rFonts w:eastAsia="方正黑体_GBK"/>
          <w:sz w:val="32"/>
          <w:szCs w:val="22"/>
        </w:rPr>
        <w:t xml:space="preserve">第七章 </w:t>
      </w:r>
      <w:r>
        <w:rPr>
          <w:rFonts w:hint="eastAsia" w:eastAsia="方正黑体_GBK"/>
          <w:sz w:val="32"/>
          <w:szCs w:val="22"/>
          <w:lang w:val="en-US" w:eastAsia="zh-CN"/>
        </w:rPr>
        <w:t xml:space="preserve"> </w:t>
      </w:r>
      <w:r>
        <w:rPr>
          <w:rFonts w:eastAsia="方正黑体_GBK"/>
          <w:sz w:val="32"/>
          <w:szCs w:val="22"/>
        </w:rPr>
        <w:t>全面强化农业农村人才队伍支撑</w:t>
      </w:r>
      <w:bookmarkEnd w:id="76"/>
    </w:p>
    <w:p w14:paraId="03DD7EB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kern w:val="0"/>
          <w:sz w:val="32"/>
          <w:szCs w:val="30"/>
        </w:rPr>
      </w:pPr>
      <w:r>
        <w:rPr>
          <w:rFonts w:eastAsia="方正仿宋_GBK"/>
          <w:kern w:val="0"/>
          <w:sz w:val="32"/>
          <w:szCs w:val="30"/>
        </w:rPr>
        <w:t>实行更加积极、更加开放、更加有效的人才政策，创新乡村人才工作体制机制，强化人才振兴保障措施，培养造就一支懂农业、爱农村、爱农民的“三农”工作队伍，为全面推进乡村振兴、加快农业农村现代化提供有力人才支撑。</w:t>
      </w:r>
    </w:p>
    <w:p w14:paraId="144D2B7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77" w:name="_Toc108078376"/>
      <w:r>
        <w:rPr>
          <w:rFonts w:eastAsia="方正楷体_GBK"/>
          <w:sz w:val="32"/>
          <w:szCs w:val="22"/>
        </w:rPr>
        <w:t>第一节</w:t>
      </w:r>
      <w:r>
        <w:rPr>
          <w:rFonts w:hint="eastAsia" w:eastAsia="方正楷体_GBK"/>
          <w:sz w:val="32"/>
          <w:szCs w:val="22"/>
          <w:lang w:val="en-US" w:eastAsia="zh-CN"/>
        </w:rPr>
        <w:t xml:space="preserve"> </w:t>
      </w:r>
      <w:r>
        <w:rPr>
          <w:rFonts w:eastAsia="方正楷体_GBK"/>
          <w:sz w:val="32"/>
          <w:szCs w:val="22"/>
        </w:rPr>
        <w:t xml:space="preserve"> 加强培育“三乡”人才</w:t>
      </w:r>
      <w:bookmarkEnd w:id="77"/>
    </w:p>
    <w:p w14:paraId="7D07C68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加强培育在乡人才。</w:t>
      </w:r>
      <w:r>
        <w:rPr>
          <w:rFonts w:eastAsia="方正仿宋_GBK"/>
          <w:sz w:val="32"/>
          <w:szCs w:val="44"/>
        </w:rPr>
        <w:t>实施高素质农民培育工程，建立高素质农民教育培训、评选认证、管理服务、扶持激励等制度体系，培养一批有生产经验的“老农”、想干事创业的“新农”、能发展创新的“智农”和有专业技能的“知农”，培育高素质农民，优化农业从业者结构</w:t>
      </w:r>
      <w:r>
        <w:rPr>
          <w:rFonts w:eastAsia="方正仿宋_GBK"/>
          <w:sz w:val="32"/>
          <w:szCs w:val="32"/>
        </w:rPr>
        <w:t>。</w:t>
      </w:r>
      <w:r>
        <w:rPr>
          <w:rFonts w:eastAsia="方正仿宋_GBK"/>
          <w:sz w:val="32"/>
          <w:szCs w:val="44"/>
        </w:rPr>
        <w:t>进一步加强继续教育，组织实施以乡村手工业、建筑业、民间工艺为重点的非遗传承人研修培训，开展“土专家”等培训，选拔农村青年参加电大学历免费培训，对接“巴渝工匠”计划，不断提升本土人才队伍整体素质和综合能力，树立本土人才榜样，营造重视人才、发掘人才、培养人才、留住人才的良好氛围。强化基层干部教育培训，加大基层公务员招录和“三支一扶”人员招募力度，扩宽基层干部进入渠道。实施基层一线岗位轮值锻炼，深化干部激励竞争机制，全面提升素质能力，推进基层党支部规范化标准化建设。</w:t>
      </w:r>
    </w:p>
    <w:p w14:paraId="7FD95FB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44"/>
        </w:rPr>
      </w:pPr>
      <w:r>
        <w:rPr>
          <w:rFonts w:eastAsia="方正仿宋_GBK"/>
          <w:b/>
          <w:bCs/>
          <w:sz w:val="32"/>
          <w:szCs w:val="32"/>
        </w:rPr>
        <w:t>加强回引返乡人才。</w:t>
      </w:r>
      <w:r>
        <w:rPr>
          <w:rFonts w:eastAsia="方正仿宋_GBK"/>
          <w:sz w:val="32"/>
          <w:szCs w:val="44"/>
        </w:rPr>
        <w:t>建立健全返乡创业优惠政策</w:t>
      </w:r>
      <w:r>
        <w:rPr>
          <w:rFonts w:eastAsia="方正仿宋_GBK"/>
          <w:kern w:val="0"/>
          <w:sz w:val="32"/>
          <w:szCs w:val="21"/>
        </w:rPr>
        <w:t>，对符合条件的创业人员，加大融资担保、贷款贴息，让更多金融资本投向农村、向有条件到农村创业人员倾斜，落实税费减免，对土地租用、场地安排给予财政创业补贴。</w:t>
      </w:r>
      <w:r>
        <w:rPr>
          <w:rFonts w:eastAsia="方正仿宋_GBK"/>
          <w:sz w:val="32"/>
          <w:szCs w:val="44"/>
        </w:rPr>
        <w:t>建立农村资源资产、人力资源、社会化服务、金融保险、信息和技术咨询等供需信息发布与交易平台，为返乡下乡人员提供各类公共服务和专业服务，加强返乡创新创业引导，有效吸纳返乡人员的项目创业、知识创业、技术创业和技能创业，以创业带动和引领实现更高质量的就业。推进在乡土人才拉网式摸排统计，建立各村乡土人才信息库及微信群，保持长效联络机制，用亲情召唤优秀乡土人才返乡创业。</w:t>
      </w:r>
    </w:p>
    <w:p w14:paraId="1B4A845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b/>
          <w:bCs/>
          <w:sz w:val="32"/>
          <w:szCs w:val="32"/>
        </w:rPr>
      </w:pPr>
      <w:r>
        <w:rPr>
          <w:rFonts w:eastAsia="方正仿宋_GBK"/>
          <w:b/>
          <w:bCs/>
          <w:sz w:val="32"/>
          <w:szCs w:val="32"/>
        </w:rPr>
        <w:t>加强引导入乡人才。</w:t>
      </w:r>
      <w:r>
        <w:rPr>
          <w:rFonts w:eastAsia="方正仿宋_GBK"/>
          <w:sz w:val="32"/>
          <w:szCs w:val="44"/>
        </w:rPr>
        <w:t>大力实施乡村人才“虹吸”工程、“归雁人才”计划、乡村教师支持计划、乡村人才、农业专家人才引进专项计划，建立蹲点考核制度。支持企业家、党政干部、专家学者、医生教师、规划师、建筑师、律师、技能人才等，通过下乡担任志愿者、教师轮岗交流、投资兴业、包村包项目、行医办学、捐资捐物、法律咨询等方式，服务乡村振兴。认真落实国家允许符合要求的公职人员回乡任职管理办法，按照相关规定探索通过岗编适度分离、在岗学历教育、创新职称评定等多种方式，畅通公职人才下乡渠道，支持农村干事创业。各级党委应当发挥工会、共青团等群团组织的优势和力量，发挥各民主党派、工商联、无党派人士等积极作用，支持引导农村社会工作和志愿服务发展，鼓励社会各界投身乡村建设</w:t>
      </w:r>
      <w:r>
        <w:rPr>
          <w:rFonts w:eastAsia="方正仿宋_GBK"/>
          <w:sz w:val="32"/>
          <w:szCs w:val="32"/>
        </w:rPr>
        <w:t>。</w:t>
      </w:r>
    </w:p>
    <w:p w14:paraId="4A43F438">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center"/>
        <w:textAlignment w:val="auto"/>
        <w:outlineLvl w:val="1"/>
        <w:rPr>
          <w:rFonts w:eastAsia="方正楷体_GBK"/>
          <w:sz w:val="32"/>
          <w:szCs w:val="36"/>
        </w:rPr>
      </w:pPr>
      <w:bookmarkStart w:id="78" w:name="_Toc108078377"/>
      <w:r>
        <w:rPr>
          <w:rFonts w:eastAsia="方正楷体_GBK"/>
          <w:sz w:val="32"/>
          <w:szCs w:val="36"/>
        </w:rPr>
        <w:t xml:space="preserve">第二节 </w:t>
      </w:r>
      <w:r>
        <w:rPr>
          <w:rFonts w:hint="eastAsia" w:eastAsia="方正楷体_GBK"/>
          <w:sz w:val="32"/>
          <w:szCs w:val="36"/>
          <w:lang w:val="en-US" w:eastAsia="zh-CN"/>
        </w:rPr>
        <w:t xml:space="preserve"> </w:t>
      </w:r>
      <w:r>
        <w:rPr>
          <w:rFonts w:eastAsia="方正楷体_GBK"/>
          <w:sz w:val="32"/>
          <w:szCs w:val="36"/>
        </w:rPr>
        <w:t>加强农村致富带头人培养</w:t>
      </w:r>
      <w:bookmarkEnd w:id="78"/>
    </w:p>
    <w:p w14:paraId="0B31247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kern w:val="0"/>
          <w:sz w:val="32"/>
          <w:szCs w:val="30"/>
        </w:rPr>
        <w:t>以高素质农民队伍为“人才库”，以新型农业经营主体为“孵化器”，以分行业、分产业培训为“主抓手”，注重前端培育、加强过程指导、强化后续扶持，打造一支创业能力强、经营水平高、带动作用大的农村致富带头人队伍。完善农村致富带头人认定标准，以乡镇为单元建立农村致富带头人基础人才库。建立健全农村致富带头人培训体系，充分发挥涉农机构和农业大专院校合作指导作用，分层分类开展培训。加强政策服务保障，在生产经营、技术服务、产业发展、金融保险等方面加大扶持力度，提高创业和带动成功率。加强农村致富带头人动态管理，探索开展农民技术职称评定试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14:paraId="3B06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6" w:type="dxa"/>
            <w:noWrap w:val="0"/>
            <w:vAlign w:val="center"/>
          </w:tcPr>
          <w:p w14:paraId="6A3C356B">
            <w:pPr>
              <w:keepNext w:val="0"/>
              <w:keepLines w:val="0"/>
              <w:pageBreakBefore w:val="0"/>
              <w:widowControl w:val="0"/>
              <w:kinsoku/>
              <w:wordWrap/>
              <w:overflowPunct/>
              <w:topLinePunct w:val="0"/>
              <w:autoSpaceDE/>
              <w:autoSpaceDN/>
              <w:bidi w:val="0"/>
              <w:adjustRightInd/>
              <w:snapToGrid/>
              <w:spacing w:line="372" w:lineRule="exact"/>
              <w:ind w:left="0" w:leftChars="0" w:right="0" w:rightChars="0"/>
              <w:jc w:val="center"/>
              <w:textAlignment w:val="auto"/>
              <w:outlineLvl w:val="9"/>
              <w:rPr>
                <w:rFonts w:eastAsia="方正仿宋_GBK"/>
                <w:b/>
                <w:bCs/>
                <w:sz w:val="21"/>
                <w:szCs w:val="21"/>
              </w:rPr>
            </w:pPr>
            <w:r>
              <w:rPr>
                <w:b/>
                <w:bCs/>
                <w:kern w:val="0"/>
                <w:sz w:val="21"/>
                <w:szCs w:val="21"/>
              </w:rPr>
              <w:t>专栏10农村人才引育行动</w:t>
            </w:r>
          </w:p>
        </w:tc>
      </w:tr>
      <w:tr w14:paraId="72B0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6" w:type="dxa"/>
            <w:noWrap w:val="0"/>
            <w:vAlign w:val="top"/>
          </w:tcPr>
          <w:p w14:paraId="6F8540F3">
            <w:pPr>
              <w:keepNext w:val="0"/>
              <w:keepLines w:val="0"/>
              <w:pageBreakBefore w:val="0"/>
              <w:widowControl w:val="0"/>
              <w:kinsoku/>
              <w:wordWrap/>
              <w:overflowPunct/>
              <w:topLinePunct w:val="0"/>
              <w:autoSpaceDE/>
              <w:autoSpaceDN/>
              <w:bidi w:val="0"/>
              <w:adjustRightInd/>
              <w:snapToGrid/>
              <w:spacing w:line="372" w:lineRule="exact"/>
              <w:ind w:left="0" w:leftChars="0" w:right="0" w:rightChars="0" w:firstLine="412" w:firstLineChars="200"/>
              <w:jc w:val="left"/>
              <w:textAlignment w:val="auto"/>
              <w:outlineLvl w:val="9"/>
              <w:rPr>
                <w:kern w:val="0"/>
                <w:sz w:val="21"/>
                <w:szCs w:val="21"/>
              </w:rPr>
            </w:pPr>
            <w:r>
              <w:rPr>
                <w:b/>
                <w:bCs/>
                <w:kern w:val="0"/>
                <w:sz w:val="21"/>
                <w:szCs w:val="21"/>
              </w:rPr>
              <w:t>高素质农民培育计划。</w:t>
            </w:r>
            <w:r>
              <w:rPr>
                <w:kern w:val="0"/>
                <w:sz w:val="21"/>
                <w:szCs w:val="21"/>
              </w:rPr>
              <w:t>以从事农业生产、迫切需要能力提升的人员为优先培育对象，深入实施新型农业经营主体带头人轮训计划、现代青年农（林）场主培养计划和农村实用人才带头人培训计划，加快建立一支具有一定规模、结构合理、素质优良的高素质农民队伍，每年计划培育高素质农民不少于200人，力争2025年高素质农民达到1000人。</w:t>
            </w:r>
          </w:p>
          <w:p w14:paraId="556C6FCF">
            <w:pPr>
              <w:keepNext w:val="0"/>
              <w:keepLines w:val="0"/>
              <w:pageBreakBefore w:val="0"/>
              <w:widowControl w:val="0"/>
              <w:kinsoku/>
              <w:wordWrap/>
              <w:overflowPunct/>
              <w:topLinePunct w:val="0"/>
              <w:autoSpaceDE/>
              <w:autoSpaceDN/>
              <w:bidi w:val="0"/>
              <w:adjustRightInd/>
              <w:snapToGrid/>
              <w:spacing w:line="372" w:lineRule="exact"/>
              <w:ind w:left="0" w:leftChars="0" w:right="0" w:rightChars="0" w:firstLine="412" w:firstLineChars="200"/>
              <w:jc w:val="left"/>
              <w:textAlignment w:val="auto"/>
              <w:outlineLvl w:val="9"/>
              <w:rPr>
                <w:kern w:val="0"/>
                <w:sz w:val="21"/>
                <w:szCs w:val="21"/>
              </w:rPr>
            </w:pPr>
            <w:r>
              <w:rPr>
                <w:b/>
                <w:bCs/>
                <w:kern w:val="0"/>
                <w:sz w:val="21"/>
                <w:szCs w:val="21"/>
              </w:rPr>
              <w:t>乡土人才培育计划。</w:t>
            </w:r>
            <w:r>
              <w:rPr>
                <w:kern w:val="0"/>
                <w:sz w:val="21"/>
                <w:szCs w:val="21"/>
              </w:rPr>
              <w:t>开展县级职业技能提升行动试点，培育一批“土专家”、产业带头人和农村电商人才，扶持一批农业职业经理人、经纪人，培养一批乡村工匠、文化能人和非物质文化遗产传承人。</w:t>
            </w:r>
          </w:p>
          <w:p w14:paraId="1F5FA22D">
            <w:pPr>
              <w:keepNext w:val="0"/>
              <w:keepLines w:val="0"/>
              <w:pageBreakBefore w:val="0"/>
              <w:widowControl w:val="0"/>
              <w:kinsoku/>
              <w:wordWrap/>
              <w:overflowPunct/>
              <w:topLinePunct w:val="0"/>
              <w:autoSpaceDE/>
              <w:autoSpaceDN/>
              <w:bidi w:val="0"/>
              <w:adjustRightInd/>
              <w:snapToGrid/>
              <w:spacing w:line="372" w:lineRule="exact"/>
              <w:ind w:left="0" w:leftChars="0" w:right="0" w:rightChars="0" w:firstLine="412" w:firstLineChars="200"/>
              <w:jc w:val="left"/>
              <w:textAlignment w:val="auto"/>
              <w:outlineLvl w:val="9"/>
              <w:rPr>
                <w:kern w:val="0"/>
                <w:sz w:val="21"/>
                <w:szCs w:val="21"/>
              </w:rPr>
            </w:pPr>
            <w:r>
              <w:rPr>
                <w:b/>
                <w:bCs/>
                <w:kern w:val="0"/>
                <w:sz w:val="21"/>
                <w:szCs w:val="21"/>
              </w:rPr>
              <w:t>基层干部培养计划。</w:t>
            </w:r>
            <w:r>
              <w:rPr>
                <w:kern w:val="0"/>
                <w:sz w:val="21"/>
                <w:szCs w:val="21"/>
              </w:rPr>
              <w:t>根据村级干部职数规定，按照与现任村干部1:1的比例，培养和造就一支素质优良、作风过硬、结构合理、数量充足，能够真心诚意为群众办事，带头致富能力强、带领群众共同致富能力强，优秀年轻的村级后备干部队伍，建立完备的村级后备干部人才库和村级后备干部档案。</w:t>
            </w:r>
          </w:p>
          <w:p w14:paraId="317AB4EB">
            <w:pPr>
              <w:keepNext w:val="0"/>
              <w:keepLines w:val="0"/>
              <w:pageBreakBefore w:val="0"/>
              <w:widowControl w:val="0"/>
              <w:kinsoku/>
              <w:wordWrap/>
              <w:overflowPunct/>
              <w:topLinePunct w:val="0"/>
              <w:autoSpaceDE/>
              <w:autoSpaceDN/>
              <w:bidi w:val="0"/>
              <w:adjustRightInd/>
              <w:snapToGrid/>
              <w:spacing w:line="372" w:lineRule="exact"/>
              <w:ind w:left="0" w:leftChars="0" w:right="0" w:rightChars="0" w:firstLine="412" w:firstLineChars="200"/>
              <w:jc w:val="left"/>
              <w:textAlignment w:val="auto"/>
              <w:outlineLvl w:val="9"/>
              <w:rPr>
                <w:kern w:val="0"/>
                <w:sz w:val="21"/>
                <w:szCs w:val="21"/>
              </w:rPr>
            </w:pPr>
            <w:r>
              <w:rPr>
                <w:b/>
                <w:bCs/>
                <w:kern w:val="0"/>
                <w:sz w:val="21"/>
                <w:szCs w:val="21"/>
              </w:rPr>
              <w:t>乡村企业家培育计划。</w:t>
            </w:r>
            <w:r>
              <w:rPr>
                <w:kern w:val="0"/>
                <w:sz w:val="21"/>
                <w:szCs w:val="21"/>
              </w:rPr>
              <w:t>采取多种方式扶持一批大型农业企业集团，培育一批具有全球战略眼光、市场开拓精神、管理创新能力的行业领军乡村企业家。引导网络平台企业投资乡村，开发农业农村资源，丰富产业业态类型，培育一批引领乡村产业转型的现代乡村企业家。同时，发掘一批乡村能工巧匠，培育一批“小巨人”乡村企业家。</w:t>
            </w:r>
          </w:p>
          <w:p w14:paraId="180BE93F">
            <w:pPr>
              <w:keepNext w:val="0"/>
              <w:keepLines w:val="0"/>
              <w:pageBreakBefore w:val="0"/>
              <w:widowControl w:val="0"/>
              <w:kinsoku/>
              <w:wordWrap/>
              <w:overflowPunct/>
              <w:topLinePunct w:val="0"/>
              <w:autoSpaceDE/>
              <w:autoSpaceDN/>
              <w:bidi w:val="0"/>
              <w:adjustRightInd/>
              <w:snapToGrid/>
              <w:spacing w:line="372" w:lineRule="exact"/>
              <w:ind w:left="0" w:leftChars="0" w:right="0" w:rightChars="0" w:firstLine="412" w:firstLineChars="200"/>
              <w:jc w:val="left"/>
              <w:textAlignment w:val="auto"/>
              <w:outlineLvl w:val="9"/>
              <w:rPr>
                <w:kern w:val="0"/>
                <w:sz w:val="21"/>
                <w:szCs w:val="21"/>
              </w:rPr>
            </w:pPr>
            <w:r>
              <w:rPr>
                <w:b/>
                <w:bCs/>
                <w:kern w:val="0"/>
                <w:sz w:val="21"/>
                <w:szCs w:val="21"/>
              </w:rPr>
              <w:t>高校毕业生基层成长计划。</w:t>
            </w:r>
            <w:r>
              <w:rPr>
                <w:kern w:val="0"/>
                <w:sz w:val="21"/>
                <w:szCs w:val="21"/>
              </w:rPr>
              <w:t>实施岗位锻炼成才计划，支持基层高校毕业生承担重点任务、创新项目、技术攻关等，在艰苦复杂的环境和丰富的基层实践中锻炼成长。实施职业发展支持计划、基层成长环境营造计划、基层成长服务体系建设计划和后备人才计划。</w:t>
            </w:r>
          </w:p>
          <w:p w14:paraId="4DEE80C8">
            <w:pPr>
              <w:keepNext w:val="0"/>
              <w:keepLines w:val="0"/>
              <w:pageBreakBefore w:val="0"/>
              <w:widowControl w:val="0"/>
              <w:kinsoku/>
              <w:wordWrap/>
              <w:overflowPunct/>
              <w:topLinePunct w:val="0"/>
              <w:autoSpaceDE/>
              <w:autoSpaceDN/>
              <w:bidi w:val="0"/>
              <w:adjustRightInd/>
              <w:snapToGrid/>
              <w:spacing w:line="372" w:lineRule="exact"/>
              <w:ind w:left="0" w:leftChars="0" w:right="0" w:rightChars="0" w:firstLine="412" w:firstLineChars="200"/>
              <w:jc w:val="left"/>
              <w:textAlignment w:val="auto"/>
              <w:outlineLvl w:val="9"/>
              <w:rPr>
                <w:rFonts w:eastAsia="方正仿宋_GBK"/>
                <w:sz w:val="21"/>
                <w:szCs w:val="21"/>
              </w:rPr>
            </w:pPr>
            <w:r>
              <w:rPr>
                <w:b/>
                <w:bCs/>
                <w:kern w:val="0"/>
                <w:sz w:val="21"/>
                <w:szCs w:val="21"/>
              </w:rPr>
              <w:t>“三区”人才支持计划。</w:t>
            </w:r>
            <w:r>
              <w:rPr>
                <w:kern w:val="0"/>
                <w:sz w:val="21"/>
                <w:szCs w:val="21"/>
              </w:rPr>
              <w:t>每年引导500名优秀教师、医生、科技人员、社会工作者、文化工作者到相对贫困地区提供服务。每年重点支持培养70名贫困地区急需紧缺人才。</w:t>
            </w:r>
          </w:p>
        </w:tc>
      </w:tr>
    </w:tbl>
    <w:p w14:paraId="1BF2BD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79" w:name="_Toc108078378"/>
      <w:r>
        <w:rPr>
          <w:rFonts w:eastAsia="方正楷体_GBK"/>
          <w:sz w:val="32"/>
          <w:szCs w:val="22"/>
        </w:rPr>
        <w:t xml:space="preserve">第三节 </w:t>
      </w:r>
      <w:r>
        <w:rPr>
          <w:rFonts w:hint="eastAsia" w:eastAsia="方正楷体_GBK"/>
          <w:sz w:val="32"/>
          <w:szCs w:val="22"/>
          <w:lang w:val="en-US" w:eastAsia="zh-CN"/>
        </w:rPr>
        <w:t xml:space="preserve"> </w:t>
      </w:r>
      <w:r>
        <w:rPr>
          <w:rFonts w:eastAsia="方正楷体_GBK"/>
          <w:sz w:val="32"/>
          <w:szCs w:val="22"/>
        </w:rPr>
        <w:t>激活农村创新创业活力</w:t>
      </w:r>
      <w:bookmarkEnd w:id="79"/>
    </w:p>
    <w:p w14:paraId="67EE1BC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搭建创业平台。</w:t>
      </w:r>
      <w:r>
        <w:rPr>
          <w:rFonts w:eastAsia="方正仿宋_GBK"/>
          <w:sz w:val="32"/>
          <w:szCs w:val="32"/>
        </w:rPr>
        <w:t>加强创新创业平台、人才集聚平台、人力资源流通平台建设，为返乡创业提供保障。坚持政府主导、多元发展、市场运作，加快推进返乡创业园区</w:t>
      </w:r>
      <w:r>
        <w:rPr>
          <w:rFonts w:eastAsia="方正仿宋_GBK"/>
          <w:sz w:val="32"/>
          <w:szCs w:val="44"/>
        </w:rPr>
        <w:t>（孵化园）</w:t>
      </w:r>
      <w:r>
        <w:rPr>
          <w:rFonts w:eastAsia="方正仿宋_GBK"/>
          <w:sz w:val="32"/>
          <w:szCs w:val="32"/>
        </w:rPr>
        <w:t>、星创天地、（现代青年农场主）创业孵化基地、</w:t>
      </w:r>
      <w:r>
        <w:rPr>
          <w:rFonts w:eastAsia="方正仿宋_GBK"/>
          <w:sz w:val="32"/>
          <w:szCs w:val="44"/>
        </w:rPr>
        <w:t>返乡创业示范村（社区）</w:t>
      </w:r>
      <w:r>
        <w:rPr>
          <w:rFonts w:eastAsia="方正仿宋_GBK"/>
          <w:sz w:val="32"/>
          <w:szCs w:val="32"/>
        </w:rPr>
        <w:t>等平台建设，为返乡创业企业提供运营载体平台。加快打造人才集聚平台，实施乡村就业创业促进行动，支持返乡下乡人员和“田秀才”“乡创客”创新创业，为返乡创业提供人才支撑平台。加快建设人力资源流通平台，</w:t>
      </w:r>
      <w:r>
        <w:rPr>
          <w:rFonts w:eastAsia="方正仿宋_GBK"/>
          <w:sz w:val="32"/>
          <w:szCs w:val="44"/>
        </w:rPr>
        <w:t>设置“返乡农民工就业创业服务窗口”“返乡农民工创业服务中心”“返乡农民工创业绿色通道”</w:t>
      </w:r>
      <w:r>
        <w:rPr>
          <w:rFonts w:eastAsia="方正仿宋_GBK"/>
          <w:sz w:val="32"/>
          <w:szCs w:val="32"/>
        </w:rPr>
        <w:t>，</w:t>
      </w:r>
      <w:r>
        <w:rPr>
          <w:rFonts w:eastAsia="方正仿宋_GBK"/>
          <w:sz w:val="32"/>
          <w:szCs w:val="44"/>
        </w:rPr>
        <w:t>建立返乡就业创业农民工数据信息库，与重点用工主体建立用工沟通联络机制，搭建县级劳务供需对接平台。</w:t>
      </w:r>
    </w:p>
    <w:p w14:paraId="596583C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强化创业指导。</w:t>
      </w:r>
      <w:r>
        <w:rPr>
          <w:rFonts w:eastAsia="方正仿宋_GBK"/>
          <w:sz w:val="32"/>
          <w:szCs w:val="22"/>
        </w:rPr>
        <w:t>加强服务体系建设，</w:t>
      </w:r>
      <w:r>
        <w:rPr>
          <w:rFonts w:eastAsia="方正仿宋_GBK"/>
          <w:sz w:val="32"/>
          <w:szCs w:val="44"/>
        </w:rPr>
        <w:t>培育和壮大专业化市场中介服务机构，探索组建</w:t>
      </w:r>
      <w:r>
        <w:rPr>
          <w:rFonts w:eastAsia="方正仿宋_GBK"/>
          <w:sz w:val="32"/>
          <w:szCs w:val="32"/>
        </w:rPr>
        <w:t>创业指导师志愿团，</w:t>
      </w:r>
      <w:r>
        <w:rPr>
          <w:rFonts w:eastAsia="方正仿宋_GBK"/>
          <w:sz w:val="32"/>
          <w:szCs w:val="44"/>
        </w:rPr>
        <w:t>推动形成专业化、社会化、网络化的市场中介服务体系。推进实施农村经纪人免费培训工程，大力培育具有农副产品流通、农业技术推广、农业信息传播、农村人力资源转移、农村土地流转等功能的农村经纪人，促进高质量创业。</w:t>
      </w:r>
      <w:r>
        <w:rPr>
          <w:rFonts w:eastAsia="方正仿宋_GBK"/>
          <w:sz w:val="32"/>
          <w:szCs w:val="22"/>
        </w:rPr>
        <w:t>加强创业技能培训。</w:t>
      </w:r>
      <w:r>
        <w:rPr>
          <w:rFonts w:eastAsia="方正仿宋_GBK"/>
          <w:sz w:val="32"/>
          <w:szCs w:val="44"/>
        </w:rPr>
        <w:t>落实农民工等人员返乡创业培训五年行动计划和农村青年创业致富“领头雁”计划、贫困村创业致富带头人培训工程，开展农村妇女创业创新培训，不断提升创新创业农民的综合素质、创业能力和技能水平</w:t>
      </w:r>
      <w:r>
        <w:rPr>
          <w:rFonts w:eastAsia="方正仿宋_GBK"/>
          <w:sz w:val="32"/>
          <w:szCs w:val="32"/>
        </w:rPr>
        <w:t>。</w:t>
      </w:r>
    </w:p>
    <w:p w14:paraId="3D53AF8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优化创业环境。</w:t>
      </w:r>
      <w:r>
        <w:rPr>
          <w:rFonts w:eastAsia="方正仿宋_GBK"/>
          <w:sz w:val="32"/>
          <w:szCs w:val="32"/>
        </w:rPr>
        <w:t>优化农村创业创新政务环境，进一步推动简政放权，减少审批事项、缩短办理时间，降低企业税负、提高服务水平，为企业办好事，让企业好办事。优化政务服务，进一步构建智慧化、标准化政务服务体系，让数据多跑腿，让群众少跑路。进一步强化责任落实、强化人财物保障、强化考核监督、强化宣传引导，积极为深化“放管服”改革创造条件。大力弘扬创新创业精神，广泛开展创业大赛、创业大讲堂等活动，鼓励引导青年及企业弘扬创业精神、培养创业意识、提升创业能力、提高创业成功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497A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center"/>
          </w:tcPr>
          <w:p w14:paraId="053287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b/>
                <w:bCs/>
                <w:sz w:val="21"/>
                <w:szCs w:val="21"/>
              </w:rPr>
            </w:pPr>
            <w:r>
              <w:rPr>
                <w:b/>
                <w:bCs/>
                <w:kern w:val="0"/>
                <w:sz w:val="21"/>
                <w:szCs w:val="21"/>
              </w:rPr>
              <w:t>专栏11农村创业创新重点工程</w:t>
            </w:r>
          </w:p>
        </w:tc>
      </w:tr>
      <w:tr w14:paraId="5AF3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14:paraId="1B846606">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b/>
                <w:bCs/>
                <w:kern w:val="0"/>
                <w:sz w:val="21"/>
                <w:szCs w:val="21"/>
              </w:rPr>
            </w:pPr>
            <w:r>
              <w:rPr>
                <w:b/>
                <w:bCs/>
                <w:kern w:val="0"/>
                <w:sz w:val="21"/>
                <w:szCs w:val="21"/>
              </w:rPr>
              <w:t>农村创业平台建设工程。</w:t>
            </w:r>
            <w:r>
              <w:rPr>
                <w:kern w:val="0"/>
                <w:sz w:val="21"/>
                <w:szCs w:val="21"/>
              </w:rPr>
              <w:t>加强返乡创业园区、星创天地、创新创业孵化基地等创新创业平台建设，到2025年，新建各类农村创业创新平台10个以上，孵化培育农业创新创业企业、新型农业经营主体200家以上。</w:t>
            </w:r>
          </w:p>
          <w:p w14:paraId="59369469">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kern w:val="0"/>
                <w:sz w:val="21"/>
                <w:szCs w:val="21"/>
              </w:rPr>
            </w:pPr>
            <w:r>
              <w:rPr>
                <w:b/>
                <w:bCs/>
                <w:kern w:val="0"/>
                <w:sz w:val="21"/>
                <w:szCs w:val="21"/>
              </w:rPr>
              <w:t>返乡创业人才培育计划。</w:t>
            </w:r>
            <w:r>
              <w:rPr>
                <w:kern w:val="0"/>
                <w:sz w:val="21"/>
                <w:szCs w:val="21"/>
              </w:rPr>
              <w:t>加强创业教育培训，根据“互联网+”模式，制定专业技能培训创业课程，提升返乡人员综合素质和创业能力。每年计划培训创新创业人员不少于50名。</w:t>
            </w:r>
          </w:p>
          <w:p w14:paraId="04E8AF1A">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b/>
                <w:bCs/>
                <w:kern w:val="0"/>
                <w:sz w:val="21"/>
                <w:szCs w:val="21"/>
              </w:rPr>
            </w:pPr>
            <w:r>
              <w:rPr>
                <w:b/>
                <w:bCs/>
                <w:kern w:val="0"/>
                <w:sz w:val="21"/>
                <w:szCs w:val="21"/>
              </w:rPr>
              <w:t>返乡创业回引计划。</w:t>
            </w:r>
            <w:r>
              <w:rPr>
                <w:kern w:val="0"/>
                <w:sz w:val="21"/>
                <w:szCs w:val="21"/>
              </w:rPr>
              <w:t>通过发布返乡创业优惠政策、加大返乡创业宣传、树立返乡创业典型、建设乡土人才信息库等措施，到2025年，回引外引农民工净流入200人，回引各类科技创新创业人才100人以上，培养农业农村科技创业带头人50名以上。</w:t>
            </w:r>
          </w:p>
          <w:p w14:paraId="00A532F1">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rFonts w:eastAsia="方正仿宋_GBK"/>
                <w:b/>
                <w:bCs/>
                <w:sz w:val="21"/>
                <w:szCs w:val="21"/>
              </w:rPr>
            </w:pPr>
            <w:r>
              <w:rPr>
                <w:b/>
                <w:bCs/>
                <w:kern w:val="0"/>
                <w:sz w:val="21"/>
                <w:szCs w:val="21"/>
              </w:rPr>
              <w:t>农村创业服务体系建设。</w:t>
            </w:r>
            <w:r>
              <w:rPr>
                <w:kern w:val="0"/>
                <w:sz w:val="21"/>
                <w:szCs w:val="21"/>
              </w:rPr>
              <w:t>深入推进“放管服”改革，进一步简政放权，简化审批流程，切实推行“一站式”“一条龙”服务，提高审批效率，加快完善公共服务，及时将返乡创业农民工纳入社保、教育、医疗等公共服务范围，全面优化农村创业创新环境，营造浓厚创新创业氛围。</w:t>
            </w:r>
          </w:p>
        </w:tc>
      </w:tr>
    </w:tbl>
    <w:p w14:paraId="1D6B2DA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80" w:name="_Toc108078379"/>
      <w:r>
        <w:rPr>
          <w:rFonts w:eastAsia="方正楷体_GBK"/>
          <w:sz w:val="32"/>
          <w:szCs w:val="22"/>
        </w:rPr>
        <w:t xml:space="preserve">第四节 </w:t>
      </w:r>
      <w:r>
        <w:rPr>
          <w:rFonts w:hint="eastAsia" w:eastAsia="方正楷体_GBK"/>
          <w:sz w:val="32"/>
          <w:szCs w:val="22"/>
          <w:lang w:val="en-US" w:eastAsia="zh-CN"/>
        </w:rPr>
        <w:t xml:space="preserve"> </w:t>
      </w:r>
      <w:r>
        <w:rPr>
          <w:rFonts w:eastAsia="方正楷体_GBK"/>
          <w:sz w:val="32"/>
          <w:szCs w:val="22"/>
        </w:rPr>
        <w:t>完善农村人才培养机制</w:t>
      </w:r>
      <w:bookmarkEnd w:id="80"/>
    </w:p>
    <w:p w14:paraId="4FF7E94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创新人才培养模式。</w:t>
      </w:r>
      <w:r>
        <w:rPr>
          <w:rFonts w:eastAsia="方正仿宋_GBK"/>
          <w:sz w:val="32"/>
          <w:szCs w:val="44"/>
        </w:rPr>
        <w:t>探索多样化人才培养模式，建立自主培养与人才引进相结合，学历教育、技能培训、实践锻炼等多措并举的农村人力资源开发机制。依托县委党校、</w:t>
      </w:r>
      <w:r>
        <w:rPr>
          <w:rFonts w:eastAsia="方正仿宋_GBK"/>
          <w:sz w:val="32"/>
          <w:szCs w:val="32"/>
        </w:rPr>
        <w:t>中国农业大学垫江教授工作站、</w:t>
      </w:r>
      <w:r>
        <w:rPr>
          <w:rFonts w:eastAsia="方正仿宋_GBK"/>
          <w:sz w:val="32"/>
          <w:szCs w:val="44"/>
        </w:rPr>
        <w:t>职教中心等教育教学资源，大力开展农科生培养，构建适应乡村振兴的人才培养模式。推动新型经营主体、农业科研单位、农技推广机构组建职教联盟，联合培养乡村振兴人才。运用移动互联网等信息化手段，创新在线培训、手机客户端管理考核等新型人才培养和服务方式。</w:t>
      </w:r>
    </w:p>
    <w:p w14:paraId="12A3E92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22"/>
        </w:rPr>
        <w:t>完善</w:t>
      </w:r>
      <w:r>
        <w:rPr>
          <w:rFonts w:eastAsia="方正仿宋_GBK"/>
          <w:b/>
          <w:bCs/>
          <w:sz w:val="32"/>
          <w:szCs w:val="32"/>
        </w:rPr>
        <w:t>人才评价体系。</w:t>
      </w:r>
      <w:r>
        <w:rPr>
          <w:rFonts w:eastAsia="方正仿宋_GBK"/>
          <w:sz w:val="32"/>
          <w:szCs w:val="32"/>
        </w:rPr>
        <w:t>落实农村基层专业技术人才职称评聘政策，深化职称制度改革，职务晋升、职称评定、工资晋级等向农村地区倾斜。加快开展职业农民职称评定试点，制定高素质农民分级分类认证标准，保障农村人才职称评定权益。建立与产业发展需求、经济结构相适应的企业人才评价机制，健全以市场和出资人认可为重要标准的企业经营管理人才评价体系，建立社会化的职业经理人评价制度，不断完善面向企业评价机制。完善青年人才的评价机制，逐步提高各系列（专业）高级职称中的青年人才比例，优化专业技术人才年龄梯次结构。</w:t>
      </w:r>
    </w:p>
    <w:p w14:paraId="2A1CDE7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建立人才激励机制。</w:t>
      </w:r>
      <w:r>
        <w:rPr>
          <w:rFonts w:eastAsia="方正仿宋_GBK"/>
          <w:sz w:val="32"/>
          <w:szCs w:val="44"/>
        </w:rPr>
        <w:t>落实好鼓励城市专业人才参与乡村振兴的政策。建立城乡、区域、校地之间人才合作培养与交流机制，按规定保障创新创业人员在职称评定、工资福利、社会保障方面的权益。通过设置特设岗位引进人才、动态调整事业单位岗位、探索公益性和经营性农技推广融合发展机制等方式，加大政策倾斜力度，支持乡镇专业技术人才创新创业。推进人才发展体制机制改革，落实好基层专业技术人才职称评聘、创业扶持、待遇保障等政策措施。建立创业风险防范机制，鼓励开发相关保险产品，按规定将符合条件的返乡创业人员纳入就业援助、社会保险和救助体系，使返乡创业有后盾、能致富。</w:t>
      </w:r>
    </w:p>
    <w:p w14:paraId="40A7FC4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eastAsia="方正黑体_GBK"/>
          <w:sz w:val="32"/>
          <w:szCs w:val="22"/>
        </w:rPr>
      </w:pPr>
      <w:bookmarkStart w:id="81" w:name="_Toc108078380"/>
      <w:r>
        <w:rPr>
          <w:rFonts w:eastAsia="方正黑体_GBK"/>
          <w:sz w:val="32"/>
          <w:szCs w:val="22"/>
        </w:rPr>
        <w:t>第八章</w:t>
      </w:r>
      <w:bookmarkStart w:id="82" w:name="_Hlk75699501"/>
      <w:r>
        <w:rPr>
          <w:rFonts w:hint="eastAsia" w:eastAsia="方正黑体_GBK"/>
          <w:sz w:val="32"/>
          <w:szCs w:val="22"/>
          <w:lang w:val="en-US" w:eastAsia="zh-CN"/>
        </w:rPr>
        <w:t xml:space="preserve"> </w:t>
      </w:r>
      <w:r>
        <w:rPr>
          <w:rFonts w:eastAsia="方正黑体_GBK"/>
          <w:sz w:val="32"/>
          <w:szCs w:val="22"/>
        </w:rPr>
        <w:t xml:space="preserve"> 实施乡村建设行动</w:t>
      </w:r>
      <w:bookmarkEnd w:id="81"/>
      <w:bookmarkEnd w:id="82"/>
    </w:p>
    <w:p w14:paraId="206E094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kern w:val="0"/>
          <w:sz w:val="32"/>
          <w:szCs w:val="32"/>
        </w:rPr>
      </w:pPr>
      <w:bookmarkStart w:id="83" w:name="_Hlk75699506"/>
      <w:r>
        <w:rPr>
          <w:rFonts w:eastAsia="方正仿宋_GBK"/>
          <w:kern w:val="0"/>
          <w:sz w:val="32"/>
          <w:szCs w:val="32"/>
        </w:rPr>
        <w:t>把乡村建设摆在社会主义现代化建设的重要位置，完善乡村基础设施，改善农村人居环境，提升公共服务水平，让农民在农村能够享受到与城市居民大致相当的基本生活条件。</w:t>
      </w:r>
    </w:p>
    <w:bookmarkEnd w:id="83"/>
    <w:p w14:paraId="165A7BF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84" w:name="_Toc73564860"/>
      <w:bookmarkStart w:id="85" w:name="_Toc74869601"/>
      <w:bookmarkStart w:id="86" w:name="_Toc108078381"/>
      <w:bookmarkStart w:id="87" w:name="_Hlk75699518"/>
      <w:r>
        <w:rPr>
          <w:rFonts w:eastAsia="方正楷体_GBK"/>
          <w:sz w:val="32"/>
          <w:szCs w:val="22"/>
        </w:rPr>
        <w:t xml:space="preserve">第一节 </w:t>
      </w:r>
      <w:r>
        <w:rPr>
          <w:rFonts w:hint="eastAsia" w:eastAsia="方正楷体_GBK"/>
          <w:sz w:val="32"/>
          <w:szCs w:val="22"/>
          <w:lang w:val="en-US" w:eastAsia="zh-CN"/>
        </w:rPr>
        <w:t xml:space="preserve"> </w:t>
      </w:r>
      <w:r>
        <w:rPr>
          <w:rFonts w:eastAsia="方正楷体_GBK"/>
          <w:sz w:val="32"/>
          <w:szCs w:val="22"/>
        </w:rPr>
        <w:t>统筹城镇和村庄规划</w:t>
      </w:r>
      <w:bookmarkEnd w:id="84"/>
      <w:r>
        <w:rPr>
          <w:rFonts w:eastAsia="方正楷体_GBK"/>
          <w:sz w:val="32"/>
          <w:szCs w:val="22"/>
        </w:rPr>
        <w:t>建设</w:t>
      </w:r>
      <w:bookmarkEnd w:id="85"/>
      <w:bookmarkEnd w:id="86"/>
    </w:p>
    <w:p w14:paraId="57304D6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黑体_GBK"/>
          <w:sz w:val="32"/>
          <w:szCs w:val="22"/>
        </w:rPr>
      </w:pPr>
      <w:r>
        <w:rPr>
          <w:rFonts w:eastAsia="方正仿宋_GBK"/>
          <w:kern w:val="0"/>
          <w:sz w:val="32"/>
          <w:szCs w:val="32"/>
        </w:rPr>
        <w:t>统筹城乡规划发展，一体推进要素配置、产业发展、基础设施、公共服务、生态保护等，强化全县综合服务能力建设。科学确定全域村庄布局和规模，按照集聚提升类、城郊融合类、特色保护类、搬迁撤并类分类推进村庄发展。综合考虑土地利用、产业发展、居民点布局、生态保护和历史文化传承等因素，编制完善“多规合一”全域全要素实用性村庄规划，科学布局乡村生产生活生态空间。加强传统村落特色和乡村风貌保护。完善农村基础设施、公共建筑及农房的抗震设防等建设标准和规范，开展农村民居地震安全示范工程建设，提高设计水平和建设质量，逐步解决农村基本不设防问题。尊重农民意愿，严格规范村庄撤并。</w:t>
      </w:r>
    </w:p>
    <w:bookmarkEnd w:id="87"/>
    <w:p w14:paraId="25D0BC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88" w:name="_Toc108078382"/>
      <w:r>
        <w:rPr>
          <w:rFonts w:eastAsia="方正楷体_GBK"/>
          <w:sz w:val="32"/>
          <w:szCs w:val="22"/>
        </w:rPr>
        <w:t xml:space="preserve">第二节 </w:t>
      </w:r>
      <w:r>
        <w:rPr>
          <w:rFonts w:hint="eastAsia" w:eastAsia="方正楷体_GBK"/>
          <w:sz w:val="32"/>
          <w:szCs w:val="22"/>
          <w:lang w:val="en-US" w:eastAsia="zh-CN"/>
        </w:rPr>
        <w:t xml:space="preserve"> </w:t>
      </w:r>
      <w:r>
        <w:rPr>
          <w:rFonts w:eastAsia="方正楷体_GBK"/>
          <w:sz w:val="32"/>
          <w:szCs w:val="22"/>
        </w:rPr>
        <w:t>推进农村基础设施建设</w:t>
      </w:r>
      <w:bookmarkEnd w:id="88"/>
    </w:p>
    <w:p w14:paraId="66959AB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22"/>
        </w:rPr>
      </w:pPr>
      <w:r>
        <w:rPr>
          <w:rFonts w:eastAsia="方正仿宋_GBK"/>
          <w:b/>
          <w:bCs/>
          <w:sz w:val="32"/>
          <w:szCs w:val="22"/>
        </w:rPr>
        <w:t>加快农村交通物流设施建设。</w:t>
      </w:r>
      <w:r>
        <w:rPr>
          <w:rFonts w:eastAsia="方正仿宋_GBK"/>
          <w:sz w:val="32"/>
          <w:szCs w:val="22"/>
        </w:rPr>
        <w:t>大力推进“四好农村路”建设，重点建设一批资源路、旅游路、产业路，构建从城市到农村、从市场到田头畅通快捷的交通网络体系。强化农村公路的运维养护，确保农村公路建好、管好、护好、运营好。持续推进农村公路安全生命防护工程，全面提升农村公路安全水平。到2025年，进一步提升入户便道进村入户，全县村（居）民小组通畅率达到100%。</w:t>
      </w:r>
    </w:p>
    <w:p w14:paraId="7E755C6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22"/>
        </w:rPr>
      </w:pPr>
      <w:r>
        <w:rPr>
          <w:rFonts w:eastAsia="方正仿宋_GBK"/>
          <w:b/>
          <w:bCs/>
          <w:sz w:val="32"/>
          <w:szCs w:val="22"/>
        </w:rPr>
        <w:t>加强农村水利基础设施建设。</w:t>
      </w:r>
      <w:r>
        <w:rPr>
          <w:rFonts w:eastAsia="方正仿宋_GBK"/>
          <w:sz w:val="32"/>
          <w:szCs w:val="32"/>
        </w:rPr>
        <w:t>实施重点水源建设工程，兴建一批骨干水源工程，强化城乡居民生产生活水量及水质保障。深入实施农村饮水安全巩固提升工程，健全管护运营机制，让所有农民群众都喝上“放心水”。推进重点灌区配套与节水改造、小型农田水利项目，建设一批高效节水灌溉工程，推广使用管道输水灌溉、精准灌溉、微灌等节水技术。加强中小河流域治理，提升农村防洪安全保障能力。强化农田水利基础设施运行管护，确保工程设施长期发挥效益。到2025年，农村集中供水率达100%，农村自来水普及率达94%以上，新增高效节水灌溉面积4万亩。</w:t>
      </w:r>
    </w:p>
    <w:p w14:paraId="0CC1077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22"/>
        </w:rPr>
        <w:t>加快构建农村现代能源体系。</w:t>
      </w:r>
      <w:r>
        <w:rPr>
          <w:rFonts w:eastAsia="方正仿宋_GBK"/>
          <w:sz w:val="32"/>
          <w:szCs w:val="32"/>
        </w:rPr>
        <w:t>优化农村能源供给结构，加快构建清洁高效、多元互补、城乡协调、统筹发展的现代农村能源体系。</w:t>
      </w:r>
      <w:r>
        <w:rPr>
          <w:rFonts w:eastAsia="方正仿宋_GBK"/>
          <w:kern w:val="0"/>
          <w:sz w:val="32"/>
          <w:szCs w:val="32"/>
        </w:rPr>
        <w:t>拓宽农村能源供应渠道，着力扩大清洁能源开发利用规模，重点支持</w:t>
      </w:r>
      <w:r>
        <w:rPr>
          <w:rFonts w:eastAsia="方正仿宋_GBK"/>
          <w:sz w:val="32"/>
          <w:szCs w:val="32"/>
        </w:rPr>
        <w:t>太阳能开发利用。分类推进农村电网升级改造，提高农网供电能力和质量，满足农村新型产业发展的用电需求。完善乡镇气源设施建设，有序推进天然气管网向农村有序延伸。</w:t>
      </w:r>
    </w:p>
    <w:p w14:paraId="3C9C27D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22"/>
        </w:rPr>
        <w:t>引导村民规范建房。</w:t>
      </w:r>
      <w:r>
        <w:rPr>
          <w:rFonts w:eastAsia="方正仿宋_GBK"/>
          <w:sz w:val="32"/>
          <w:szCs w:val="32"/>
        </w:rPr>
        <w:t>深入开展农村乱占耕地建房问题整治工作，明确规定村庄建设规模，依法合理给村民分配建房用地指标。推动以村为单位，统一用地、统一规模、统一筹建。要明确规定村庄建设规模，依法合理给村民分配建房用地指标。组织村民住房建设管理条例学习，充分尊重农民自愿、条件具备的基础上逐渐推行，因地制宜，量力而行，加强对村民集中建房工作的主动服务，依法办事，简化程序，提高工作效率，大力支持村民建房引导和扶持。</w:t>
      </w:r>
    </w:p>
    <w:p w14:paraId="6FC4DC16">
      <w:pPr>
        <w:keepNext w:val="0"/>
        <w:keepLines w:val="0"/>
        <w:pageBreakBefore w:val="0"/>
        <w:widowControl w:val="0"/>
        <w:kinsoku/>
        <w:wordWrap/>
        <w:overflowPunct/>
        <w:topLinePunct w:val="0"/>
        <w:autoSpaceDE/>
        <w:autoSpaceDN/>
        <w:bidi w:val="0"/>
        <w:adjustRightInd/>
        <w:snapToGrid/>
        <w:spacing w:line="240" w:lineRule="auto"/>
        <w:ind w:left="412" w:leftChars="200"/>
        <w:jc w:val="center"/>
        <w:textAlignment w:val="auto"/>
        <w:outlineLvl w:val="1"/>
        <w:rPr>
          <w:rFonts w:eastAsia="方正楷体_GBK"/>
          <w:sz w:val="32"/>
          <w:szCs w:val="22"/>
        </w:rPr>
      </w:pPr>
      <w:bookmarkStart w:id="89" w:name="_Toc108078383"/>
      <w:bookmarkStart w:id="90" w:name="_Toc50559160"/>
      <w:r>
        <w:rPr>
          <w:rFonts w:eastAsia="方正楷体_GBK"/>
          <w:sz w:val="32"/>
          <w:szCs w:val="22"/>
        </w:rPr>
        <w:t xml:space="preserve">第三节 </w:t>
      </w:r>
      <w:r>
        <w:rPr>
          <w:rFonts w:hint="eastAsia" w:eastAsia="方正楷体_GBK"/>
          <w:sz w:val="32"/>
          <w:szCs w:val="22"/>
          <w:lang w:val="en-US" w:eastAsia="zh-CN"/>
        </w:rPr>
        <w:t xml:space="preserve"> </w:t>
      </w:r>
      <w:r>
        <w:rPr>
          <w:rFonts w:eastAsia="方正楷体_GBK"/>
          <w:sz w:val="32"/>
          <w:szCs w:val="22"/>
        </w:rPr>
        <w:t>持续推进农村人居环境整治</w:t>
      </w:r>
      <w:bookmarkEnd w:id="89"/>
      <w:bookmarkEnd w:id="90"/>
    </w:p>
    <w:p w14:paraId="6A964F6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rPr>
      </w:pPr>
      <w:r>
        <w:rPr>
          <w:rFonts w:eastAsia="方正仿宋_GBK"/>
          <w:b/>
          <w:bCs/>
          <w:sz w:val="32"/>
        </w:rPr>
        <w:t>分类推进农村厕所革命。</w:t>
      </w:r>
      <w:r>
        <w:rPr>
          <w:rFonts w:eastAsia="方正仿宋_GBK"/>
          <w:sz w:val="32"/>
        </w:rPr>
        <w:t>结合农村危房改造、旧房整治提升、污水治理等统筹推进农村改厕，因地制宜推广应用改厕技术和模式，引导农户新建和改造标准卫生厕所。以</w:t>
      </w:r>
      <w:r>
        <w:rPr>
          <w:rFonts w:eastAsia="方正仿宋_GBK"/>
          <w:sz w:val="32"/>
          <w:szCs w:val="32"/>
        </w:rPr>
        <w:t>重点旅游沿线</w:t>
      </w:r>
      <w:r>
        <w:rPr>
          <w:rFonts w:eastAsia="方正仿宋_GBK"/>
          <w:sz w:val="32"/>
        </w:rPr>
        <w:t>等区域为重点，加强农村公共厕所的新建和改建。</w:t>
      </w:r>
      <w:r>
        <w:rPr>
          <w:rFonts w:eastAsia="方正仿宋_GBK"/>
          <w:sz w:val="32"/>
          <w:szCs w:val="32"/>
        </w:rPr>
        <w:t>加强农村改厕与生活污水治理、畜禽养殖废弃物资源化利用的有效衔接，推进厕所粪污无害化处理和资源化利用，鼓励引导经无害化处理的人畜粪便作为有机肥就地就近还田利用</w:t>
      </w:r>
      <w:r>
        <w:rPr>
          <w:rFonts w:eastAsia="方正仿宋_GBK"/>
          <w:sz w:val="32"/>
        </w:rPr>
        <w:t>。到2025年，</w:t>
      </w:r>
      <w:r>
        <w:rPr>
          <w:rFonts w:eastAsia="方正仿宋_GBK"/>
          <w:sz w:val="32"/>
          <w:szCs w:val="32"/>
        </w:rPr>
        <w:t>农村卫生厕所普及率提高到85%。</w:t>
      </w:r>
    </w:p>
    <w:p w14:paraId="2025ABB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rPr>
      </w:pPr>
      <w:r>
        <w:rPr>
          <w:rFonts w:eastAsia="方正仿宋_GBK"/>
          <w:b/>
          <w:bCs/>
          <w:sz w:val="32"/>
        </w:rPr>
        <w:t>全面推进农村生活垃圾治理。</w:t>
      </w:r>
      <w:r>
        <w:rPr>
          <w:rFonts w:eastAsia="方正仿宋_GBK"/>
          <w:sz w:val="32"/>
        </w:rPr>
        <w:t>持续完善“户集、村收、镇街转运、区域处理”的农村生活垃圾处理处置模式，加强农村生活垃圾处理设施的运行维护，提高生活垃圾收集率。坚持农村生活垃圾源头减量和集中处理，加快推进农村生活垃圾分类处理和资源化利用。大力整治非正规垃圾堆放点，推行简便易行的农村生活垃圾分类方式，建立健全符合各村实际、方式多样的生活垃圾收运处置体系。完善村保洁制度，建立稳定的保洁队伍和专业清运队伍，确保生活垃圾定点收集、定时清运。到2025年，对农村生活垃圾分类的行政村达到95%。</w:t>
      </w:r>
    </w:p>
    <w:p w14:paraId="7879F90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b/>
          <w:bCs/>
          <w:sz w:val="32"/>
        </w:rPr>
      </w:pPr>
      <w:r>
        <w:rPr>
          <w:rFonts w:eastAsia="方正仿宋_GBK"/>
          <w:b/>
          <w:bCs/>
          <w:sz w:val="32"/>
        </w:rPr>
        <w:t>梯次推进农村生活污水治理。</w:t>
      </w:r>
      <w:r>
        <w:rPr>
          <w:rFonts w:eastAsia="方正仿宋_GBK"/>
          <w:sz w:val="32"/>
        </w:rPr>
        <w:t>加强一般集镇、新农村等村庄村民聚居区、聚居点污水处理站建设、镇街管网建设和运营维护，积极推进城镇污水管网向周边农村地区延伸。因地制宜地推进饮用水源保护地等特殊区域的农村散户生活污水治理。加强生活污水源头减量和尾水回收利用，鼓励有条件的区域开展农村生活用水计量计费，引导农民形成良好的节约用水习惯。以减量化、生态化、资源化为导向，因地制宜选择达标排放与综合利用相结合模式，梯次推进农村聚居点生活污水处理设施建设，加强与改厕衔接，推进粪污无害化处理和资源化利用。开展农村黑臭水体整治试点示范，探索总结经验，以期形成可复制、可推广、可借鉴的治理技术和管理模式到2025年，农村生活污水处理率达到55%以上。</w:t>
      </w:r>
    </w:p>
    <w:p w14:paraId="3AAECE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eastAsia="方正仿宋_GBK"/>
          <w:sz w:val="32"/>
        </w:rPr>
      </w:pPr>
      <w:r>
        <w:rPr>
          <w:rFonts w:eastAsia="方正仿宋_GBK"/>
          <w:b/>
          <w:bCs/>
          <w:sz w:val="32"/>
        </w:rPr>
        <w:t>大力提升村容村貌整治。</w:t>
      </w:r>
      <w:r>
        <w:rPr>
          <w:rFonts w:eastAsia="方正仿宋_GBK"/>
          <w:sz w:val="32"/>
        </w:rPr>
        <w:t>深入推进整洁田园、美丽宜居乡村建设，鼓励经济条件较好的地区发展芳香产业，充分利用农村道路、池塘、房前屋后种植以蔬菜、果树、本地花卉为主的植物，打造小菜园、小果园、小花园等微景观，提高农村院落的人居环境美化承载功能。科学开展国土绿化，送花草树木下乡，开展农村“四旁”植树活动，突出保护乡村山体田园、河湖湿地、原生植被，重点加强房前屋后、进村道路、村庄四周等薄弱部位的绿化美化，加强古树名木保护，构建多功能的村庄森林生态系统，分类推进绿色村庄建设。重点完善村内主要道路、广场晒坝和农房院落等群众活动频繁、人口密集场所的公共照明设施，推广使用LED、太阳能等绿色节能照明设备，鼓励支持农户开展庭院照明建设，开展村庄亮化工程示范创建。加强公共空间管控，消除私搭乱建、乱堆乱放，深入开展农村危房改造和旧房整治提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637F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61" w:type="dxa"/>
            <w:noWrap w:val="0"/>
            <w:vAlign w:val="top"/>
          </w:tcPr>
          <w:p w14:paraId="51DF35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b/>
                <w:bCs/>
                <w:sz w:val="21"/>
                <w:szCs w:val="21"/>
              </w:rPr>
            </w:pPr>
            <w:r>
              <w:rPr>
                <w:b/>
                <w:bCs/>
                <w:kern w:val="0"/>
                <w:sz w:val="21"/>
                <w:szCs w:val="21"/>
              </w:rPr>
              <w:t>专栏12农村人居环境整治工程</w:t>
            </w:r>
          </w:p>
        </w:tc>
      </w:tr>
      <w:tr w14:paraId="4A62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9061" w:type="dxa"/>
            <w:noWrap w:val="0"/>
            <w:vAlign w:val="top"/>
          </w:tcPr>
          <w:p w14:paraId="0D105084">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b/>
                <w:bCs/>
                <w:kern w:val="0"/>
                <w:sz w:val="21"/>
                <w:szCs w:val="21"/>
              </w:rPr>
            </w:pPr>
            <w:r>
              <w:rPr>
                <w:b/>
                <w:bCs/>
                <w:kern w:val="0"/>
                <w:sz w:val="21"/>
                <w:szCs w:val="21"/>
              </w:rPr>
              <w:t>农村生活垃圾治理工程。</w:t>
            </w:r>
            <w:r>
              <w:rPr>
                <w:kern w:val="0"/>
                <w:sz w:val="21"/>
                <w:szCs w:val="21"/>
              </w:rPr>
              <w:t>实施农村生活垃圾专项整治，建立健全农村生活垃圾收运处理系统，整治农村非正规生活垃圾堆放点，到2025年，农村生活垃圾分类取得明显成效，所有行政村生活垃圾得到有效治理。全面完成农村生活垃圾、建筑垃圾、漂浮垃圾和一般工业固废垃圾等非正规垃圾堆放点清理整治任务。</w:t>
            </w:r>
          </w:p>
          <w:p w14:paraId="4D04E7E7">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b/>
                <w:bCs/>
                <w:kern w:val="0"/>
                <w:sz w:val="21"/>
                <w:szCs w:val="21"/>
              </w:rPr>
            </w:pPr>
            <w:r>
              <w:rPr>
                <w:b/>
                <w:bCs/>
                <w:kern w:val="0"/>
                <w:sz w:val="21"/>
                <w:szCs w:val="21"/>
              </w:rPr>
              <w:t>农村厕所革命工程。</w:t>
            </w:r>
            <w:r>
              <w:rPr>
                <w:kern w:val="0"/>
                <w:sz w:val="21"/>
                <w:szCs w:val="21"/>
              </w:rPr>
              <w:t>大力开展农村户厕改造，到2025年，完成农村户厕改造20000户，全县基本普及农村户用卫生厕所，新建50座农村公共厕所。</w:t>
            </w:r>
          </w:p>
          <w:p w14:paraId="6D3BADC0">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b/>
                <w:bCs/>
                <w:kern w:val="0"/>
                <w:sz w:val="21"/>
                <w:szCs w:val="21"/>
              </w:rPr>
            </w:pPr>
            <w:r>
              <w:rPr>
                <w:b/>
                <w:bCs/>
                <w:kern w:val="0"/>
                <w:sz w:val="21"/>
                <w:szCs w:val="21"/>
              </w:rPr>
              <w:t>农村生活污水治理工程。</w:t>
            </w:r>
            <w:r>
              <w:rPr>
                <w:kern w:val="0"/>
                <w:sz w:val="21"/>
                <w:szCs w:val="21"/>
              </w:rPr>
              <w:t>推动城镇污水管网向周边乡村延伸覆盖，因地制宜建设分散型、生态型的小型污水处理设施，通过人工湿地、农村改厕、户用沼气、化粪池以及储粪还田等多种形式治理分散污水。到2025年农村生活污水处理率达到55%以上。</w:t>
            </w:r>
          </w:p>
          <w:p w14:paraId="29DD2F18">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rFonts w:eastAsia="方正仿宋_GBK"/>
                <w:b/>
                <w:bCs/>
                <w:sz w:val="21"/>
                <w:szCs w:val="21"/>
              </w:rPr>
            </w:pPr>
            <w:r>
              <w:rPr>
                <w:b/>
                <w:bCs/>
                <w:kern w:val="0"/>
                <w:sz w:val="21"/>
                <w:szCs w:val="21"/>
              </w:rPr>
              <w:t>村容村貌提升各村</w:t>
            </w:r>
            <w:r>
              <w:rPr>
                <w:kern w:val="0"/>
                <w:sz w:val="21"/>
                <w:szCs w:val="21"/>
              </w:rPr>
              <w:t>。到2025年，建设1-3米宽入户道路1000公里，动态消除农村贫困户危房，新增乡村公共场所绿化3000亩，新建绿色示范村庄50个，安装路灯或庭院灯5000盏。</w:t>
            </w:r>
          </w:p>
        </w:tc>
      </w:tr>
    </w:tbl>
    <w:p w14:paraId="07B7888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91" w:name="_Toc52962406"/>
      <w:bookmarkStart w:id="92" w:name="_Toc108078384"/>
      <w:bookmarkStart w:id="93" w:name="_Hlk75699927"/>
      <w:bookmarkStart w:id="94" w:name="_Toc73564865"/>
      <w:bookmarkStart w:id="95" w:name="_Toc74869606"/>
      <w:r>
        <w:rPr>
          <w:rFonts w:eastAsia="方正楷体_GBK"/>
          <w:sz w:val="32"/>
          <w:szCs w:val="22"/>
        </w:rPr>
        <w:t>第四节</w:t>
      </w:r>
      <w:bookmarkEnd w:id="91"/>
      <w:r>
        <w:rPr>
          <w:rFonts w:eastAsia="方正楷体_GBK"/>
          <w:sz w:val="32"/>
          <w:szCs w:val="22"/>
        </w:rPr>
        <w:t xml:space="preserve"> </w:t>
      </w:r>
      <w:r>
        <w:rPr>
          <w:rFonts w:hint="eastAsia" w:eastAsia="方正楷体_GBK"/>
          <w:sz w:val="32"/>
          <w:szCs w:val="22"/>
          <w:lang w:val="en-US" w:eastAsia="zh-CN"/>
        </w:rPr>
        <w:t xml:space="preserve"> </w:t>
      </w:r>
      <w:r>
        <w:rPr>
          <w:rFonts w:eastAsia="方正楷体_GBK"/>
          <w:sz w:val="32"/>
          <w:szCs w:val="22"/>
        </w:rPr>
        <w:t>加快补上农村公共服务短板</w:t>
      </w:r>
      <w:bookmarkEnd w:id="92"/>
    </w:p>
    <w:p w14:paraId="0B93E0C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优先发展农村教育事业。</w:t>
      </w:r>
      <w:r>
        <w:rPr>
          <w:rFonts w:eastAsia="方正仿宋_GBK"/>
          <w:sz w:val="32"/>
          <w:szCs w:val="32"/>
        </w:rPr>
        <w:t>坚持以城带乡、整体推进、城乡一体、均衡发展、优先发展农村教育事业。加强农村托幼服务设施建设，大力推动农村普惠性幼儿园建设，确保幼有所育。加快发展面向乡村的现代远程教育。优化义务教育资源布局，加强乡镇寄宿制学校和农村小规模学校建设，推进城市优质学校和农村薄弱学校结对帮扶，稳步增加普惠性学前教育资源供给。推进普及农村高中阶段教育，大力发展农村职业教育。加大涉农高校、涉农职业院校、涉农学科专业建设力度。</w:t>
      </w:r>
    </w:p>
    <w:p w14:paraId="409E825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健全乡村医疗卫生服务体系。</w:t>
      </w:r>
      <w:r>
        <w:rPr>
          <w:rFonts w:eastAsia="方正仿宋_GBK"/>
          <w:sz w:val="32"/>
          <w:szCs w:val="32"/>
        </w:rPr>
        <w:t>建立健全农村三级医疗卫生服务网络，落实基本公共卫生服务项目补助政策。实施部分基层医疗卫生机构新建或改扩建工程，为具备条件的基层医疗机构配备主要数字化诊疗设备，为村卫生室配备</w:t>
      </w:r>
      <w:r>
        <w:rPr>
          <w:rFonts w:hint="eastAsia" w:eastAsia="方正仿宋_GBK"/>
          <w:sz w:val="32"/>
          <w:szCs w:val="32"/>
          <w:u w:val="dotted" w:color="FFFFFF"/>
        </w:rPr>
        <w:t>助诊仓</w:t>
      </w:r>
      <w:r>
        <w:rPr>
          <w:rFonts w:eastAsia="方正仿宋_GBK"/>
          <w:sz w:val="32"/>
          <w:szCs w:val="32"/>
          <w:u w:val="dotted" w:color="FFFFFF"/>
        </w:rPr>
        <w:t>，</w:t>
      </w:r>
      <w:r>
        <w:rPr>
          <w:rFonts w:eastAsia="方正仿宋_GBK"/>
          <w:sz w:val="32"/>
          <w:szCs w:val="32"/>
        </w:rPr>
        <w:t>缩小城乡卫生资源配置差距，促进城乡基本公共卫生服务均等化。推进全县“医通、人通、财通”建设，提升村卫生室标准化建设和健康管理水平，提高乡村卫生院医疗服务能力。强化农村公共卫生服务，加强慢性病综合防控，大力推进农村地区精神卫生、职业病和重大传染病防治。实施基层医疗卫生机构信息畅通工程，建立完善覆盖所有镇街卫生院和村卫生室的基层医疗卫生信息系统。加强乡村医疗人才队伍建设。加强乡村中医药服务，到2025年，</w:t>
      </w:r>
      <w:r>
        <w:rPr>
          <w:rFonts w:hint="eastAsia" w:eastAsia="方正仿宋_GBK"/>
          <w:sz w:val="32"/>
          <w:szCs w:val="32"/>
        </w:rPr>
        <w:t>8</w:t>
      </w:r>
      <w:r>
        <w:rPr>
          <w:rFonts w:eastAsia="方正仿宋_GBK"/>
          <w:sz w:val="32"/>
          <w:szCs w:val="32"/>
        </w:rPr>
        <w:t>0%以上村卫生室能提供中医药服务。</w:t>
      </w:r>
    </w:p>
    <w:p w14:paraId="0E97910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楷体_GBK"/>
          <w:b/>
          <w:bCs/>
          <w:sz w:val="32"/>
          <w:szCs w:val="22"/>
        </w:rPr>
      </w:pPr>
      <w:r>
        <w:rPr>
          <w:rFonts w:eastAsia="方正仿宋_GBK"/>
          <w:b/>
          <w:bCs/>
          <w:sz w:val="32"/>
          <w:szCs w:val="32"/>
        </w:rPr>
        <w:t>推动社会保障城乡统筹。</w:t>
      </w:r>
      <w:r>
        <w:rPr>
          <w:rFonts w:eastAsia="方正仿宋_GBK"/>
          <w:sz w:val="32"/>
          <w:szCs w:val="32"/>
        </w:rPr>
        <w:t>健全城乡统一的医疗保障制度，进一步完善基本医疗保险、大病保险、医疗救助和生育保险等各项医疗保险体制机制，加强各制度之间的衔接协调。进一步完善城乡居民基本养老保险制度，积极落实城乡居民基本养老保险待遇确定和基础养老金标准正常调整机制。统筹城乡社会救助体系，完善最低生活保障制度，逐步实现城乡低保标准并轨。</w:t>
      </w:r>
      <w:bookmarkStart w:id="96" w:name="_Toc50559165"/>
      <w:r>
        <w:rPr>
          <w:rFonts w:eastAsia="方正仿宋_GBK"/>
          <w:sz w:val="32"/>
          <w:szCs w:val="32"/>
        </w:rPr>
        <w:t>健全农村留守儿童、留守妇女、留守老人和残疾人关爱服务体系。加强和改善农村残疾人护理服务，依托村卫生室、公共服务中心、残疾人协会等场所设立康复室，打通基层残疾人康复服务“最后一公里”。加快推进城乡公益性公墓建设，实现乡镇公益性公墓全覆盖。</w:t>
      </w:r>
      <w:bookmarkEnd w:id="96"/>
    </w:p>
    <w:p w14:paraId="5754368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提升农村养老托育服务。</w:t>
      </w:r>
      <w:r>
        <w:rPr>
          <w:rFonts w:eastAsia="方正仿宋_GBK"/>
          <w:sz w:val="32"/>
          <w:szCs w:val="32"/>
        </w:rPr>
        <w:t>加速推进城镇与农村之间养老服务资源和要素的流动，合理布局农村养老服务设施，建立城乡养老机构合作机制。合理布局农村养老服务设施。增加康复护理功能，推进镇街敬老院开展农村社会化养老服务。在保障农村特困人员集中供养需求的前提下，为低收入、高龄、独居、失能、失独农村老年人提供机构托养服务。依托行政村、较大自然村，充分利用闲置资源，建设农村互助性养老设施，拓展村卫生室医养融合服务。支持基层老年协会、社会组织和个人参与运营农村互助型养老服务设施。依托居家养老信息平台，为留守老年人提供定时问候报平安、紧急呼叫援助等服务。加快构建多元化、多样化婴幼儿照护体系，重点发展教育、卫生、村（社区）管理部门和托幼机构共同参与的优质、便利、普惠的公共托幼服务。</w:t>
      </w:r>
    </w:p>
    <w:p w14:paraId="3D9B1E2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b/>
          <w:bCs/>
          <w:sz w:val="32"/>
          <w:szCs w:val="32"/>
        </w:rPr>
        <w:t>强化农村体育健身服务供给。</w:t>
      </w:r>
      <w:r>
        <w:rPr>
          <w:rFonts w:eastAsia="方正仿宋_GBK"/>
          <w:sz w:val="32"/>
          <w:szCs w:val="32"/>
        </w:rPr>
        <w:t>深入实施农民体育健身工程，利用农村闲置房屋、集体建设用地、“四荒地”等建设公共体育健身设施。丰富农民群众健身活动，推广普及农民群众喜闻乐见的体育项目。积极参与农民运动会，充分利用农民丰收节、春节和农闲时间，开展农民群众篮球、乒乓球、田径比赛等体育赛事活动。</w:t>
      </w:r>
      <w:bookmarkEnd w:id="93"/>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F4D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5" w:type="dxa"/>
            <w:tcBorders>
              <w:top w:val="single" w:color="auto" w:sz="4" w:space="0"/>
              <w:left w:val="single" w:color="auto" w:sz="4" w:space="0"/>
              <w:bottom w:val="single" w:color="auto" w:sz="4" w:space="0"/>
              <w:right w:val="single" w:color="auto" w:sz="4" w:space="0"/>
            </w:tcBorders>
            <w:noWrap w:val="0"/>
            <w:vAlign w:val="top"/>
          </w:tcPr>
          <w:p w14:paraId="3748686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eastAsia="方正楷体_GBK"/>
                <w:b/>
                <w:bCs/>
                <w:sz w:val="21"/>
                <w:szCs w:val="21"/>
              </w:rPr>
            </w:pPr>
            <w:r>
              <w:rPr>
                <w:b/>
                <w:bCs/>
                <w:kern w:val="0"/>
                <w:sz w:val="21"/>
                <w:szCs w:val="21"/>
              </w:rPr>
              <w:t>专栏13加快补齐农村公共服务设施短板</w:t>
            </w:r>
          </w:p>
        </w:tc>
      </w:tr>
      <w:tr w14:paraId="43A2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5" w:type="dxa"/>
            <w:tcBorders>
              <w:top w:val="single" w:color="auto" w:sz="4" w:space="0"/>
              <w:left w:val="single" w:color="auto" w:sz="4" w:space="0"/>
              <w:bottom w:val="single" w:color="auto" w:sz="4" w:space="0"/>
              <w:right w:val="single" w:color="auto" w:sz="4" w:space="0"/>
            </w:tcBorders>
            <w:noWrap w:val="0"/>
            <w:vAlign w:val="top"/>
          </w:tcPr>
          <w:p w14:paraId="646EAC26">
            <w:pPr>
              <w:keepNext w:val="0"/>
              <w:keepLines w:val="0"/>
              <w:pageBreakBefore w:val="0"/>
              <w:widowControl w:val="0"/>
              <w:kinsoku/>
              <w:wordWrap/>
              <w:overflowPunct/>
              <w:topLinePunct w:val="0"/>
              <w:autoSpaceDE/>
              <w:autoSpaceDN/>
              <w:bidi w:val="0"/>
              <w:adjustRightInd/>
              <w:snapToGrid/>
              <w:spacing w:line="420" w:lineRule="exact"/>
              <w:ind w:firstLine="412" w:firstLineChars="200"/>
              <w:jc w:val="left"/>
              <w:textAlignment w:val="auto"/>
              <w:rPr>
                <w:kern w:val="0"/>
                <w:sz w:val="21"/>
                <w:szCs w:val="21"/>
              </w:rPr>
            </w:pPr>
            <w:r>
              <w:rPr>
                <w:b/>
                <w:bCs/>
                <w:kern w:val="0"/>
                <w:sz w:val="21"/>
                <w:szCs w:val="21"/>
              </w:rPr>
              <w:t>乡村教育提升工程。</w:t>
            </w:r>
            <w:r>
              <w:rPr>
                <w:kern w:val="0"/>
                <w:sz w:val="21"/>
                <w:szCs w:val="21"/>
              </w:rPr>
              <w:t>全面提高农村教育公共服务供给能力和共享水平，积极发展农村学前教育，实施义务教育</w:t>
            </w:r>
            <w:r>
              <w:rPr>
                <w:rFonts w:hint="eastAsia"/>
                <w:kern w:val="0"/>
                <w:sz w:val="21"/>
                <w:szCs w:val="21"/>
              </w:rPr>
              <w:t>控辍保学专项行动</w:t>
            </w:r>
            <w:r>
              <w:rPr>
                <w:kern w:val="0"/>
                <w:sz w:val="21"/>
                <w:szCs w:val="21"/>
              </w:rPr>
              <w:t>和高中</w:t>
            </w:r>
            <w:r>
              <w:rPr>
                <w:rFonts w:hint="eastAsia"/>
                <w:kern w:val="0"/>
                <w:sz w:val="21"/>
                <w:szCs w:val="21"/>
              </w:rPr>
              <w:t>教育</w:t>
            </w:r>
            <w:r>
              <w:rPr>
                <w:kern w:val="0"/>
                <w:sz w:val="21"/>
                <w:szCs w:val="21"/>
              </w:rPr>
              <w:t>普及攻坚计划。到2025年农村学前三年毛入园率达到93%</w:t>
            </w:r>
            <w:r>
              <w:rPr>
                <w:rFonts w:hint="eastAsia"/>
                <w:kern w:val="0"/>
                <w:sz w:val="21"/>
                <w:szCs w:val="21"/>
              </w:rPr>
              <w:t>以上</w:t>
            </w:r>
            <w:r>
              <w:rPr>
                <w:kern w:val="0"/>
                <w:sz w:val="21"/>
                <w:szCs w:val="21"/>
              </w:rPr>
              <w:t>，在园幼儿普惠率达到95</w:t>
            </w:r>
            <w:r>
              <w:rPr>
                <w:rFonts w:hint="eastAsia"/>
                <w:kern w:val="0"/>
                <w:sz w:val="21"/>
                <w:szCs w:val="21"/>
              </w:rPr>
              <w:t>%以上</w:t>
            </w:r>
            <w:r>
              <w:rPr>
                <w:kern w:val="0"/>
                <w:sz w:val="21"/>
                <w:szCs w:val="21"/>
              </w:rPr>
              <w:t>，义务教育入学率达到</w:t>
            </w:r>
            <w:r>
              <w:rPr>
                <w:rFonts w:hint="eastAsia"/>
                <w:kern w:val="0"/>
                <w:sz w:val="21"/>
                <w:szCs w:val="21"/>
              </w:rPr>
              <w:t>100</w:t>
            </w:r>
            <w:r>
              <w:rPr>
                <w:kern w:val="0"/>
                <w:sz w:val="21"/>
                <w:szCs w:val="21"/>
              </w:rPr>
              <w:t>%</w:t>
            </w:r>
            <w:r>
              <w:rPr>
                <w:rFonts w:hint="eastAsia"/>
                <w:kern w:val="0"/>
                <w:sz w:val="21"/>
                <w:szCs w:val="21"/>
              </w:rPr>
              <w:t>以上</w:t>
            </w:r>
            <w:r>
              <w:rPr>
                <w:kern w:val="0"/>
                <w:sz w:val="21"/>
                <w:szCs w:val="21"/>
              </w:rPr>
              <w:t>，九年义务教育巩固率达到</w:t>
            </w:r>
            <w:r>
              <w:rPr>
                <w:rFonts w:hint="eastAsia"/>
                <w:kern w:val="0"/>
                <w:sz w:val="21"/>
                <w:szCs w:val="21"/>
              </w:rPr>
              <w:t>99</w:t>
            </w:r>
            <w:r>
              <w:rPr>
                <w:kern w:val="0"/>
                <w:sz w:val="21"/>
                <w:szCs w:val="21"/>
              </w:rPr>
              <w:t>%</w:t>
            </w:r>
            <w:r>
              <w:rPr>
                <w:rFonts w:hint="eastAsia"/>
                <w:kern w:val="0"/>
                <w:sz w:val="21"/>
                <w:szCs w:val="21"/>
              </w:rPr>
              <w:t>以上</w:t>
            </w:r>
            <w:r>
              <w:rPr>
                <w:kern w:val="0"/>
                <w:sz w:val="21"/>
                <w:szCs w:val="21"/>
              </w:rPr>
              <w:t>，义务学校标准化达标率达到85%</w:t>
            </w:r>
            <w:r>
              <w:rPr>
                <w:rFonts w:hint="eastAsia"/>
                <w:kern w:val="0"/>
                <w:sz w:val="21"/>
                <w:szCs w:val="21"/>
              </w:rPr>
              <w:t>以上</w:t>
            </w:r>
            <w:r>
              <w:rPr>
                <w:kern w:val="0"/>
                <w:sz w:val="21"/>
                <w:szCs w:val="21"/>
              </w:rPr>
              <w:t>。</w:t>
            </w:r>
          </w:p>
          <w:p w14:paraId="017FAE36">
            <w:pPr>
              <w:keepNext w:val="0"/>
              <w:keepLines w:val="0"/>
              <w:pageBreakBefore w:val="0"/>
              <w:widowControl w:val="0"/>
              <w:kinsoku/>
              <w:wordWrap/>
              <w:overflowPunct/>
              <w:topLinePunct w:val="0"/>
              <w:autoSpaceDE/>
              <w:autoSpaceDN/>
              <w:bidi w:val="0"/>
              <w:adjustRightInd/>
              <w:snapToGrid/>
              <w:spacing w:line="420" w:lineRule="exact"/>
              <w:ind w:firstLine="412" w:firstLineChars="200"/>
              <w:jc w:val="left"/>
              <w:textAlignment w:val="auto"/>
              <w:rPr>
                <w:kern w:val="0"/>
                <w:sz w:val="21"/>
                <w:szCs w:val="21"/>
              </w:rPr>
            </w:pPr>
            <w:r>
              <w:rPr>
                <w:b/>
                <w:bCs/>
                <w:kern w:val="0"/>
                <w:sz w:val="21"/>
                <w:szCs w:val="21"/>
              </w:rPr>
              <w:t>健康乡村工程。</w:t>
            </w:r>
            <w:r>
              <w:rPr>
                <w:kern w:val="0"/>
                <w:sz w:val="21"/>
                <w:szCs w:val="21"/>
              </w:rPr>
              <w:t>推进基本公共卫生服务均等化，落实国家基本公共卫生服务项目补助政策，人均基本公共卫生服务经费补助标准逐年提高至60元以上。加强基层医疗卫生服务能力建设，为具备条件的基层医疗机构配备主要数字化诊疗设备，为村卫生室配备健康一体机。实现每个镇有1所标准化卫生院，每个村有1个标准化卫生室，每个镇卫生院有1名以上全科医生，按照市级要求为农村妇女实施“两癌”免费检查。到2025年，基层医疗卫生机构标准化率达到100%，5%以上的镇街卫生院达到甲等水平，医疗服务能力达到甲等水平。在村建立残疾人康复室20个。完成全科医生培训300名，全科医生转岗培训400名，助理全科医生培训500名。</w:t>
            </w:r>
          </w:p>
          <w:p w14:paraId="4624E609">
            <w:pPr>
              <w:keepNext w:val="0"/>
              <w:keepLines w:val="0"/>
              <w:pageBreakBefore w:val="0"/>
              <w:widowControl w:val="0"/>
              <w:kinsoku/>
              <w:wordWrap/>
              <w:overflowPunct/>
              <w:topLinePunct w:val="0"/>
              <w:autoSpaceDE/>
              <w:autoSpaceDN/>
              <w:bidi w:val="0"/>
              <w:adjustRightInd/>
              <w:snapToGrid/>
              <w:spacing w:line="420" w:lineRule="exact"/>
              <w:ind w:firstLine="412" w:firstLineChars="200"/>
              <w:jc w:val="left"/>
              <w:textAlignment w:val="auto"/>
              <w:rPr>
                <w:kern w:val="0"/>
                <w:sz w:val="21"/>
                <w:szCs w:val="21"/>
              </w:rPr>
            </w:pPr>
            <w:r>
              <w:rPr>
                <w:b/>
                <w:bCs/>
                <w:kern w:val="0"/>
                <w:sz w:val="21"/>
                <w:szCs w:val="21"/>
              </w:rPr>
              <w:t>社会保障织网工程。</w:t>
            </w:r>
            <w:r>
              <w:rPr>
                <w:kern w:val="0"/>
                <w:sz w:val="21"/>
                <w:szCs w:val="21"/>
              </w:rPr>
              <w:t>不断完善城乡低保制度，将符合条件的农村贫困人员及时纳入低保兜底；有序推进低保制度城乡统筹，城乡低保标准差距缩小到1:0.8；逐步提高特困人员救助供养标准，不能自理特困人员集中供养率超过50%。实施全民参保计划，基本实现法定人员全覆盖，引导城镇稳定就业的农民参加职工社会保险。实施社会保障卡工程，不断提高乡村持卡人口覆盖率。</w:t>
            </w:r>
          </w:p>
          <w:p w14:paraId="1A4579AB">
            <w:pPr>
              <w:keepNext w:val="0"/>
              <w:keepLines w:val="0"/>
              <w:pageBreakBefore w:val="0"/>
              <w:widowControl w:val="0"/>
              <w:kinsoku/>
              <w:wordWrap/>
              <w:overflowPunct/>
              <w:topLinePunct w:val="0"/>
              <w:autoSpaceDE/>
              <w:autoSpaceDN/>
              <w:bidi w:val="0"/>
              <w:adjustRightInd/>
              <w:snapToGrid/>
              <w:spacing w:line="420" w:lineRule="exact"/>
              <w:ind w:firstLine="412" w:firstLineChars="200"/>
              <w:jc w:val="left"/>
              <w:textAlignment w:val="auto"/>
              <w:rPr>
                <w:rFonts w:eastAsia="方正仿宋_GBK"/>
                <w:b/>
                <w:bCs/>
                <w:sz w:val="21"/>
                <w:szCs w:val="21"/>
              </w:rPr>
            </w:pPr>
            <w:r>
              <w:rPr>
                <w:b/>
                <w:bCs/>
                <w:kern w:val="0"/>
                <w:sz w:val="21"/>
                <w:szCs w:val="21"/>
              </w:rPr>
              <w:t>养老服务进农村工程。</w:t>
            </w:r>
            <w:r>
              <w:rPr>
                <w:kern w:val="0"/>
                <w:sz w:val="21"/>
                <w:szCs w:val="21"/>
              </w:rPr>
              <w:t>积极开展应对人口老龄化行动，建成以居家养老为基础、社区养老为依托、机构养老为补充、医养结合的养老服务体系。推进医疗卫生与养老服务相结合，新建农村养老服务设施，农村社区养老服务覆盖60%以上农村社区。进一步降低准入门槛，营造公平竞争环境，积极引导社会资本进入养老服务业，繁荣乡村养老服务市场。建立关爱农村留守老人志愿服务长效机制，推进老年宜居环境建设，到2025年，80%以上农村具备老年宜居社区基本条件。</w:t>
            </w:r>
          </w:p>
        </w:tc>
      </w:tr>
    </w:tbl>
    <w:p w14:paraId="33D545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97" w:name="_Toc108078385"/>
      <w:bookmarkStart w:id="98" w:name="_Hlk75700195"/>
      <w:r>
        <w:rPr>
          <w:rFonts w:eastAsia="方正楷体_GBK"/>
          <w:sz w:val="32"/>
          <w:szCs w:val="22"/>
        </w:rPr>
        <w:t xml:space="preserve">第五节 </w:t>
      </w:r>
      <w:r>
        <w:rPr>
          <w:rFonts w:hint="eastAsia" w:eastAsia="方正楷体_GBK"/>
          <w:sz w:val="32"/>
          <w:szCs w:val="22"/>
          <w:lang w:val="en-US" w:eastAsia="zh-CN"/>
        </w:rPr>
        <w:t xml:space="preserve"> </w:t>
      </w:r>
      <w:r>
        <w:rPr>
          <w:rFonts w:eastAsia="方正楷体_GBK"/>
          <w:sz w:val="32"/>
          <w:szCs w:val="22"/>
        </w:rPr>
        <w:t>推进数字乡村建设</w:t>
      </w:r>
      <w:bookmarkEnd w:id="97"/>
    </w:p>
    <w:p w14:paraId="3B7BDC7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kern w:val="0"/>
          <w:sz w:val="32"/>
          <w:szCs w:val="30"/>
        </w:rPr>
      </w:pPr>
      <w:r>
        <w:rPr>
          <w:rFonts w:eastAsia="方正仿宋_GBK"/>
          <w:sz w:val="32"/>
          <w:szCs w:val="32"/>
        </w:rPr>
        <w:t>夯实乡村数字化基础，加快农业农村数字化转型步伐，加快推进乡村4G深化普及、5G创新应用，重点实施农业园区和生产基地的4G、5G网络的覆盖能力，推动农村地区基础设施数字化、智能化转型。加快农村宽带通信网、移动互联网、数字电视网和下一代互联网发展，大幅提升乡村网络设施水平。依托中国农业大学垫江教授工作站以及瞰天科技、极目科技、珈成科技等农业高科技企业，建设垫江数字农业云平台，垫江大数据云端服务中心，垫江大数据社会服务中心。加快建设服务农民群众生产生活“一站多牌、一站多职、一站多用”的基层综合信息服务站点</w:t>
      </w:r>
      <w:r>
        <w:rPr>
          <w:rFonts w:eastAsia="方正仿宋_GBK"/>
          <w:kern w:val="0"/>
          <w:sz w:val="32"/>
          <w:szCs w:val="30"/>
        </w:rPr>
        <w:t>，加强农村综合治理能力，实现党员教育、党务村务财务网上公开、政务服务网上办理，贫困人口的网络精准定点帮扶，有效提升基层管理能力、群众办事便捷程度。引入农业、医疗、教育等互联网服务，构建县域农业农村大数据服务平台。</w:t>
      </w:r>
    </w:p>
    <w:p w14:paraId="0F282E3A">
      <w:pPr>
        <w:pStyle w:val="2"/>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14:paraId="62D6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noWrap w:val="0"/>
            <w:vAlign w:val="center"/>
          </w:tcPr>
          <w:p w14:paraId="4EF0CA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b/>
                <w:bCs/>
                <w:sz w:val="21"/>
                <w:szCs w:val="21"/>
              </w:rPr>
            </w:pPr>
            <w:r>
              <w:rPr>
                <w:b/>
                <w:bCs/>
                <w:kern w:val="0"/>
                <w:sz w:val="21"/>
                <w:szCs w:val="21"/>
              </w:rPr>
              <w:t>专栏14农业农村基础设施建设工程</w:t>
            </w:r>
          </w:p>
        </w:tc>
      </w:tr>
      <w:tr w14:paraId="570F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noWrap w:val="0"/>
            <w:vAlign w:val="top"/>
          </w:tcPr>
          <w:p w14:paraId="787D3F50">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b/>
                <w:bCs/>
                <w:kern w:val="0"/>
                <w:sz w:val="21"/>
                <w:szCs w:val="21"/>
              </w:rPr>
            </w:pPr>
            <w:r>
              <w:rPr>
                <w:b/>
                <w:bCs/>
                <w:kern w:val="0"/>
                <w:sz w:val="21"/>
                <w:szCs w:val="21"/>
              </w:rPr>
              <w:t>数字乡村建设工程。</w:t>
            </w:r>
            <w:r>
              <w:rPr>
                <w:kern w:val="0"/>
                <w:sz w:val="21"/>
                <w:szCs w:val="21"/>
              </w:rPr>
              <w:t>加快推进光纤、4G等高速宽带网络由行政村向自然村延伸覆盖，分类分阶段推进城乡关键节点的5G网络覆盖。到2025年，农村互联网普及率达到70%以上，打造10个数字乡村示范乡镇和20个数字乡村示范村社，农村综合信息服务站行政村覆盖率达到100%，新打造“互联网小镇”5个、“移动互联网村”20个。</w:t>
            </w:r>
          </w:p>
          <w:p w14:paraId="392AAD9B">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kern w:val="0"/>
                <w:sz w:val="21"/>
                <w:szCs w:val="21"/>
              </w:rPr>
            </w:pPr>
            <w:r>
              <w:rPr>
                <w:b/>
                <w:bCs/>
                <w:kern w:val="0"/>
                <w:sz w:val="21"/>
                <w:szCs w:val="21"/>
              </w:rPr>
              <w:t>“四好农村路”建设工程。</w:t>
            </w:r>
            <w:r>
              <w:rPr>
                <w:kern w:val="0"/>
                <w:sz w:val="21"/>
                <w:szCs w:val="21"/>
              </w:rPr>
              <w:t>全面推进村组公路通达通畅工程，新建和改建农村公路1000公里，到2025年，全县村民小组通畅率达到100%。</w:t>
            </w:r>
          </w:p>
          <w:p w14:paraId="3488C03F">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b/>
                <w:bCs/>
                <w:kern w:val="0"/>
                <w:sz w:val="21"/>
                <w:szCs w:val="21"/>
              </w:rPr>
            </w:pPr>
            <w:r>
              <w:rPr>
                <w:b/>
                <w:bCs/>
                <w:kern w:val="0"/>
                <w:sz w:val="21"/>
                <w:szCs w:val="21"/>
              </w:rPr>
              <w:t>农村水利基础设施建设工程。</w:t>
            </w:r>
            <w:r>
              <w:rPr>
                <w:kern w:val="0"/>
                <w:sz w:val="21"/>
                <w:szCs w:val="21"/>
              </w:rPr>
              <w:t>建设一批高效节水灌溉工程，发展高效节水灌溉面积4万亩。实施5万人农村饮水安全巩固提升工程。以防洪护岸、河道疏浚、清淤为重点，兼顾河岸绿化，治理中小河流15公里。</w:t>
            </w:r>
          </w:p>
          <w:p w14:paraId="07F7CBBB">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rFonts w:eastAsia="方正仿宋_GBK"/>
                <w:b/>
                <w:bCs/>
                <w:sz w:val="21"/>
                <w:szCs w:val="21"/>
              </w:rPr>
            </w:pPr>
            <w:r>
              <w:rPr>
                <w:b/>
                <w:bCs/>
                <w:kern w:val="0"/>
                <w:sz w:val="21"/>
                <w:szCs w:val="21"/>
              </w:rPr>
              <w:t>农村现代能源体系建设工程。</w:t>
            </w:r>
            <w:r>
              <w:rPr>
                <w:kern w:val="0"/>
                <w:sz w:val="21"/>
                <w:szCs w:val="21"/>
              </w:rPr>
              <w:t>新建或改造农村电网线路120公里。实施城镇天然气管网向农村延伸工程160公里。</w:t>
            </w:r>
          </w:p>
        </w:tc>
      </w:tr>
    </w:tbl>
    <w:p w14:paraId="043915C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22"/>
        </w:rPr>
      </w:pPr>
      <w:bookmarkStart w:id="99" w:name="_Toc108078386"/>
      <w:r>
        <w:rPr>
          <w:rFonts w:eastAsia="方正楷体_GBK"/>
          <w:sz w:val="32"/>
          <w:szCs w:val="22"/>
        </w:rPr>
        <w:t xml:space="preserve">第六节 </w:t>
      </w:r>
      <w:r>
        <w:rPr>
          <w:rFonts w:hint="eastAsia" w:eastAsia="方正楷体_GBK"/>
          <w:sz w:val="32"/>
          <w:szCs w:val="22"/>
          <w:lang w:val="en-US" w:eastAsia="zh-CN"/>
        </w:rPr>
        <w:t xml:space="preserve"> </w:t>
      </w:r>
      <w:r>
        <w:rPr>
          <w:rFonts w:eastAsia="方正楷体_GBK"/>
          <w:sz w:val="32"/>
          <w:szCs w:val="22"/>
        </w:rPr>
        <w:t>推动农村消费扩容提质</w:t>
      </w:r>
      <w:bookmarkEnd w:id="94"/>
      <w:bookmarkEnd w:id="95"/>
      <w:bookmarkEnd w:id="99"/>
    </w:p>
    <w:p w14:paraId="7AEB7F9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sz w:val="32"/>
          <w:szCs w:val="32"/>
        </w:rPr>
        <w:t>全面促进农村消费。加快完善县乡村三级农村物流体系，改造提升农村寄递物流基础设施，深入突进电子商务进农村和农产品出村进城，推动城乡生产与消费有效对接。促进农村居民耐用消费品更新换代。支持网络购物、移动支付、信息服务等消费新业态、新模式向农村拓展。积极培育发展农村网红经济、直播经济、夜间经济、假日经济，培育乡村消费新增长点。引导农民自主网上购物或提供公益性代购服务，逐步转变农民消费观念和消费方式。加大农村市场日常监管和执法办案力度，聚焦食品药品安全、农资供应等领域，依法打击假冒伪劣、虚假宣传、价格欺诈等违法行为，规范农村市场秩序。到2025年，探索打造5</w:t>
      </w:r>
      <w:r>
        <w:rPr>
          <w:rFonts w:hint="eastAsia" w:ascii="方正仿宋_GBK" w:hAnsi="方正仿宋_GBK" w:eastAsia="方正仿宋_GBK" w:cs="方正仿宋_GBK"/>
          <w:sz w:val="32"/>
          <w:szCs w:val="32"/>
        </w:rPr>
        <w:t>―</w:t>
      </w:r>
      <w:r>
        <w:rPr>
          <w:rFonts w:eastAsia="方正仿宋_GBK"/>
          <w:sz w:val="32"/>
          <w:szCs w:val="32"/>
        </w:rPr>
        <w:t>10个直播带货基地、乡村夜间经济集聚区、周末旅游目的地、农村夜间文旅消费集聚区。</w:t>
      </w:r>
    </w:p>
    <w:p w14:paraId="7A12F18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2"/>
        </w:rPr>
      </w:pPr>
      <w:r>
        <w:rPr>
          <w:rFonts w:eastAsia="方正仿宋_GBK"/>
          <w:sz w:val="32"/>
          <w:szCs w:val="32"/>
        </w:rPr>
        <w:t>优化乡村消费环境。聚焦强制性标准、重要性能指标，对农村地区特色农副产品、药品、农资等产品质量开展监督抽查，开展重点产品质量安全专项整治、儿童和学生用品守护行动。加强农村市场治理，严厉打击假冒伪劣和虚假广告宣传，将行政处罚决定在国家企业信用信息系统等信用平台进行公示，对严重违法违规企业依法进行联合惩戒。加强12315热线电话和平台宣传，畅通农村投诉举报渠道。建立健全农村消费维权机制，支持主流媒体开展宣传报道，发布消费警示提示，普及消费知识，引导农民理性、安全消费。</w:t>
      </w:r>
    </w:p>
    <w:bookmarkEnd w:id="98"/>
    <w:p w14:paraId="1DE49D7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eastAsia="方正黑体_GBK"/>
          <w:sz w:val="32"/>
          <w:szCs w:val="22"/>
        </w:rPr>
      </w:pPr>
      <w:bookmarkStart w:id="100" w:name="_Toc108078387"/>
      <w:r>
        <w:rPr>
          <w:rFonts w:eastAsia="方正黑体_GBK"/>
          <w:sz w:val="32"/>
          <w:szCs w:val="22"/>
        </w:rPr>
        <w:t xml:space="preserve">第九章 </w:t>
      </w:r>
      <w:r>
        <w:rPr>
          <w:rFonts w:hint="eastAsia" w:eastAsia="方正黑体_GBK"/>
          <w:sz w:val="32"/>
          <w:szCs w:val="22"/>
          <w:lang w:val="en-US" w:eastAsia="zh-CN"/>
        </w:rPr>
        <w:t xml:space="preserve"> </w:t>
      </w:r>
      <w:r>
        <w:rPr>
          <w:rFonts w:eastAsia="方正黑体_GBK"/>
          <w:sz w:val="32"/>
          <w:szCs w:val="22"/>
        </w:rPr>
        <w:t>加快推动城乡发展一体化</w:t>
      </w:r>
      <w:bookmarkEnd w:id="100"/>
    </w:p>
    <w:p w14:paraId="6D796C9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22"/>
        </w:rPr>
      </w:pPr>
      <w:r>
        <w:rPr>
          <w:rFonts w:eastAsia="方正仿宋_GBK"/>
          <w:sz w:val="32"/>
          <w:szCs w:val="22"/>
        </w:rPr>
        <w:t>加快健全城乡一体化发展的体制机制和政策体系，优化农村外部发展环境，推动“人地钱技数”等要素双向流动和公共资源合理配置，为农业农村现代化注入新动能。</w:t>
      </w:r>
    </w:p>
    <w:p w14:paraId="13C5BBE3">
      <w:pPr>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center"/>
        <w:textAlignment w:val="auto"/>
        <w:outlineLvl w:val="1"/>
        <w:rPr>
          <w:rFonts w:eastAsia="方正楷体_GBK"/>
          <w:iCs/>
          <w:sz w:val="32"/>
          <w:szCs w:val="36"/>
        </w:rPr>
      </w:pPr>
      <w:bookmarkStart w:id="101" w:name="_Toc108078388"/>
      <w:r>
        <w:rPr>
          <w:rFonts w:eastAsia="方正楷体_GBK"/>
          <w:iCs/>
          <w:sz w:val="32"/>
          <w:szCs w:val="36"/>
        </w:rPr>
        <w:t xml:space="preserve">第一节 </w:t>
      </w:r>
      <w:r>
        <w:rPr>
          <w:rFonts w:hint="eastAsia" w:eastAsia="方正楷体_GBK"/>
          <w:iCs/>
          <w:sz w:val="32"/>
          <w:szCs w:val="36"/>
          <w:lang w:val="en-US" w:eastAsia="zh-CN"/>
        </w:rPr>
        <w:t xml:space="preserve"> </w:t>
      </w:r>
      <w:r>
        <w:rPr>
          <w:rFonts w:eastAsia="方正楷体_GBK"/>
          <w:iCs/>
          <w:sz w:val="32"/>
          <w:szCs w:val="36"/>
        </w:rPr>
        <w:t>推动城乡要素自由流动</w:t>
      </w:r>
      <w:bookmarkEnd w:id="101"/>
    </w:p>
    <w:p w14:paraId="3D7A33D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kern w:val="0"/>
          <w:sz w:val="32"/>
          <w:szCs w:val="30"/>
        </w:rPr>
      </w:pPr>
      <w:r>
        <w:rPr>
          <w:rFonts w:eastAsia="方正仿宋_GBK"/>
          <w:b/>
          <w:bCs/>
          <w:kern w:val="0"/>
          <w:sz w:val="32"/>
          <w:szCs w:val="30"/>
        </w:rPr>
        <w:t>促进城乡人力资源双向流动。</w:t>
      </w:r>
      <w:r>
        <w:rPr>
          <w:rFonts w:eastAsia="方正仿宋_GBK"/>
          <w:kern w:val="0"/>
          <w:sz w:val="32"/>
          <w:szCs w:val="30"/>
        </w:rPr>
        <w:t>完善乡村招才引智政策，建立健全城乡人才合作交流机制，推进城市教科文卫体等人才定期服务乡村。建立科研人员入乡兼职兼薪和离岗创业制度。健全农业转移人口市民化机制，完善财政转移支付和城乡新增建设用地规模与农业转移人口市民化挂钩政策，加大就业支持力度，加快推动农业转移人口全面融入城市。</w:t>
      </w:r>
    </w:p>
    <w:p w14:paraId="5F5296C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kern w:val="0"/>
          <w:sz w:val="32"/>
          <w:szCs w:val="30"/>
        </w:rPr>
      </w:pPr>
      <w:r>
        <w:rPr>
          <w:rFonts w:eastAsia="方正仿宋_GBK"/>
          <w:b/>
          <w:bCs/>
          <w:kern w:val="0"/>
          <w:sz w:val="32"/>
          <w:szCs w:val="30"/>
        </w:rPr>
        <w:t>优化城乡土地资源配置。</w:t>
      </w:r>
      <w:r>
        <w:rPr>
          <w:rFonts w:eastAsia="方正仿宋_GBK"/>
          <w:kern w:val="0"/>
          <w:sz w:val="32"/>
          <w:szCs w:val="30"/>
        </w:rPr>
        <w:t>规范开展城乡建设用地增减挂钩，完善审批实施程序、节余指标调剂及收益分配机制。完善农村土地征收制度，规范征地程序。优化盘活农村存量建设用地政策，实行负面清单管理，保障乡村产业发展和乡村建设用地。以乡镇或村为单位开展全域土地综合整治，保障农村产业融合发展用地，确保不少于10%新增建设用地指标保障乡村振兴重点产业和项目用地。创新乡村振兴用地方式，鼓励探索分散布局用地管理模式。健全城乡统一的建设用地市场，搭建城乡土地交易平台。探索完善“地票”制度。</w:t>
      </w:r>
    </w:p>
    <w:p w14:paraId="5DD5CA6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kern w:val="0"/>
          <w:sz w:val="32"/>
          <w:szCs w:val="30"/>
        </w:rPr>
      </w:pPr>
      <w:r>
        <w:rPr>
          <w:rFonts w:eastAsia="方正仿宋_GBK"/>
          <w:b/>
          <w:bCs/>
          <w:kern w:val="0"/>
          <w:sz w:val="32"/>
          <w:szCs w:val="30"/>
        </w:rPr>
        <w:t>持续加大财政资金投入。</w:t>
      </w:r>
      <w:r>
        <w:rPr>
          <w:rFonts w:eastAsia="方正仿宋_GBK"/>
          <w:kern w:val="0"/>
          <w:sz w:val="32"/>
          <w:szCs w:val="30"/>
        </w:rPr>
        <w:t>坚持财政支出优先保障农业农村，做好“整合、撬动、股份化”文章，确保财政投入只增不减。创新农村金融服务和产品，加大开发性、政策性金融中长期信贷支持，把更多金融资源配置到农业农村发展的重点领域和薄弱环节。引导社会资本投入农业农村发展，优化基层营商环境，引导工商资本为城乡融合发展提供资金、产业、技术支持。完善融资贷款和配套设施建设补助等政策，引导社会资本投资发展智慧农业、循环农业、休闲旅游等适合产业化经营的农业领域。</w:t>
      </w:r>
    </w:p>
    <w:p w14:paraId="400160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36"/>
        </w:rPr>
      </w:pPr>
      <w:r>
        <w:rPr>
          <w:rFonts w:eastAsia="方正楷体_GBK"/>
          <w:sz w:val="32"/>
          <w:szCs w:val="36"/>
        </w:rPr>
        <w:t xml:space="preserve">第二节 </w:t>
      </w:r>
      <w:r>
        <w:rPr>
          <w:rFonts w:hint="eastAsia" w:eastAsia="方正楷体_GBK"/>
          <w:sz w:val="32"/>
          <w:szCs w:val="36"/>
          <w:lang w:val="en-US" w:eastAsia="zh-CN"/>
        </w:rPr>
        <w:t xml:space="preserve"> </w:t>
      </w:r>
      <w:r>
        <w:rPr>
          <w:rFonts w:eastAsia="方正楷体_GBK"/>
          <w:sz w:val="32"/>
          <w:szCs w:val="36"/>
        </w:rPr>
        <w:t>加快农业转移人口市民化</w:t>
      </w:r>
    </w:p>
    <w:p w14:paraId="6881CEB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22"/>
        </w:rPr>
      </w:pPr>
      <w:r>
        <w:rPr>
          <w:rFonts w:eastAsia="方正仿宋_GBK"/>
          <w:sz w:val="32"/>
          <w:szCs w:val="22"/>
        </w:rPr>
        <w:t>完善城乡统一的户口登记制度，全面取消城镇落户限制，推进人口集聚计划，推动有能力在城镇稳定就业居住的新生代农民工、农村大中专学生、农业转移人口及随迁人口和其他非户籍等重点人群应落尽落，加快建设50平方公里50万人的中等城市。建立以居住证为载体的基本公共服务提供机制，推动农业转移人口平等享受教育、就业、医疗、社保、住房保障等城镇公共服务。完善进城农民权益保护机制，切实维护进城落户农民农村土地承包经营权、宅基地使用权、集体经济收益分配权，支持引导其依法自愿有偿转让上述权益。完善激励机制，落实财政转移支付、城镇新增建设用地、中央预算内投资安排与吸纳农业转移人口落户数量挂钩政策，健全由政府、企业、个人共同参与的市民化成本分担机制。全面实施“互联网+户政服务”，推进户口便利迁移。</w:t>
      </w:r>
    </w:p>
    <w:p w14:paraId="59B783F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eastAsia="方正楷体_GBK"/>
          <w:sz w:val="32"/>
          <w:szCs w:val="36"/>
        </w:rPr>
      </w:pPr>
      <w:bookmarkStart w:id="102" w:name="_Toc72825951"/>
      <w:bookmarkStart w:id="103" w:name="_Toc59484191"/>
      <w:bookmarkStart w:id="104" w:name="_Toc60069011"/>
      <w:bookmarkStart w:id="105" w:name="_Toc108078390"/>
      <w:bookmarkStart w:id="106" w:name="_Toc60069017"/>
      <w:bookmarkStart w:id="107" w:name="_Toc55826941"/>
      <w:bookmarkStart w:id="108" w:name="_Toc52146302"/>
      <w:bookmarkStart w:id="109" w:name="_Toc72825948"/>
      <w:r>
        <w:rPr>
          <w:rFonts w:eastAsia="方正楷体_GBK"/>
          <w:sz w:val="32"/>
          <w:szCs w:val="36"/>
        </w:rPr>
        <w:t xml:space="preserve">第三节 </w:t>
      </w:r>
      <w:r>
        <w:rPr>
          <w:rFonts w:hint="eastAsia" w:eastAsia="方正楷体_GBK"/>
          <w:sz w:val="32"/>
          <w:szCs w:val="36"/>
          <w:lang w:val="en-US" w:eastAsia="zh-CN"/>
        </w:rPr>
        <w:t xml:space="preserve"> </w:t>
      </w:r>
      <w:r>
        <w:rPr>
          <w:rFonts w:eastAsia="方正楷体_GBK"/>
          <w:sz w:val="32"/>
          <w:szCs w:val="36"/>
        </w:rPr>
        <w:t>构建完善城乡一体的流通体系</w:t>
      </w:r>
      <w:bookmarkEnd w:id="102"/>
      <w:bookmarkEnd w:id="103"/>
      <w:bookmarkEnd w:id="104"/>
      <w:bookmarkEnd w:id="105"/>
    </w:p>
    <w:p w14:paraId="6241BFF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sz w:val="32"/>
          <w:szCs w:val="36"/>
        </w:rPr>
      </w:pPr>
      <w:r>
        <w:rPr>
          <w:rFonts w:eastAsia="方正仿宋_GBK"/>
          <w:sz w:val="32"/>
          <w:szCs w:val="36"/>
        </w:rPr>
        <w:t>完善农产品贸易市场布局，围绕垫江晚柚、垫江藠头、垫江赵牛肉、垫江酱板鸭、川久蒸鸭、鹅莱福等特色产品，培育市场主体，畅通渠道，建成仓储物流体系，统筹农产品产地、集散地、销地批发市场建设，推动产业接二连三，不断提高农业综合效益。加快补齐农产品仓储冷链物流短板，加快布局一批生鲜农产品低温配送和处理中心，</w:t>
      </w:r>
      <w:r>
        <w:rPr>
          <w:rFonts w:eastAsia="方正仿宋_GBK"/>
          <w:sz w:val="32"/>
          <w:szCs w:val="32"/>
        </w:rPr>
        <w:t>加快构建覆盖主要农产品生产基地的冷链物流体系，</w:t>
      </w:r>
      <w:r>
        <w:rPr>
          <w:rFonts w:eastAsia="方正仿宋_GBK"/>
          <w:sz w:val="32"/>
          <w:szCs w:val="36"/>
        </w:rPr>
        <w:t>延长农产品保鲜时间</w:t>
      </w:r>
      <w:r>
        <w:rPr>
          <w:rFonts w:eastAsia="方正仿宋_GBK"/>
          <w:sz w:val="32"/>
          <w:szCs w:val="32"/>
        </w:rPr>
        <w:t>。深入推进</w:t>
      </w:r>
      <w:r>
        <w:rPr>
          <w:rFonts w:eastAsia="方正仿宋_GBK"/>
          <w:sz w:val="32"/>
          <w:szCs w:val="36"/>
        </w:rPr>
        <w:t>农商互联，加快完善村级电商物流配送网络，大力推广直销配送、农超对接、农企对接、农校对接、专卖店销售等营销模式和订单农业模式。到2025年，全面实现乡乡有网点、村村通快递，农业规模化生产组织产销对接率达到75%以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6"/>
      </w:tblGrid>
      <w:tr w14:paraId="6DA1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6" w:type="dxa"/>
            <w:noWrap w:val="0"/>
            <w:vAlign w:val="top"/>
          </w:tcPr>
          <w:p w14:paraId="672C57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sz w:val="21"/>
                <w:szCs w:val="21"/>
              </w:rPr>
            </w:pPr>
            <w:r>
              <w:rPr>
                <w:b/>
                <w:bCs/>
                <w:kern w:val="0"/>
                <w:sz w:val="21"/>
                <w:szCs w:val="21"/>
              </w:rPr>
              <w:t>专栏15农产品流通体系建设重点项目</w:t>
            </w:r>
          </w:p>
        </w:tc>
      </w:tr>
      <w:tr w14:paraId="6127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6" w:type="dxa"/>
            <w:noWrap w:val="0"/>
            <w:vAlign w:val="top"/>
          </w:tcPr>
          <w:p w14:paraId="278FC923">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kern w:val="0"/>
                <w:sz w:val="21"/>
                <w:szCs w:val="21"/>
              </w:rPr>
            </w:pPr>
            <w:r>
              <w:rPr>
                <w:b/>
                <w:bCs/>
                <w:kern w:val="0"/>
                <w:sz w:val="21"/>
                <w:szCs w:val="21"/>
              </w:rPr>
              <w:t>农产品贸易专业市场建设。</w:t>
            </w:r>
            <w:r>
              <w:rPr>
                <w:kern w:val="0"/>
                <w:sz w:val="21"/>
                <w:szCs w:val="21"/>
              </w:rPr>
              <w:t>农产品批发市场（含农产品市场交易中心、果蔬产地仓储保鲜设施建设、电子商务中心、冷链物流中心、信息中心和价格指导中心），区域性中药材交易市场等。</w:t>
            </w:r>
          </w:p>
          <w:p w14:paraId="6D4848D6">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kern w:val="0"/>
                <w:sz w:val="21"/>
                <w:szCs w:val="21"/>
              </w:rPr>
            </w:pPr>
            <w:r>
              <w:rPr>
                <w:b/>
                <w:bCs/>
                <w:kern w:val="0"/>
                <w:sz w:val="21"/>
                <w:szCs w:val="21"/>
              </w:rPr>
              <w:t>农产品仓储、冷链物流设施建设。</w:t>
            </w:r>
            <w:r>
              <w:rPr>
                <w:kern w:val="0"/>
                <w:sz w:val="21"/>
                <w:szCs w:val="21"/>
              </w:rPr>
              <w:t>新建农产品冷链物流仓储中心1个，新建1栋多温冷库，1栋分拣包装配送中心，综合楼及配套设施。完善26个乡镇街道、100个村级仓储冷链物流基础设施设备、保鲜库等。</w:t>
            </w:r>
          </w:p>
          <w:p w14:paraId="4B5EBE26">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left"/>
              <w:textAlignment w:val="auto"/>
              <w:rPr>
                <w:b/>
                <w:bCs/>
                <w:sz w:val="21"/>
                <w:szCs w:val="21"/>
              </w:rPr>
            </w:pPr>
            <w:r>
              <w:rPr>
                <w:b/>
                <w:bCs/>
                <w:kern w:val="0"/>
                <w:sz w:val="21"/>
                <w:szCs w:val="21"/>
              </w:rPr>
              <w:t>农产品电子商务综合服务平台。</w:t>
            </w:r>
            <w:r>
              <w:rPr>
                <w:kern w:val="0"/>
                <w:sz w:val="21"/>
                <w:szCs w:val="21"/>
              </w:rPr>
              <w:t>建成1个中心（垫江县农产品电商运营中心</w:t>
            </w:r>
            <w:r>
              <w:rPr>
                <w:rFonts w:hint="eastAsia"/>
                <w:kern w:val="0"/>
                <w:sz w:val="21"/>
                <w:szCs w:val="21"/>
                <w:lang w:eastAsia="zh-CN"/>
              </w:rPr>
              <w:t>、“</w:t>
            </w:r>
            <w:r>
              <w:rPr>
                <w:kern w:val="0"/>
                <w:sz w:val="21"/>
                <w:szCs w:val="21"/>
              </w:rPr>
              <w:t>又见鹤游</w:t>
            </w:r>
            <w:r>
              <w:rPr>
                <w:rFonts w:hint="eastAsia"/>
                <w:kern w:val="0"/>
                <w:sz w:val="21"/>
                <w:szCs w:val="21"/>
                <w:lang w:eastAsia="zh-CN"/>
              </w:rPr>
              <w:t>”</w:t>
            </w:r>
            <w:r>
              <w:rPr>
                <w:kern w:val="0"/>
                <w:sz w:val="21"/>
                <w:szCs w:val="21"/>
              </w:rPr>
              <w:t>农文旅特产品电商服务中心）、</w:t>
            </w:r>
            <w:r>
              <w:rPr>
                <w:rFonts w:hint="eastAsia"/>
                <w:kern w:val="0"/>
                <w:sz w:val="21"/>
                <w:szCs w:val="21"/>
                <w:lang w:val="en-US" w:eastAsia="zh-CN"/>
              </w:rPr>
              <w:t>2</w:t>
            </w:r>
            <w:r>
              <w:rPr>
                <w:kern w:val="0"/>
                <w:sz w:val="21"/>
                <w:szCs w:val="21"/>
              </w:rPr>
              <w:t>个业务系统（农产品电商指导孵化系统、农业智慧物流管理系统）。</w:t>
            </w:r>
          </w:p>
        </w:tc>
      </w:tr>
    </w:tbl>
    <w:p w14:paraId="0B6834ED">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36"/>
        </w:rPr>
      </w:pPr>
      <w:bookmarkStart w:id="110" w:name="_Toc108078391"/>
      <w:r>
        <w:rPr>
          <w:rFonts w:eastAsia="方正楷体_GBK"/>
          <w:sz w:val="32"/>
          <w:szCs w:val="36"/>
        </w:rPr>
        <w:t xml:space="preserve">第四节 </w:t>
      </w:r>
      <w:r>
        <w:rPr>
          <w:rFonts w:hint="eastAsia" w:eastAsia="方正楷体_GBK"/>
          <w:sz w:val="32"/>
          <w:szCs w:val="36"/>
          <w:lang w:val="en-US" w:eastAsia="zh-CN"/>
        </w:rPr>
        <w:t xml:space="preserve"> </w:t>
      </w:r>
      <w:r>
        <w:rPr>
          <w:rFonts w:eastAsia="方正楷体_GBK"/>
          <w:sz w:val="32"/>
          <w:szCs w:val="36"/>
        </w:rPr>
        <w:t>深化农村土地制度改革</w:t>
      </w:r>
      <w:bookmarkEnd w:id="106"/>
      <w:bookmarkEnd w:id="107"/>
      <w:bookmarkEnd w:id="108"/>
      <w:bookmarkEnd w:id="109"/>
      <w:bookmarkEnd w:id="110"/>
    </w:p>
    <w:p w14:paraId="2DE6995A">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b/>
          <w:bCs/>
          <w:sz w:val="32"/>
          <w:szCs w:val="36"/>
        </w:rPr>
      </w:pPr>
      <w:r>
        <w:rPr>
          <w:rFonts w:eastAsia="方正仿宋_GBK"/>
          <w:b/>
          <w:bCs/>
          <w:sz w:val="32"/>
          <w:szCs w:val="36"/>
        </w:rPr>
        <w:t>全面落实农村承包地制度。</w:t>
      </w:r>
      <w:r>
        <w:rPr>
          <w:rFonts w:eastAsia="方正仿宋_GBK"/>
          <w:sz w:val="32"/>
          <w:szCs w:val="36"/>
        </w:rPr>
        <w:t>加强农村承包地确权登记颁证成果运用，落实好第二轮土地承包到期后再延长30年政策。</w:t>
      </w:r>
      <w:r>
        <w:rPr>
          <w:rFonts w:eastAsia="方正仿宋_GBK"/>
          <w:sz w:val="32"/>
          <w:szCs w:val="32"/>
        </w:rPr>
        <w:t>完善农村承包地“三权分置”制度，健全土地经营权放活机制。规范土地流转，探索承包地经营权流转履约保证保险试点，允许土地经营权担保融资、入股从事农业产业化经营。建立土地（林地）承包权依法自愿有偿退出制度。</w:t>
      </w:r>
    </w:p>
    <w:p w14:paraId="28EE868E">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b/>
          <w:bCs/>
          <w:sz w:val="32"/>
        </w:rPr>
      </w:pPr>
      <w:r>
        <w:rPr>
          <w:rFonts w:eastAsia="方正仿宋_GBK"/>
          <w:b/>
          <w:bCs/>
          <w:sz w:val="32"/>
        </w:rPr>
        <w:t>稳慎推进农村宅基地制度改革。</w:t>
      </w:r>
      <w:r>
        <w:rPr>
          <w:rFonts w:eastAsia="方正仿宋_GBK"/>
          <w:sz w:val="32"/>
        </w:rPr>
        <w:t>扩大宅基地所有权、资格权、使用权“三权分置”改革试点范围，逐步形成宅基地退出、使用、审批、管理等制度体系。鼓励农村集体经济组织及其成员盘活利用闲置宅基地、闲置校舍等发展乡村旅游、新型服务业和返乡创新创业。允许乡镇依法合规优化村庄用地布局，有效利用乡村零星分散存量建设用地，预留部分规划建设用地指标用于单独选址的农业设施和休闲旅游设施等建设。严禁利用农村宅基地建设别墅大院和私人会所。</w:t>
      </w:r>
    </w:p>
    <w:p w14:paraId="274966DD">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rPr>
      </w:pPr>
      <w:r>
        <w:rPr>
          <w:rFonts w:eastAsia="方正仿宋_GBK"/>
          <w:b/>
          <w:bCs/>
          <w:sz w:val="32"/>
        </w:rPr>
        <w:t>探索建立集体经营性建设用地入市制度。</w:t>
      </w:r>
      <w:r>
        <w:rPr>
          <w:rFonts w:eastAsia="方正仿宋_GBK"/>
          <w:sz w:val="32"/>
        </w:rPr>
        <w:t>完善集体建设用地入市管理办法、交易规则、收益分配机制及服务监管，允许就地入市、异地调整入市和土地集中整治入市，探索农村集体经营性建设用地使用权通过出让、入股、租赁等形式入市。允许村集体在农民自愿前提下依法把有偿收回的闲置宅基地、废弃的集体公益性建设用地转变为集体经营性建设用地入市。完善农村土地征收制度，维护被征地农民合法权益。实行村域内建设用地增减挂钩政策，完善“地票”“林票”使用及交易机制，农村建设用地和宅基地复垦腾出的指标优先用于农村。优化农村土地增值收益分配机制，到2025年全县土地出让收益用于农业农村比例达50%以上。</w:t>
      </w:r>
    </w:p>
    <w:p w14:paraId="5075A502">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rPr>
      </w:pPr>
      <w:r>
        <w:rPr>
          <w:rFonts w:eastAsia="方正仿宋_GBK"/>
          <w:b/>
          <w:sz w:val="32"/>
        </w:rPr>
        <w:t>建立农村资产流转交易市场。</w:t>
      </w:r>
      <w:r>
        <w:rPr>
          <w:rFonts w:eastAsia="方正仿宋_GBK"/>
          <w:sz w:val="32"/>
        </w:rPr>
        <w:t>按照“市级制定规则、县级组织交易、乡村收集信息”的原则，优化交易市场体系建设。扩大交易范围，把农村承包地经营权、四荒地经营权、集体经济资源资产、农业生产设施等纳入信息平台统一公开交易。加强政策联动，构建</w:t>
      </w:r>
      <w:r>
        <w:rPr>
          <w:rFonts w:hint="eastAsia" w:eastAsia="方正仿宋_GBK"/>
          <w:sz w:val="32"/>
          <w:lang w:eastAsia="zh-CN"/>
        </w:rPr>
        <w:t>“</w:t>
      </w:r>
      <w:r>
        <w:rPr>
          <w:rFonts w:eastAsia="方正仿宋_GBK"/>
          <w:sz w:val="32"/>
        </w:rPr>
        <w:t>政策引导+财政支持、市场化流转</w:t>
      </w:r>
      <w:r>
        <w:rPr>
          <w:rFonts w:hint="eastAsia" w:eastAsia="方正仿宋_GBK"/>
          <w:sz w:val="32"/>
          <w:lang w:eastAsia="zh-CN"/>
        </w:rPr>
        <w:t>”</w:t>
      </w:r>
      <w:r>
        <w:rPr>
          <w:rFonts w:eastAsia="方正仿宋_GBK"/>
          <w:sz w:val="32"/>
        </w:rPr>
        <w:t>机制。强化交易监管，做好风险防控、信访处置、交易主体权益保护。</w:t>
      </w:r>
    </w:p>
    <w:p w14:paraId="344D3ADF">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36"/>
        </w:rPr>
      </w:pPr>
      <w:bookmarkStart w:id="111" w:name="_Toc108078392"/>
      <w:bookmarkStart w:id="112" w:name="_Toc72825949"/>
      <w:bookmarkStart w:id="113" w:name="_Toc60069018"/>
      <w:r>
        <w:rPr>
          <w:rFonts w:eastAsia="方正楷体_GBK"/>
          <w:sz w:val="32"/>
          <w:szCs w:val="36"/>
        </w:rPr>
        <w:t>第五节</w:t>
      </w:r>
      <w:r>
        <w:rPr>
          <w:rFonts w:hint="eastAsia" w:eastAsia="方正楷体_GBK"/>
          <w:sz w:val="32"/>
          <w:szCs w:val="36"/>
          <w:lang w:val="en-US" w:eastAsia="zh-CN"/>
        </w:rPr>
        <w:t xml:space="preserve"> </w:t>
      </w:r>
      <w:r>
        <w:rPr>
          <w:rFonts w:eastAsia="方正楷体_GBK"/>
          <w:sz w:val="32"/>
          <w:szCs w:val="36"/>
        </w:rPr>
        <w:t xml:space="preserve"> 扩面深化农村“三变”改革</w:t>
      </w:r>
      <w:bookmarkEnd w:id="111"/>
      <w:bookmarkEnd w:id="112"/>
      <w:bookmarkEnd w:id="113"/>
    </w:p>
    <w:p w14:paraId="25B5F848">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rPr>
      </w:pPr>
      <w:r>
        <w:rPr>
          <w:rFonts w:eastAsia="方正仿宋_GBK"/>
          <w:sz w:val="32"/>
        </w:rPr>
        <w:t>深化清产核资，完善制度设计，建立更加完善的资产评估定价机制、成熟的评估制度和规范的评估程序，高质量完成确权确股，积极探索赋予农民集体资产股份占有、收益、有偿退出及抵押、担保、继承等权能。培育壮大农村经营主体，引导有实力有情怀有担当的民营企业、乡村带头人等新型经营主体领头开展农村“三变”改革。积极推进合股联营，探索“土地股”“资产股”“现金股”“基建股”“管理股”等多种股份合作形式，因地制宜设置“人口股”“农龄股”“劳龄股”，明确入股范围，规范股权管理，构建股份联营机制，探索“集体经济组织+农民专业合作社+国资公司+工商资本”“集体经济组织+集体经济组织”发展模式、“集体经济组织+农户+企业+科研机构”发展模式。规范收益分配，按照“盈利共享、风险共担”的原则，探索建立固定分红、保底分红、效益分红、实物分红等灵活多样的股权收益分配机制，建立健全股金分红明细台账，加强股份分红管理。力争到2025年，农村“三变”改革覆盖50%行政村，农村“三变”改革试点村农业增加值年增长10%以上，农村集体经济年增长10%以上，集体经济收入10万元以上的村超过60%。</w:t>
      </w:r>
    </w:p>
    <w:p w14:paraId="7B2E7C3B">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36"/>
        </w:rPr>
      </w:pPr>
      <w:bookmarkStart w:id="114" w:name="_Toc72825954"/>
      <w:bookmarkStart w:id="115" w:name="_Toc108078393"/>
      <w:bookmarkStart w:id="116" w:name="_Toc60069014"/>
      <w:bookmarkStart w:id="117" w:name="_Toc72825929"/>
      <w:bookmarkStart w:id="118" w:name="_Toc60069005"/>
      <w:bookmarkStart w:id="119" w:name="_Toc55826931"/>
      <w:bookmarkStart w:id="120" w:name="_Toc59523571"/>
      <w:bookmarkStart w:id="121" w:name="_Toc52146276"/>
      <w:r>
        <w:rPr>
          <w:rFonts w:eastAsia="方正楷体_GBK"/>
          <w:sz w:val="32"/>
          <w:szCs w:val="36"/>
        </w:rPr>
        <w:t xml:space="preserve">第六节 </w:t>
      </w:r>
      <w:r>
        <w:rPr>
          <w:rFonts w:hint="eastAsia" w:eastAsia="方正楷体_GBK"/>
          <w:sz w:val="32"/>
          <w:szCs w:val="36"/>
          <w:lang w:val="en-US" w:eastAsia="zh-CN"/>
        </w:rPr>
        <w:t xml:space="preserve"> </w:t>
      </w:r>
      <w:r>
        <w:rPr>
          <w:rFonts w:eastAsia="方正楷体_GBK"/>
          <w:sz w:val="32"/>
          <w:szCs w:val="36"/>
        </w:rPr>
        <w:t>加强农业对外开放合作</w:t>
      </w:r>
      <w:bookmarkEnd w:id="114"/>
      <w:bookmarkEnd w:id="115"/>
      <w:bookmarkEnd w:id="116"/>
    </w:p>
    <w:p w14:paraId="79FF5793">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szCs w:val="36"/>
        </w:rPr>
      </w:pPr>
      <w:r>
        <w:rPr>
          <w:rFonts w:eastAsia="方正仿宋_GBK"/>
          <w:sz w:val="32"/>
          <w:szCs w:val="44"/>
        </w:rPr>
        <w:t>加强垫江与两江新区、重庆高新区、成都天府新区的对接，积极参与长江经济带、“一带一路”沿线国家和地区的经贸往来及跨境协作，把垫江晚柚、水稻制种等特色生态农产品及其附加值开发产品推出国门，推向世界。抢抓成渝共建西部“一带一路”农产品集散交易中心机遇，积极对接中国西部（重庆）国际农产品交易会、中西部畜博会等重要展会，打造川渝东部开放高地。以打造明月山乡村振兴示范带核心区为契机，带动川东北渝东北一体化化发展的活跃增长极和强力动力源，加强与四川等周边区县农业产业合作，建立农业产业合作跨区域协调机制，推进建设垫江现代综合物流园区、川渝东部会展中心、跨境电商物流分拨中心、外贸出口生产加工基地等新兴开放平台。大力支持农业企业走出去，鼓励与驻渝领馆国家、驻蓉领馆国家等开展农业优势产能和科技合作。培育一批农产品跨境电商龙头企业，鼓励跨境电商企业走出去发展营销网络，拓宽销售市场。</w:t>
      </w:r>
      <w:r>
        <w:rPr>
          <w:rFonts w:eastAsia="方正仿宋_GBK"/>
          <w:sz w:val="32"/>
          <w:szCs w:val="36"/>
        </w:rPr>
        <w:t>到2025年，农产品出口额突破1000万美元。</w:t>
      </w:r>
    </w:p>
    <w:p w14:paraId="57D8103B">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eastAsia="方正黑体_GBK"/>
          <w:sz w:val="32"/>
          <w:szCs w:val="36"/>
        </w:rPr>
      </w:pPr>
      <w:bookmarkStart w:id="122" w:name="_Toc108078394"/>
      <w:r>
        <w:rPr>
          <w:rFonts w:eastAsia="方正黑体_GBK"/>
          <w:sz w:val="32"/>
          <w:szCs w:val="36"/>
        </w:rPr>
        <w:t xml:space="preserve">第十章 </w:t>
      </w:r>
      <w:r>
        <w:rPr>
          <w:rFonts w:hint="eastAsia" w:eastAsia="方正黑体_GBK"/>
          <w:sz w:val="32"/>
          <w:szCs w:val="36"/>
          <w:lang w:val="en-US" w:eastAsia="zh-CN"/>
        </w:rPr>
        <w:t xml:space="preserve"> </w:t>
      </w:r>
      <w:r>
        <w:rPr>
          <w:rFonts w:eastAsia="方正黑体_GBK"/>
          <w:sz w:val="32"/>
          <w:szCs w:val="36"/>
        </w:rPr>
        <w:t>持续提高农民收入水平</w:t>
      </w:r>
      <w:bookmarkEnd w:id="117"/>
      <w:bookmarkEnd w:id="122"/>
    </w:p>
    <w:p w14:paraId="5D553434">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rPr>
      </w:pPr>
      <w:bookmarkStart w:id="123" w:name="_Toc55826932"/>
      <w:bookmarkStart w:id="124" w:name="_Toc52146277"/>
      <w:r>
        <w:rPr>
          <w:rFonts w:eastAsia="方正仿宋_GBK"/>
          <w:sz w:val="32"/>
        </w:rPr>
        <w:t>多渠道提升农民收入水平，拓宽农民经营性收入、工资性收入、财产性收入和转型性收入，增强农民持续增收能力，持续缩小城乡居民生活水平差距，实现农民农村共同富裕。</w:t>
      </w:r>
    </w:p>
    <w:p w14:paraId="45A99825">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36"/>
        </w:rPr>
      </w:pPr>
      <w:bookmarkStart w:id="125" w:name="_Toc52146278"/>
      <w:bookmarkStart w:id="126" w:name="_Toc72825931"/>
      <w:bookmarkStart w:id="127" w:name="_Toc108078395"/>
      <w:bookmarkStart w:id="128" w:name="_Toc55826933"/>
      <w:bookmarkStart w:id="129" w:name="_Toc60069007"/>
      <w:bookmarkStart w:id="130" w:name="_Toc60068988"/>
      <w:bookmarkStart w:id="131" w:name="_Toc55826916"/>
      <w:bookmarkStart w:id="132" w:name="_Toc72825906"/>
      <w:bookmarkStart w:id="133" w:name="_Toc52146240"/>
      <w:bookmarkStart w:id="134" w:name="_Toc60069006"/>
      <w:bookmarkStart w:id="135" w:name="_Toc72825930"/>
      <w:r>
        <w:rPr>
          <w:rFonts w:eastAsia="方正楷体_GBK"/>
          <w:sz w:val="32"/>
          <w:szCs w:val="36"/>
        </w:rPr>
        <w:t xml:space="preserve">第一节 </w:t>
      </w:r>
      <w:r>
        <w:rPr>
          <w:rFonts w:hint="eastAsia" w:eastAsia="方正楷体_GBK"/>
          <w:sz w:val="32"/>
          <w:szCs w:val="36"/>
          <w:lang w:val="en-US" w:eastAsia="zh-CN"/>
        </w:rPr>
        <w:t xml:space="preserve"> </w:t>
      </w:r>
      <w:r>
        <w:rPr>
          <w:rFonts w:eastAsia="方正楷体_GBK"/>
          <w:sz w:val="32"/>
          <w:szCs w:val="36"/>
        </w:rPr>
        <w:t>拓宽农民经营性</w:t>
      </w:r>
      <w:bookmarkEnd w:id="125"/>
      <w:r>
        <w:rPr>
          <w:rFonts w:eastAsia="方正楷体_GBK"/>
          <w:sz w:val="32"/>
          <w:szCs w:val="36"/>
        </w:rPr>
        <w:t>收入渠道</w:t>
      </w:r>
      <w:bookmarkEnd w:id="126"/>
      <w:bookmarkEnd w:id="127"/>
      <w:bookmarkEnd w:id="128"/>
      <w:bookmarkEnd w:id="129"/>
    </w:p>
    <w:p w14:paraId="195D8BC5">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rPr>
      </w:pPr>
      <w:r>
        <w:rPr>
          <w:rFonts w:eastAsia="方正仿宋_GBK"/>
          <w:sz w:val="32"/>
        </w:rPr>
        <w:t>建立农产品优质优价正向激励机制，支持新型经营主体发展绿色、有机和地理标志农产品，提高产品档次和附加值，支持其在城市社区设立农产品直销点。引导龙头企业与农民共建农业产业化联合体，让农民分享加工、销售环节收益。完善农业企业与农户利益联结机制，引导农户自愿以土地经营权等入股企业，通过利润返还、保底分红、股份合作等多种形式拓宽增收渠道。开展农超对接、农社对接，推进农业区域性专业化综合服务平台建设，帮助小农户节本增收。积极引导农村土地经营权流转，发展多种形式适度规模经营，增加农民土地租金收入。积极盘活农村闲置宅基地和农房资源，增加宅基地及房屋资产性收益。</w:t>
      </w:r>
    </w:p>
    <w:bookmarkEnd w:id="130"/>
    <w:bookmarkEnd w:id="131"/>
    <w:bookmarkEnd w:id="132"/>
    <w:bookmarkEnd w:id="133"/>
    <w:p w14:paraId="447A0C5D">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36"/>
        </w:rPr>
      </w:pPr>
      <w:bookmarkStart w:id="136" w:name="_Toc108078396"/>
      <w:r>
        <w:rPr>
          <w:rFonts w:eastAsia="方正楷体_GBK"/>
          <w:sz w:val="32"/>
          <w:szCs w:val="36"/>
        </w:rPr>
        <w:t>第二节</w:t>
      </w:r>
      <w:bookmarkEnd w:id="123"/>
      <w:bookmarkEnd w:id="124"/>
      <w:bookmarkEnd w:id="134"/>
      <w:bookmarkEnd w:id="135"/>
      <w:r>
        <w:rPr>
          <w:rFonts w:hint="eastAsia" w:eastAsia="方正楷体_GBK"/>
          <w:sz w:val="32"/>
          <w:szCs w:val="36"/>
          <w:lang w:val="en-US" w:eastAsia="zh-CN"/>
        </w:rPr>
        <w:t xml:space="preserve"> </w:t>
      </w:r>
      <w:r>
        <w:rPr>
          <w:rFonts w:eastAsia="方正楷体_GBK"/>
          <w:sz w:val="32"/>
          <w:szCs w:val="36"/>
        </w:rPr>
        <w:t xml:space="preserve"> 促进农民工资性收入增长</w:t>
      </w:r>
      <w:bookmarkEnd w:id="136"/>
    </w:p>
    <w:p w14:paraId="7175999A">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楷体_GBK"/>
          <w:sz w:val="32"/>
          <w:szCs w:val="32"/>
        </w:rPr>
      </w:pPr>
      <w:r>
        <w:rPr>
          <w:rFonts w:eastAsia="方正仿宋_GBK"/>
          <w:sz w:val="32"/>
        </w:rPr>
        <w:t>构建平等竞争、规范有序、城乡统一的人力资源市场，统筹推进农村劳动力转移就业和就地创业就业。健全农民工劳动权益保护机制，实现城乡居民同工同酬同待遇。健全城乡均等的公共就业创业服务制度，引导社会资本扩大就业服务供给，增加就业岗位和创业机会。实施新生代农民工职业技能培训、现代职业农民培训工程，合理布局建设一批公共实训基地，提高新生代农民工职业技能培训的针对性和有效性。健全农民工输出输入地劳务对接机制。</w:t>
      </w:r>
    </w:p>
    <w:p w14:paraId="486F1CA1">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36"/>
        </w:rPr>
      </w:pPr>
      <w:bookmarkStart w:id="137" w:name="_Toc108078397"/>
      <w:bookmarkStart w:id="138" w:name="_Toc55826923"/>
      <w:bookmarkStart w:id="139" w:name="_Toc72825932"/>
      <w:bookmarkStart w:id="140" w:name="_Toc60069008"/>
      <w:r>
        <w:rPr>
          <w:rFonts w:eastAsia="方正楷体_GBK"/>
          <w:sz w:val="32"/>
          <w:szCs w:val="36"/>
        </w:rPr>
        <w:t xml:space="preserve">第三节 </w:t>
      </w:r>
      <w:r>
        <w:rPr>
          <w:rFonts w:hint="eastAsia" w:eastAsia="方正楷体_GBK"/>
          <w:sz w:val="32"/>
          <w:szCs w:val="36"/>
          <w:lang w:val="en-US" w:eastAsia="zh-CN"/>
        </w:rPr>
        <w:t xml:space="preserve"> </w:t>
      </w:r>
      <w:r>
        <w:rPr>
          <w:rFonts w:eastAsia="方正楷体_GBK"/>
          <w:sz w:val="32"/>
          <w:szCs w:val="36"/>
        </w:rPr>
        <w:t>激活农民财产增收潜能</w:t>
      </w:r>
      <w:bookmarkEnd w:id="137"/>
    </w:p>
    <w:p w14:paraId="0D052B01">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楷体_GBK"/>
          <w:b/>
          <w:bCs/>
          <w:sz w:val="32"/>
          <w:szCs w:val="36"/>
        </w:rPr>
      </w:pPr>
      <w:r>
        <w:rPr>
          <w:rFonts w:eastAsia="方正仿宋_GBK"/>
          <w:sz w:val="32"/>
          <w:szCs w:val="20"/>
        </w:rPr>
        <w:t>深化农村产权制度改革，盘活农村自然资源资产。创新农村集体资产运营新机制，试点开展市场化、职业化等运营模式，通过委托管理、组建平台公司、股份制、租赁等形式参与乡村产业融合发展，确保集体资产保值增值和农民获利受益。支持将成熟的农村公共服务配套项目纳入政府定点采购范围，拓宽村级集体经济增收渠道。积极引导农村土地经营权流转，发展多种形式适度规模经营，增加农民土地租金收入。积极盘活农村闲置宅基地和农房资源，增加宅基地及房屋资产性收益。</w:t>
      </w:r>
    </w:p>
    <w:p w14:paraId="3B37FFFB">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36"/>
        </w:rPr>
      </w:pPr>
      <w:bookmarkStart w:id="141" w:name="_Toc108078398"/>
      <w:r>
        <w:rPr>
          <w:rFonts w:eastAsia="方正楷体_GBK"/>
          <w:sz w:val="32"/>
          <w:szCs w:val="36"/>
        </w:rPr>
        <w:t xml:space="preserve">第四节 </w:t>
      </w:r>
      <w:r>
        <w:rPr>
          <w:rFonts w:hint="eastAsia" w:eastAsia="方正楷体_GBK"/>
          <w:sz w:val="32"/>
          <w:szCs w:val="36"/>
          <w:lang w:val="en-US" w:eastAsia="zh-CN"/>
        </w:rPr>
        <w:t xml:space="preserve"> </w:t>
      </w:r>
      <w:r>
        <w:rPr>
          <w:rFonts w:eastAsia="方正楷体_GBK"/>
          <w:sz w:val="32"/>
          <w:szCs w:val="36"/>
        </w:rPr>
        <w:t>强化农民转移性收入保障</w:t>
      </w:r>
      <w:bookmarkEnd w:id="141"/>
    </w:p>
    <w:p w14:paraId="1C833C3E">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rPr>
      </w:pPr>
      <w:r>
        <w:rPr>
          <w:rFonts w:eastAsia="方正仿宋_GBK"/>
          <w:sz w:val="32"/>
        </w:rPr>
        <w:t>履行好政府再分配调节职能，完善对农民直接补贴政策，健全生产者补贴制度。在统筹整合涉农资金基础上，探索建立普惠性农民补贴长效机制。优化涉农财政性建设资金使用方式，支持符合条件的农业产业化规模化项目。拓宽财政补贴农业保险险种和范围，提高农业保险保障水平，适当降低农户缴纳保费比例，加快建立农业保险大灾风险分散机制，提升农户保险服务水平。</w:t>
      </w:r>
    </w:p>
    <w:bookmarkEnd w:id="118"/>
    <w:bookmarkEnd w:id="119"/>
    <w:bookmarkEnd w:id="120"/>
    <w:bookmarkEnd w:id="121"/>
    <w:bookmarkEnd w:id="138"/>
    <w:bookmarkEnd w:id="139"/>
    <w:bookmarkEnd w:id="140"/>
    <w:p w14:paraId="31A9A147">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eastAsia="方正黑体_GBK"/>
          <w:sz w:val="32"/>
          <w:szCs w:val="22"/>
        </w:rPr>
      </w:pPr>
      <w:bookmarkStart w:id="142" w:name="_Toc108078399"/>
      <w:bookmarkStart w:id="143" w:name="_Toc60069010"/>
      <w:bookmarkStart w:id="144" w:name="_Toc72825950"/>
      <w:bookmarkStart w:id="145" w:name="_Toc52962424"/>
      <w:r>
        <w:rPr>
          <w:rFonts w:eastAsia="方正黑体_GBK"/>
          <w:sz w:val="32"/>
          <w:szCs w:val="22"/>
        </w:rPr>
        <w:t xml:space="preserve">第十一章 </w:t>
      </w:r>
      <w:r>
        <w:rPr>
          <w:rFonts w:hint="eastAsia" w:eastAsia="方正黑体_GBK"/>
          <w:sz w:val="32"/>
          <w:szCs w:val="22"/>
          <w:lang w:val="en-US" w:eastAsia="zh-CN"/>
        </w:rPr>
        <w:t xml:space="preserve"> </w:t>
      </w:r>
      <w:r>
        <w:rPr>
          <w:rFonts w:eastAsia="方正黑体_GBK"/>
          <w:sz w:val="32"/>
          <w:szCs w:val="22"/>
        </w:rPr>
        <w:t>推进乡村治理能力和水平现代化</w:t>
      </w:r>
      <w:bookmarkEnd w:id="142"/>
    </w:p>
    <w:p w14:paraId="18E438F9">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黑体_GBK"/>
          <w:sz w:val="32"/>
          <w:szCs w:val="22"/>
        </w:rPr>
      </w:pPr>
      <w:r>
        <w:rPr>
          <w:rFonts w:eastAsia="方正仿宋_GBK"/>
          <w:kern w:val="0"/>
          <w:sz w:val="32"/>
          <w:szCs w:val="30"/>
        </w:rPr>
        <w:t>强化党组织对农村基层治理的领导，坚持自治、法治、德治相结合，推进乡村治理体系和治理能力现代化，形成共建共治共享的乡村善治格局。</w:t>
      </w:r>
    </w:p>
    <w:p w14:paraId="1FEF41E0">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22"/>
        </w:rPr>
      </w:pPr>
      <w:bookmarkStart w:id="146" w:name="_Toc108078400"/>
      <w:r>
        <w:rPr>
          <w:rFonts w:eastAsia="方正楷体_GBK"/>
          <w:sz w:val="32"/>
          <w:szCs w:val="22"/>
        </w:rPr>
        <w:t xml:space="preserve">第一节 </w:t>
      </w:r>
      <w:r>
        <w:rPr>
          <w:rFonts w:hint="eastAsia" w:eastAsia="方正楷体_GBK"/>
          <w:sz w:val="32"/>
          <w:szCs w:val="22"/>
          <w:lang w:val="en-US" w:eastAsia="zh-CN"/>
        </w:rPr>
        <w:t xml:space="preserve"> </w:t>
      </w:r>
      <w:r>
        <w:rPr>
          <w:rFonts w:eastAsia="方正楷体_GBK"/>
          <w:sz w:val="32"/>
          <w:szCs w:val="22"/>
        </w:rPr>
        <w:t>强化党组织对农村基层治理的领导</w:t>
      </w:r>
      <w:bookmarkEnd w:id="146"/>
    </w:p>
    <w:p w14:paraId="098EA4E0">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rPr>
      </w:pPr>
      <w:r>
        <w:rPr>
          <w:rFonts w:eastAsia="方正仿宋_GBK"/>
          <w:b/>
          <w:bCs/>
          <w:sz w:val="32"/>
          <w:szCs w:val="22"/>
        </w:rPr>
        <w:t>加强村级党组织建设。</w:t>
      </w:r>
      <w:r>
        <w:rPr>
          <w:rFonts w:eastAsia="方正仿宋_GBK"/>
          <w:sz w:val="32"/>
        </w:rPr>
        <w:t>坚持党对农村各种组织和各项工作的统一领导，健全“行政村（社区）党支部（总支、党委）－网格（村、居民小组）党小组（党支部）－党员联系户”的党组织体系，加强以党组织为核心的村级组织配套建设，加大在农民专业合作社、农业企业、农村社会化服务组织中建立党组织力度。积极推进村级党组织规范化建设，优化以乡镇（街道）公共服务中心、村（社区）党群服务中心为基本阵地的乡村综合服务设施布局，完善充实服务事项。实施农村带头人队伍整体优化提升行动，注重从农村创业带富能手、外出务工经商能人、复员退伍军人、本土大中专毕业生等人员中选拔村党组织书记，积极引导高校毕业生、农民工、机关企事业单位优秀党员干部到村任职，向软弱涣散村和乡村振兴示范村党组织分类精准选派第一书记。村级重要事项、重大问题实行“四议两公开”。</w:t>
      </w:r>
    </w:p>
    <w:p w14:paraId="7812691C">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b/>
          <w:bCs/>
          <w:sz w:val="32"/>
        </w:rPr>
      </w:pPr>
      <w:r>
        <w:rPr>
          <w:rFonts w:eastAsia="方正仿宋_GBK"/>
          <w:b/>
          <w:bCs/>
          <w:sz w:val="32"/>
          <w:szCs w:val="22"/>
        </w:rPr>
        <w:t>发挥党员先锋模范作用。</w:t>
      </w:r>
      <w:r>
        <w:rPr>
          <w:rFonts w:eastAsia="方正仿宋_GBK"/>
          <w:sz w:val="32"/>
        </w:rPr>
        <w:t>坚持把政治标准放在首位，严格标准条件，注重从青年农民中发展党员，提高农村发展党员质量。</w:t>
      </w:r>
      <w:r>
        <w:rPr>
          <w:rFonts w:eastAsia="方正仿宋_GBK"/>
          <w:kern w:val="0"/>
          <w:sz w:val="32"/>
          <w:szCs w:val="32"/>
        </w:rPr>
        <w:t>组织各党员在议事决策中宣传党的主张，执行党组织决定。</w:t>
      </w:r>
      <w:r>
        <w:rPr>
          <w:rFonts w:eastAsia="方正仿宋_GBK"/>
          <w:sz w:val="32"/>
        </w:rPr>
        <w:t>开展“听党话、感党恩、跟党走”宣讲活动，加强党的基本理论、基本路线、基本方略和党的宗旨、党性、党纪、党的基本知识教育。定期组织农村党员技能培训，健全党员岗位创先争优长效机制，发挥党员先锋模范作用。通过开展党员挂牌、设立党员责任区、结对帮扶、党员承诺践诺和志愿服务等活动，树立先进典型，强化党员意识，真正做到一个党员就是一面旗帜。加大农村党员干部学历教育和后备干部递进培养力度，推动农村基层党员干部素质提升长效化，提高农村党员干部综合素质和致富带富能力。</w:t>
      </w:r>
    </w:p>
    <w:p w14:paraId="15A220FD">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b/>
          <w:bCs/>
          <w:sz w:val="32"/>
          <w:szCs w:val="32"/>
        </w:rPr>
      </w:pPr>
      <w:r>
        <w:rPr>
          <w:rFonts w:eastAsia="方正仿宋_GBK"/>
          <w:b/>
          <w:bCs/>
          <w:sz w:val="32"/>
          <w:szCs w:val="22"/>
        </w:rPr>
        <w:t>加大基层小微权力腐败惩治力度。</w:t>
      </w:r>
      <w:r>
        <w:rPr>
          <w:rFonts w:eastAsia="方正仿宋_GBK"/>
          <w:sz w:val="32"/>
        </w:rPr>
        <w:t>树立村干部正确的从政观和价值观，加强对村干部法治观念的培养。规范落实党务、政务、财务、服务“四公开”、党员干部亲属涉权事项公开和“双代管”等制度，确保村级事务阳光高效运行。规范乡村小微权力运行，明确每项权力行使的法规依据、运行范围、执行主体、程序步骤。建立小微权力监督制度，扎实推进廉洁村居建设，充分发挥村（居）廉洁工作站的前哨监督作用，强化基层纪检监察组织与村（居）务监督委员会的沟通协作、有效衔接。织密农村基层权力运行“廉政防护网”，大力开展农村基层微腐败整治，推进农村巡察工作，严肃查处优亲厚友、吃拿卡要、“村霸”等不正之风和违纪违法问题。严厉整治惠农补贴、集体资产管理、土地征收等领域侵害农民利益的不正之风和腐败问题，不断强化基层党组织和基层党员干部整体素质和公信力。</w:t>
      </w:r>
    </w:p>
    <w:p w14:paraId="124EC659">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22"/>
        </w:rPr>
      </w:pPr>
      <w:bookmarkStart w:id="147" w:name="_Toc108078401"/>
      <w:r>
        <w:rPr>
          <w:rFonts w:eastAsia="方正楷体_GBK"/>
          <w:sz w:val="32"/>
          <w:szCs w:val="22"/>
        </w:rPr>
        <w:t xml:space="preserve">第二节 </w:t>
      </w:r>
      <w:r>
        <w:rPr>
          <w:rFonts w:hint="eastAsia" w:eastAsia="方正楷体_GBK"/>
          <w:sz w:val="32"/>
          <w:szCs w:val="22"/>
          <w:lang w:val="en-US" w:eastAsia="zh-CN"/>
        </w:rPr>
        <w:t xml:space="preserve"> </w:t>
      </w:r>
      <w:r>
        <w:rPr>
          <w:rFonts w:eastAsia="方正楷体_GBK"/>
          <w:sz w:val="32"/>
          <w:szCs w:val="22"/>
        </w:rPr>
        <w:t>推进乡村治理“三治”结合</w:t>
      </w:r>
      <w:bookmarkEnd w:id="147"/>
    </w:p>
    <w:p w14:paraId="4D1F2374">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szCs w:val="32"/>
        </w:rPr>
      </w:pPr>
      <w:r>
        <w:rPr>
          <w:rFonts w:eastAsia="方正仿宋_GBK"/>
          <w:b/>
          <w:bCs/>
          <w:sz w:val="32"/>
          <w:szCs w:val="32"/>
        </w:rPr>
        <w:t>增强村民自治组织能力。</w:t>
      </w:r>
      <w:r>
        <w:rPr>
          <w:rFonts w:eastAsia="方正仿宋_GBK"/>
          <w:kern w:val="0"/>
          <w:sz w:val="32"/>
          <w:szCs w:val="32"/>
        </w:rPr>
        <w:t>健全以法律法规、政策制度、自治章程等为主要内容的自治制度体系，保障村民自治制度有序推进。</w:t>
      </w:r>
      <w:r>
        <w:rPr>
          <w:rFonts w:eastAsia="方正仿宋_GBK"/>
          <w:sz w:val="32"/>
          <w:szCs w:val="32"/>
        </w:rPr>
        <w:t>构建民事民议、民事民办、民事民管的多层次基层协商格局。</w:t>
      </w:r>
      <w:r>
        <w:rPr>
          <w:rFonts w:eastAsia="方正仿宋_GBK"/>
          <w:kern w:val="0"/>
          <w:sz w:val="32"/>
          <w:szCs w:val="32"/>
        </w:rPr>
        <w:t>建立健全村民议事会、红白理事会、道德评议会，</w:t>
      </w:r>
      <w:r>
        <w:rPr>
          <w:rFonts w:eastAsia="方正仿宋_GBK"/>
          <w:sz w:val="32"/>
          <w:szCs w:val="32"/>
        </w:rPr>
        <w:t>拓宽村民自治的实践渠道和空间，充分调动村民依法有序参与的积极性、主动性和创造性，不断提升农民群众的主人翁意识和参与度。严格落实基层群众自治组织的自治事项、协助事项、证明事项、负面清单“四张清单”制度。推广基层治理“三事分流”工作机制。</w:t>
      </w:r>
      <w:r>
        <w:rPr>
          <w:rFonts w:eastAsia="方正仿宋_GBK"/>
          <w:sz w:val="32"/>
        </w:rPr>
        <w:t>健全村务监督委员会，全面实施村级事务阳光工程。深化乡村社区、社工、社会组织“三社联动”治理实践，积极培育新乡贤并发挥其在村民自治中的作用。</w:t>
      </w:r>
    </w:p>
    <w:p w14:paraId="27F6029E">
      <w:pPr>
        <w:keepNext w:val="0"/>
        <w:keepLines w:val="0"/>
        <w:pageBreakBefore w:val="0"/>
        <w:widowControl w:val="0"/>
        <w:kinsoku/>
        <w:wordWrap/>
        <w:overflowPunct/>
        <w:topLinePunct w:val="0"/>
        <w:autoSpaceDE/>
        <w:autoSpaceDN/>
        <w:bidi w:val="0"/>
        <w:adjustRightInd/>
        <w:spacing w:line="240" w:lineRule="auto"/>
        <w:ind w:firstLine="643"/>
        <w:textAlignment w:val="auto"/>
        <w:rPr>
          <w:rFonts w:eastAsia="方正仿宋_GBK"/>
          <w:b/>
          <w:bCs/>
          <w:sz w:val="32"/>
          <w:szCs w:val="32"/>
        </w:rPr>
      </w:pPr>
      <w:r>
        <w:rPr>
          <w:rFonts w:eastAsia="方正仿宋_GBK"/>
          <w:b/>
          <w:bCs/>
          <w:sz w:val="32"/>
          <w:szCs w:val="32"/>
        </w:rPr>
        <w:t>推进法治乡村建设。</w:t>
      </w:r>
      <w:r>
        <w:rPr>
          <w:rFonts w:eastAsia="方正仿宋_GBK"/>
          <w:sz w:val="32"/>
          <w:szCs w:val="32"/>
        </w:rPr>
        <w:t>树立依法治理理念，强化法律法规在维护农民权益、规范市场运行、生态环境治理、化解农村社会矛盾等方面的权威地位，增强基层干部法治观念、法治为民意识。深入推进公共法律服务实体、热线、网络平台建设，</w:t>
      </w:r>
      <w:r>
        <w:rPr>
          <w:rFonts w:eastAsia="方正仿宋_GBK"/>
          <w:sz w:val="32"/>
        </w:rPr>
        <w:t>加强农村公共法律服务体系建设</w:t>
      </w:r>
      <w:r>
        <w:rPr>
          <w:rFonts w:eastAsia="方正仿宋_GBK"/>
          <w:sz w:val="32"/>
          <w:szCs w:val="32"/>
        </w:rPr>
        <w:t>，建立健全“庭审进乡镇”巡回庭审和“一村一法律顾问”制度。加大农村普法力度，强化镇村两级人民调解组织建设，维护村民委员会、农村集体经济组织、农村合作经济组织的特别法人地位和权利。完善法治乡村法律供给，推进综合行政执法改革向基层延伸，完善信访制度，拓宽人民群众反映意见和建议的渠道。加强农村法治宣传教育，扩大乡村公共法律服务，引导干部群众办事依法、遇事找法、解决问题用法、化解矛盾靠法。</w:t>
      </w:r>
    </w:p>
    <w:p w14:paraId="1D5AF4F9">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szCs w:val="32"/>
        </w:rPr>
      </w:pPr>
      <w:r>
        <w:rPr>
          <w:rFonts w:eastAsia="方正仿宋_GBK"/>
          <w:b/>
          <w:bCs/>
          <w:sz w:val="32"/>
          <w:szCs w:val="32"/>
        </w:rPr>
        <w:t>提升乡村德治水平。</w:t>
      </w:r>
      <w:r>
        <w:rPr>
          <w:rFonts w:eastAsia="方正仿宋_GBK"/>
          <w:sz w:val="32"/>
          <w:szCs w:val="32"/>
        </w:rPr>
        <w:t>坚持以评弘德，深入开展先进榜样、道德模范等评选活动，弘扬社会正能量。深入挖掘乡村熟人社会蕴含的道德规范，结合时代要求进行创新，强化道德教化作用，引导农民向上向善、孝老爱亲、重义守信、勤俭持家。充分发挥自治章程、村规民约、居民公约在城乡社区治理中的积极作用，制定通俗易懂、操作性强的村规民约、村民守则，尊良俗、去低俗、废恶俗。加强</w:t>
      </w:r>
      <w:r>
        <w:rPr>
          <w:rFonts w:eastAsia="方正仿宋_GBK"/>
          <w:sz w:val="32"/>
        </w:rPr>
        <w:t>农村社会主义核心价值观、优秀传统文化教育，强化道德教化作用，培养向上向善的健康社会心态。全面落实村委德治主体责任，引导成立村民议事会、禁赌会等群众性德治组织。建立道德激励约束机制，探索推行“乡村道德银行”。</w:t>
      </w:r>
    </w:p>
    <w:p w14:paraId="64BFB9B8">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22"/>
        </w:rPr>
      </w:pPr>
      <w:bookmarkStart w:id="148" w:name="_Toc108078402"/>
      <w:r>
        <w:rPr>
          <w:rFonts w:eastAsia="方正楷体_GBK"/>
          <w:sz w:val="32"/>
          <w:szCs w:val="22"/>
        </w:rPr>
        <w:t>第三节</w:t>
      </w:r>
      <w:r>
        <w:rPr>
          <w:rFonts w:hint="eastAsia" w:eastAsia="方正楷体_GBK"/>
          <w:sz w:val="32"/>
          <w:szCs w:val="22"/>
          <w:lang w:val="en-US" w:eastAsia="zh-CN"/>
        </w:rPr>
        <w:t xml:space="preserve"> </w:t>
      </w:r>
      <w:r>
        <w:rPr>
          <w:rFonts w:eastAsia="方正楷体_GBK"/>
          <w:sz w:val="32"/>
          <w:szCs w:val="22"/>
        </w:rPr>
        <w:t xml:space="preserve"> 健全农村基层服务体系</w:t>
      </w:r>
      <w:bookmarkEnd w:id="148"/>
    </w:p>
    <w:p w14:paraId="22D3CA5A">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szCs w:val="32"/>
        </w:rPr>
      </w:pPr>
      <w:r>
        <w:rPr>
          <w:rFonts w:eastAsia="方正仿宋_GBK"/>
          <w:b/>
          <w:bCs/>
          <w:sz w:val="32"/>
          <w:szCs w:val="32"/>
        </w:rPr>
        <w:t>优化基层服务体系。</w:t>
      </w:r>
      <w:r>
        <w:rPr>
          <w:rFonts w:eastAsia="方正仿宋_GBK"/>
          <w:sz w:val="32"/>
          <w:szCs w:val="32"/>
        </w:rPr>
        <w:t>充分发挥乡镇服务农村和农民的作用，加强乡镇政府公共服务职能，加大乡镇基本公共服务投入，使乡镇成</w:t>
      </w:r>
      <w:r>
        <w:rPr>
          <w:rFonts w:eastAsia="方正仿宋_GBK"/>
          <w:sz w:val="32"/>
          <w:szCs w:val="32"/>
          <w:highlight w:val="none"/>
        </w:rPr>
        <w:t>为为</w:t>
      </w:r>
      <w:r>
        <w:rPr>
          <w:rFonts w:eastAsia="方正仿宋_GBK"/>
          <w:sz w:val="32"/>
          <w:szCs w:val="32"/>
        </w:rPr>
        <w:t>农服务的龙头。整合优化乡村公共服务和社会管理职能，探索制定农村社区基本公共服务清单，推进社区服务规范化标准化，打造“一门式办理”“一站式服务”的综合服务平台。创新基层管理体制机制，整合优化公共服务和行政审批职责，推进“放管服”改革和“最多跑一次”改革向基层延伸。加快推进农村社区综合服务设施建设，引导管理服务向农村基层拓展。弘扬“垫小二”精神，切实做到“为你铺垫，心甘情愿；事无大小，马上就办；说一不二，坚决兑现”。大力培育服务乡村治理的服务性、公益性、互助性农村社会组织，积极发展农村社会工作和志愿服务。广泛开展“邻里守望”农村志愿服务，引导农民群众生产互助、生活互帮、文明共进。</w:t>
      </w:r>
    </w:p>
    <w:p w14:paraId="1EA4E449">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szCs w:val="32"/>
        </w:rPr>
      </w:pPr>
      <w:r>
        <w:rPr>
          <w:rFonts w:eastAsia="方正仿宋_GBK"/>
          <w:b/>
          <w:bCs/>
          <w:sz w:val="32"/>
          <w:szCs w:val="32"/>
        </w:rPr>
        <w:t>加快推进乡村治理数字化转型。</w:t>
      </w:r>
      <w:r>
        <w:rPr>
          <w:rFonts w:eastAsia="方正仿宋_GBK"/>
          <w:sz w:val="32"/>
          <w:szCs w:val="32"/>
        </w:rPr>
        <w:t>加快农村“互联网+党建”发展，完善农村基层党建信息平台，优化升级党员干部现代远程教育，推广网络党课教育，推动基层党建与信息技术深度融合。推动党务、村务、财务网上公开，畅通社情民意。推动“互联网+社区”向农村延伸，提高村级综合服务信息化水平，大力推动乡村建设和规划管理信息化。依托全国一体化在线政务服务平台，加快推广“最多跑一次”“不见面审批”等改革模式，推动政务服务网上办、马上办、少跑快办，提高群众办事便捷程度。加快推进“互联网+公共法律服务”，建设法治乡村。增强数字治理意识，落实数字化的“共商、共议、共治、共享”乡村治理体制。搭建数据信息平台，加强乡村数据资源互通互联，实现乡村治理的“云”形覆盖，构建数字乡村治理共建共享发展新格局。</w:t>
      </w:r>
    </w:p>
    <w:p w14:paraId="493128B1">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楷体_GBK"/>
          <w:sz w:val="32"/>
          <w:szCs w:val="22"/>
        </w:rPr>
      </w:pPr>
      <w:r>
        <w:rPr>
          <w:rFonts w:eastAsia="方正仿宋_GBK"/>
          <w:b/>
          <w:bCs/>
          <w:sz w:val="32"/>
          <w:szCs w:val="32"/>
        </w:rPr>
        <w:t>创新乡村治理模式。</w:t>
      </w:r>
      <w:r>
        <w:rPr>
          <w:rFonts w:eastAsia="方正仿宋_GBK"/>
          <w:sz w:val="32"/>
          <w:szCs w:val="32"/>
        </w:rPr>
        <w:t>建立健全区域联防联治体制机制，积极探索“社群化”“网格化”社区治理模式，完善乡村治理结构，形成双向互动的村务管理反馈机制，提高乡村行政的透明度，引导村民理性思考，形成社群化自律机制。创新乡村治理模式，整合社区治理资金、资源和项目，搭建社区治理创新服务平台，引导和支持社会组织、市场主体、驻社区单位等参与社区治理。推广“积分制”乡村治理新模式，对村民日常行为和参与乡村重要事务情况进行量化积分，并建立相应激励或约束机制，解决农民参与乡村治理积极性不高、公共意识不强等问题。</w:t>
      </w:r>
      <w:r>
        <w:rPr>
          <w:rFonts w:eastAsia="方正仿宋_GBK"/>
          <w:sz w:val="32"/>
        </w:rPr>
        <w:t>加强社区文化建设，建立社区征信系统，提高社区居民自我参与、自我监督、自我服务和自我教育积极性。</w:t>
      </w:r>
    </w:p>
    <w:p w14:paraId="05FFA16C">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22"/>
        </w:rPr>
      </w:pPr>
      <w:bookmarkStart w:id="149" w:name="_Toc108078403"/>
      <w:r>
        <w:rPr>
          <w:rFonts w:eastAsia="方正楷体_GBK"/>
          <w:sz w:val="32"/>
          <w:szCs w:val="22"/>
        </w:rPr>
        <w:t xml:space="preserve">第四节 </w:t>
      </w:r>
      <w:r>
        <w:rPr>
          <w:rFonts w:hint="eastAsia" w:eastAsia="方正楷体_GBK"/>
          <w:sz w:val="32"/>
          <w:szCs w:val="22"/>
          <w:lang w:val="en-US" w:eastAsia="zh-CN"/>
        </w:rPr>
        <w:t xml:space="preserve"> </w:t>
      </w:r>
      <w:r>
        <w:rPr>
          <w:rFonts w:eastAsia="方正楷体_GBK"/>
          <w:sz w:val="32"/>
          <w:szCs w:val="22"/>
        </w:rPr>
        <w:t>培育乡村文明新风</w:t>
      </w:r>
      <w:bookmarkEnd w:id="149"/>
    </w:p>
    <w:p w14:paraId="1ABE2D3A">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rPr>
      </w:pPr>
      <w:r>
        <w:rPr>
          <w:rFonts w:eastAsia="方正仿宋_GBK"/>
          <w:b/>
          <w:bCs/>
          <w:sz w:val="32"/>
          <w:szCs w:val="32"/>
        </w:rPr>
        <w:t>加强农村思想道德建设。</w:t>
      </w:r>
      <w:r>
        <w:rPr>
          <w:rFonts w:eastAsia="方正仿宋_GBK"/>
          <w:sz w:val="32"/>
          <w:szCs w:val="32"/>
        </w:rPr>
        <w:t>积极培育和践行社会主义核心价值观，坚持教育引导、实践养成、制度保障三管齐下，推动社会主义核心价值观落细落小落实，融入文明公约、村规民约、家规家训。</w:t>
      </w:r>
      <w:r>
        <w:rPr>
          <w:rFonts w:eastAsia="方正仿宋_GBK"/>
          <w:kern w:val="0"/>
          <w:sz w:val="32"/>
          <w:szCs w:val="32"/>
        </w:rPr>
        <w:t>加强农村未成年人思想道德建设，</w:t>
      </w:r>
      <w:r>
        <w:rPr>
          <w:rFonts w:eastAsia="方正仿宋_GBK"/>
          <w:sz w:val="32"/>
          <w:szCs w:val="32"/>
        </w:rPr>
        <w:t>将培育和践行社会主义核心价值观纳入农村学校教育教学的重点内容，贯彻到教育全过程。深入实施公民道德建设工程，加强社会公德、职业道德、家庭美德和个人品德教育。</w:t>
      </w:r>
      <w:r>
        <w:rPr>
          <w:rFonts w:eastAsia="方正仿宋_GBK"/>
          <w:kern w:val="0"/>
          <w:sz w:val="32"/>
          <w:szCs w:val="32"/>
        </w:rPr>
        <w:t>抓好文明村镇、文明家庭等创建活动，推选宣传农村道德典型。</w:t>
      </w:r>
      <w:r>
        <w:rPr>
          <w:rFonts w:eastAsia="方正仿宋_GBK"/>
          <w:sz w:val="32"/>
          <w:szCs w:val="32"/>
        </w:rPr>
        <w:t>开展“除陋习、树新风”专项行动</w:t>
      </w:r>
      <w:r>
        <w:rPr>
          <w:rFonts w:eastAsia="方正仿宋_GBK"/>
          <w:kern w:val="0"/>
          <w:sz w:val="32"/>
          <w:szCs w:val="32"/>
        </w:rPr>
        <w:t>，建立婚丧事宜报备制度，总结推广红白理事会、道德评议会、村规民约，治理大操大办、不赡养父母的做法，通过引导农民群众自我管理、自我约束、自我提高，推进农村移风易俗，孕育社会好风尚。</w:t>
      </w:r>
    </w:p>
    <w:p w14:paraId="4E43902B">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rPr>
      </w:pPr>
      <w:r>
        <w:rPr>
          <w:rFonts w:eastAsia="方正仿宋_GBK"/>
          <w:b/>
          <w:bCs/>
          <w:sz w:val="32"/>
          <w:szCs w:val="32"/>
        </w:rPr>
        <w:t>加强农村公共文化建设。</w:t>
      </w:r>
      <w:r>
        <w:rPr>
          <w:rFonts w:eastAsia="方正仿宋_GBK"/>
          <w:sz w:val="32"/>
          <w:szCs w:val="32"/>
        </w:rPr>
        <w:t>以群众基本文化需求为导向，开展健康文明的群众性文化活动，增强群众参与度，提升服务影响力和文化形象，提高全民文艺素养和整体素质，丰富群众精神文化生活。创新开展群众文化艺术节、全民读书月等群众文化品牌活动，丰富街镇群众文化生活。持续开展送戏进村、文艺演出进村、惠民电影在内的送流动文化进基层活动，把更多优秀的电影、广播电视、戏曲、文艺演出送到农民中间。恢复乡村传统文化节庆，结合当地传统习俗，开展丰富多彩的节日文化活动。落实文化科技卫生“三下乡”活动，举办各类养殖、栽培等科技培训，引导农民走科技致富之路。</w:t>
      </w:r>
    </w:p>
    <w:p w14:paraId="4A46C16E">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szCs w:val="32"/>
        </w:rPr>
      </w:pPr>
      <w:r>
        <w:rPr>
          <w:rFonts w:eastAsia="方正仿宋_GBK"/>
          <w:b/>
          <w:bCs/>
          <w:sz w:val="32"/>
          <w:szCs w:val="32"/>
        </w:rPr>
        <w:t>推动优秀乡土文化保护传承。</w:t>
      </w:r>
      <w:r>
        <w:rPr>
          <w:rFonts w:eastAsia="方正仿宋_GBK"/>
          <w:sz w:val="32"/>
          <w:szCs w:val="32"/>
        </w:rPr>
        <w:t>积极利用乡村的本土文化资源优势，把丰富多彩的乡村文化资源转化为文化资本。深入挖掘继承优秀传统乡土文化，因地制宜实施民族民俗文化发展行动、传统工艺振兴计划、农耕文化体验基地建设工程，着力提振农村精气神、增强农民凝聚力、孕育社会好风尚。强化乡村文化遗产传承保护，加大古村落、古城堡、古寨卡、古建筑、地貌景观、工程遗产、农业遗迹、灌溉工程遗址等保护力度，支持垫江角雕技艺、大石竹编、开山号子、垫江酱瓜传统制作技艺，永安梅咂酒传统酿造技艺、新民春牛舞、高峰薅秧歌、高安唢呐、垫江石磨豆花制作技艺，牡丹皮传统加工技艺传承发展。加大垫江县非遗资源的调查整理，建立“非遗”数据库，充分利用互联网和新媒体，创新做好传承和保护工作。</w:t>
      </w:r>
      <w:r>
        <w:rPr>
          <w:rFonts w:eastAsia="方正仿宋_GBK"/>
          <w:sz w:val="32"/>
        </w:rPr>
        <w:t>鼓励支持建设“乡土记忆”陈列馆，实施乡村房屋住所、劳动工具、生活器具、服饰以及艺术品等乡村特色文化遗产保护。</w:t>
      </w:r>
    </w:p>
    <w:p w14:paraId="28BD925E">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eastAsia="方正黑体_GBK"/>
          <w:sz w:val="32"/>
          <w:szCs w:val="22"/>
        </w:rPr>
      </w:pPr>
      <w:bookmarkStart w:id="150" w:name="_Toc108078404"/>
      <w:bookmarkStart w:id="151" w:name="_Toc50376596"/>
      <w:bookmarkStart w:id="152" w:name="_Toc50559162"/>
      <w:r>
        <w:rPr>
          <w:rFonts w:eastAsia="方正黑体_GBK"/>
          <w:sz w:val="32"/>
          <w:szCs w:val="22"/>
        </w:rPr>
        <w:t xml:space="preserve">第十二章 </w:t>
      </w:r>
      <w:r>
        <w:rPr>
          <w:rFonts w:hint="eastAsia" w:eastAsia="方正黑体_GBK"/>
          <w:sz w:val="32"/>
          <w:szCs w:val="22"/>
          <w:lang w:val="en-US" w:eastAsia="zh-CN"/>
        </w:rPr>
        <w:t xml:space="preserve"> </w:t>
      </w:r>
      <w:r>
        <w:rPr>
          <w:rFonts w:eastAsia="方正黑体_GBK"/>
          <w:sz w:val="32"/>
          <w:szCs w:val="22"/>
        </w:rPr>
        <w:t>推动农业农村绿色发展</w:t>
      </w:r>
      <w:bookmarkEnd w:id="150"/>
      <w:bookmarkEnd w:id="151"/>
    </w:p>
    <w:p w14:paraId="57898142">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楷体_GBK"/>
          <w:sz w:val="32"/>
          <w:szCs w:val="22"/>
        </w:rPr>
      </w:pPr>
      <w:bookmarkStart w:id="153" w:name="_Toc50376597"/>
      <w:r>
        <w:rPr>
          <w:rFonts w:eastAsia="方正仿宋_GBK"/>
          <w:sz w:val="32"/>
          <w:szCs w:val="32"/>
        </w:rPr>
        <w:t>牢固树立绿水青山就是金山银山理念，</w:t>
      </w:r>
      <w:r>
        <w:rPr>
          <w:rFonts w:eastAsia="方正仿宋_GBK"/>
          <w:sz w:val="32"/>
        </w:rPr>
        <w:t>坚持“共抓大保护、不搞大开发”，加大乡村生态保护和农业面源污染防治，持续改善农村人居环境，探索推进农业农村领域减排固碳，推进农业农村碳达峰工作。建设生活环境自然优美、生态系统健康稳定、人与自然和谐共生的美丽乡村。</w:t>
      </w:r>
    </w:p>
    <w:p w14:paraId="0DF4FBB4">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22"/>
        </w:rPr>
      </w:pPr>
      <w:bookmarkStart w:id="154" w:name="_Toc108078405"/>
      <w:r>
        <w:rPr>
          <w:rFonts w:eastAsia="方正楷体_GBK"/>
          <w:sz w:val="32"/>
          <w:szCs w:val="22"/>
        </w:rPr>
        <w:t>第一节</w:t>
      </w:r>
      <w:r>
        <w:rPr>
          <w:rFonts w:hint="eastAsia" w:eastAsia="方正楷体_GBK"/>
          <w:sz w:val="32"/>
          <w:szCs w:val="22"/>
          <w:lang w:val="en-US" w:eastAsia="zh-CN"/>
        </w:rPr>
        <w:t xml:space="preserve"> </w:t>
      </w:r>
      <w:r>
        <w:rPr>
          <w:rFonts w:eastAsia="方正楷体_GBK"/>
          <w:sz w:val="32"/>
          <w:szCs w:val="22"/>
        </w:rPr>
        <w:t xml:space="preserve"> 积极推进农业绿色生产</w:t>
      </w:r>
      <w:bookmarkEnd w:id="153"/>
      <w:bookmarkEnd w:id="154"/>
    </w:p>
    <w:p w14:paraId="4BD2DFC0">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b/>
          <w:bCs/>
          <w:sz w:val="32"/>
          <w:szCs w:val="32"/>
          <w:lang w:val="zh-CN"/>
        </w:rPr>
      </w:pPr>
      <w:r>
        <w:rPr>
          <w:rFonts w:eastAsia="方正仿宋_GBK"/>
          <w:b/>
          <w:bCs/>
          <w:sz w:val="32"/>
        </w:rPr>
        <w:t>加快发展节水农业。</w:t>
      </w:r>
      <w:r>
        <w:rPr>
          <w:rFonts w:eastAsia="方正仿宋_GBK"/>
          <w:sz w:val="32"/>
          <w:szCs w:val="32"/>
          <w:lang w:val="zh-CN"/>
        </w:rPr>
        <w:t>开展农业用水精细化管理，以晚柚、柑橘、蔬菜、瓜果等作物为重点，大力推广喷灌、微灌、膜下滴灌水肥一体化、半膜覆盖等农业节水技术，提高天然降水和灌溉用水利用效率。根据水资源条件，推进适水种植、量水生产。实施规模养殖场节水改造和建设，推行以“猪、鸡、鹅、鸭”为核心的节水型畜禽养殖方式，推广节水型饲喂设备、机械干清粪等技术和工艺。推进陆基工厂化循环水绿色养殖，大力推进稻渔综合种养，推广池塘工程化循环水等养殖技术，推进畜牧节水示范工程建设，降低水产养殖业风险。</w:t>
      </w:r>
    </w:p>
    <w:p w14:paraId="7A5DF50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方正仿宋_GBK"/>
          <w:b/>
          <w:bCs/>
          <w:sz w:val="32"/>
        </w:rPr>
      </w:pPr>
      <w:r>
        <w:rPr>
          <w:rFonts w:eastAsia="方正仿宋_GBK"/>
          <w:b/>
          <w:bCs/>
          <w:sz w:val="32"/>
        </w:rPr>
        <w:t>积极发展生态健康养殖。</w:t>
      </w:r>
      <w:r>
        <w:rPr>
          <w:rFonts w:eastAsia="方正仿宋_GBK"/>
          <w:sz w:val="32"/>
          <w:szCs w:val="32"/>
        </w:rPr>
        <w:t>全面推进畜禽健康养殖，加强规模养殖场开展异味发酵、厌氧发酵、一体化水处理，全面推行粪污处理利用标准体系，鼓励发展收贮运社会化服务组织，完善粪肥运输、施用引导激励政策。扎实推进水产绿色健康养殖</w:t>
      </w:r>
      <w:r>
        <w:rPr>
          <w:rFonts w:eastAsia="方正仿宋_GBK"/>
          <w:sz w:val="32"/>
        </w:rPr>
        <w:t>，实施传统池塘升级改造，推进养殖尾水治理工作。建立鱼苗种植基地，完善建设养殖相关基础设施。</w:t>
      </w:r>
      <w:r>
        <w:rPr>
          <w:rFonts w:eastAsia="方正仿宋_GBK"/>
          <w:sz w:val="32"/>
          <w:szCs w:val="32"/>
        </w:rPr>
        <w:t>以减少水产养殖尾水排放、提高水资源利用率为目标，积极推广“鱼菜共生”“池塘内循环微流水”养殖模式。积极推广应用生态净水、循环利用、清洁生产等水产养殖减排技术，通过“过滤坝+沉淀池、曝气池、生物净化池、人工湿地”的治理模式，利用水生动植物、微生物的生态作用，确保渔业养殖尾水能够循环再利用或达到排放标准。</w:t>
      </w:r>
    </w:p>
    <w:p w14:paraId="41D5ECC6">
      <w:pPr>
        <w:keepNext w:val="0"/>
        <w:keepLines w:val="0"/>
        <w:pageBreakBefore w:val="0"/>
        <w:widowControl w:val="0"/>
        <w:kinsoku/>
        <w:wordWrap/>
        <w:overflowPunct/>
        <w:topLinePunct w:val="0"/>
        <w:autoSpaceDE/>
        <w:autoSpaceDN/>
        <w:bidi w:val="0"/>
        <w:adjustRightInd/>
        <w:spacing w:line="240" w:lineRule="auto"/>
        <w:ind w:firstLine="632" w:firstLineChars="200"/>
        <w:jc w:val="left"/>
        <w:textAlignment w:val="auto"/>
        <w:rPr>
          <w:rFonts w:eastAsia="方正仿宋_GBK"/>
          <w:b/>
          <w:bCs/>
          <w:sz w:val="32"/>
          <w:szCs w:val="32"/>
          <w:lang w:val="zh-CN"/>
        </w:rPr>
      </w:pPr>
      <w:r>
        <w:rPr>
          <w:rFonts w:eastAsia="方正仿宋_GBK"/>
          <w:b/>
          <w:bCs/>
          <w:sz w:val="32"/>
          <w:szCs w:val="32"/>
          <w:lang w:val="zh-CN"/>
        </w:rPr>
        <w:t>持续推进化肥农药减量增效。</w:t>
      </w:r>
      <w:r>
        <w:rPr>
          <w:rFonts w:eastAsia="方正仿宋_GBK"/>
          <w:sz w:val="32"/>
          <w:szCs w:val="32"/>
          <w:lang w:val="zh-CN"/>
        </w:rPr>
        <w:t>大力推广测土配方平衡施肥技术、有机肥替代化肥技术和病虫害绿色防控替代化学防治技术，推行专业化统防统治，持续推进化肥农药减量增效。以水稻、柑橘、李子、花椒等作物为重点，开展化肥农药减量增效试验示范，集成创新化肥农药减量增效新模式。强化农机农艺融合，引导大中型农资、农机等企业（组织）开展农业社会化服务，提升化肥农药科学使用水平。强化农田基础设施建设加强农田基础设施建设，大力改造中低产田，推广秸秆还田、种植绿肥培肥土壤提升地力。</w:t>
      </w:r>
    </w:p>
    <w:p w14:paraId="1DF2F1BA">
      <w:pPr>
        <w:keepNext w:val="0"/>
        <w:keepLines w:val="0"/>
        <w:pageBreakBefore w:val="0"/>
        <w:widowControl w:val="0"/>
        <w:kinsoku/>
        <w:wordWrap/>
        <w:overflowPunct/>
        <w:topLinePunct w:val="0"/>
        <w:autoSpaceDE/>
        <w:autoSpaceDN/>
        <w:bidi w:val="0"/>
        <w:adjustRightInd/>
        <w:spacing w:line="240" w:lineRule="auto"/>
        <w:ind w:firstLine="632" w:firstLineChars="200"/>
        <w:jc w:val="left"/>
        <w:textAlignment w:val="auto"/>
        <w:rPr>
          <w:rFonts w:eastAsia="方正仿宋_GBK"/>
          <w:b/>
          <w:bCs/>
          <w:kern w:val="0"/>
          <w:sz w:val="32"/>
          <w:szCs w:val="32"/>
        </w:rPr>
      </w:pPr>
      <w:r>
        <w:rPr>
          <w:rFonts w:eastAsia="方正仿宋_GBK"/>
          <w:b/>
          <w:bCs/>
          <w:sz w:val="32"/>
        </w:rPr>
        <w:t>推动农业废弃物资源化利用。</w:t>
      </w:r>
      <w:r>
        <w:rPr>
          <w:rFonts w:eastAsia="方正仿宋_GBK"/>
          <w:sz w:val="32"/>
          <w:szCs w:val="32"/>
          <w:lang w:val="zh-CN"/>
        </w:rPr>
        <w:t>加强农作物秸秆综合利用，</w:t>
      </w:r>
      <w:r>
        <w:rPr>
          <w:rFonts w:eastAsia="方正仿宋_GBK"/>
          <w:sz w:val="32"/>
          <w:szCs w:val="32"/>
        </w:rPr>
        <w:t>以推进秸秆肥料化、饲料化、燃料化、基料化和原料化为重点，建设完善秸秆收储运体系，推进秸秆农用产业发展，因地制宜加快推进秸秆综合利用项目的建设。</w:t>
      </w:r>
      <w:r>
        <w:rPr>
          <w:rFonts w:eastAsia="方正仿宋_GBK"/>
          <w:sz w:val="32"/>
        </w:rPr>
        <w:t>开展农业生产废弃物整治，推进种养业废弃物资源化利用，探索废弃农药包装物回收机制。</w:t>
      </w:r>
      <w:r>
        <w:rPr>
          <w:rFonts w:eastAsia="方正仿宋_GBK"/>
          <w:sz w:val="32"/>
          <w:szCs w:val="32"/>
        </w:rPr>
        <w:t>积极贯彻落实地膜新国标，</w:t>
      </w:r>
      <w:r>
        <w:rPr>
          <w:rFonts w:eastAsia="方正仿宋_GBK"/>
          <w:sz w:val="32"/>
          <w:szCs w:val="32"/>
          <w:lang w:val="zh-CN"/>
        </w:rPr>
        <w:t>加快推广应用标准地膜，建立农膜、塑料包装废弃物贮运机制</w:t>
      </w:r>
      <w:r>
        <w:rPr>
          <w:rFonts w:eastAsia="方正仿宋_GBK"/>
          <w:kern w:val="0"/>
          <w:sz w:val="32"/>
          <w:szCs w:val="32"/>
        </w:rPr>
        <w:t>。到2025年，规模养殖场粪污处理设施配套率、畜禽粪污综合利用率、秸秆综合利用达到分别达到100%、95%、85%以上。</w:t>
      </w:r>
    </w:p>
    <w:p w14:paraId="240FD0E9">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22"/>
        </w:rPr>
      </w:pPr>
      <w:bookmarkStart w:id="155" w:name="_Toc50559159"/>
      <w:bookmarkStart w:id="156" w:name="_Toc108078406"/>
      <w:r>
        <w:rPr>
          <w:rFonts w:eastAsia="方正楷体_GBK"/>
          <w:sz w:val="32"/>
          <w:szCs w:val="22"/>
        </w:rPr>
        <w:t xml:space="preserve">第二节 </w:t>
      </w:r>
      <w:r>
        <w:rPr>
          <w:rFonts w:hint="eastAsia" w:eastAsia="方正楷体_GBK"/>
          <w:sz w:val="32"/>
          <w:szCs w:val="22"/>
          <w:lang w:val="en-US" w:eastAsia="zh-CN"/>
        </w:rPr>
        <w:t xml:space="preserve"> </w:t>
      </w:r>
      <w:r>
        <w:rPr>
          <w:rFonts w:eastAsia="方正楷体_GBK"/>
          <w:sz w:val="32"/>
          <w:szCs w:val="22"/>
        </w:rPr>
        <w:t>强化</w:t>
      </w:r>
      <w:bookmarkEnd w:id="155"/>
      <w:r>
        <w:rPr>
          <w:rFonts w:eastAsia="方正楷体_GBK"/>
          <w:sz w:val="32"/>
          <w:szCs w:val="22"/>
        </w:rPr>
        <w:t>生物资源保护</w:t>
      </w:r>
      <w:bookmarkEnd w:id="156"/>
    </w:p>
    <w:p w14:paraId="2A1F6736">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rPr>
      </w:pPr>
      <w:r>
        <w:rPr>
          <w:rFonts w:eastAsia="方正仿宋_GBK"/>
          <w:b/>
          <w:bCs/>
          <w:sz w:val="32"/>
        </w:rPr>
        <w:t>加强农业生物多样性保护。</w:t>
      </w:r>
      <w:r>
        <w:rPr>
          <w:rFonts w:eastAsia="方正仿宋_GBK"/>
          <w:sz w:val="32"/>
          <w:szCs w:val="32"/>
        </w:rPr>
        <w:t>继续开展农业野生植物资源系统调查，协助完善市级农业资源保护信息数据库</w:t>
      </w:r>
      <w:r>
        <w:rPr>
          <w:rFonts w:eastAsia="方正仿宋_GBK"/>
          <w:sz w:val="32"/>
        </w:rPr>
        <w:t>。</w:t>
      </w:r>
      <w:r>
        <w:rPr>
          <w:rFonts w:eastAsia="方正仿宋_GBK"/>
          <w:sz w:val="32"/>
          <w:szCs w:val="32"/>
        </w:rPr>
        <w:t>加强国家级原生境保护区管护工作，确保保护区正常运行及农业野生植物的正常生长与繁衍。对新发现的濒危珍稀农业野生物种优先实施原生境保护，积极申报原生境保护区建设。开展外来入侵生物全面普查和综合防控，以国家重点管理外来入侵生物为防治对象，建立农业外来入侵生物风险评估、预警及应急响应制度。建立外来入侵物种防治技术体系，建设综合防治和利用示范基地、外来入侵生物天敌繁育基地，推广生物防治、人工和机械防治、化学防治技术，遏制重大外来入侵生物的扩散和蔓延。</w:t>
      </w:r>
    </w:p>
    <w:p w14:paraId="271252B6">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楷体_GBK"/>
          <w:sz w:val="32"/>
          <w:szCs w:val="22"/>
        </w:rPr>
      </w:pPr>
      <w:r>
        <w:rPr>
          <w:rFonts w:eastAsia="方正仿宋_GBK"/>
          <w:b/>
          <w:bCs/>
          <w:sz w:val="32"/>
        </w:rPr>
        <w:t>强化渔业资源养护修复。</w:t>
      </w:r>
      <w:r>
        <w:rPr>
          <w:rFonts w:eastAsia="方正仿宋_GBK"/>
          <w:sz w:val="32"/>
        </w:rPr>
        <w:t>在龙溪河、大沙河、滩涂区域等重点水域实行常年禁捕，清理取缔涉渔“三无”船舶，做好渔民退捕工作，全面禁止水生生物保护区内生产性捕捞，探索生物完整性指数评价体系。</w:t>
      </w:r>
      <w:bookmarkStart w:id="157" w:name="_Toc50559161"/>
      <w:r>
        <w:rPr>
          <w:rFonts w:eastAsia="方正仿宋_GBK"/>
          <w:kern w:val="0"/>
          <w:sz w:val="32"/>
          <w:szCs w:val="30"/>
        </w:rPr>
        <w:t>统筹做好退捕渔民上岸“后半篇文章”，确保退捕渔民转得出、稳得住、能小康。持续推进非法捕捞和销售非法渔获物专项行动。规范开展</w:t>
      </w:r>
      <w:r>
        <w:rPr>
          <w:rFonts w:eastAsia="方正仿宋_GBK"/>
          <w:sz w:val="32"/>
        </w:rPr>
        <w:t>水生生物增殖放流，加强渔业资源调查和监测，协同推进鱼类种质资源库和长江上游珍稀鱼类宣教中心建设。</w:t>
      </w:r>
    </w:p>
    <w:p w14:paraId="3BCC6372">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22"/>
        </w:rPr>
      </w:pPr>
      <w:bookmarkStart w:id="158" w:name="_Toc108078407"/>
      <w:r>
        <w:rPr>
          <w:rFonts w:eastAsia="方正楷体_GBK"/>
          <w:sz w:val="32"/>
          <w:szCs w:val="22"/>
        </w:rPr>
        <w:t xml:space="preserve">第三节 </w:t>
      </w:r>
      <w:r>
        <w:rPr>
          <w:rFonts w:hint="eastAsia" w:eastAsia="方正楷体_GBK"/>
          <w:sz w:val="32"/>
          <w:szCs w:val="22"/>
          <w:lang w:val="en-US" w:eastAsia="zh-CN"/>
        </w:rPr>
        <w:t xml:space="preserve"> </w:t>
      </w:r>
      <w:r>
        <w:rPr>
          <w:rFonts w:eastAsia="方正楷体_GBK"/>
          <w:sz w:val="32"/>
          <w:szCs w:val="22"/>
        </w:rPr>
        <w:t>加强乡村生态保护与修复</w:t>
      </w:r>
      <w:bookmarkEnd w:id="157"/>
      <w:bookmarkEnd w:id="158"/>
    </w:p>
    <w:p w14:paraId="7A2E83C6">
      <w:pPr>
        <w:keepNext w:val="0"/>
        <w:keepLines w:val="0"/>
        <w:pageBreakBefore w:val="0"/>
        <w:widowControl w:val="0"/>
        <w:kinsoku/>
        <w:wordWrap/>
        <w:overflowPunct/>
        <w:topLinePunct w:val="0"/>
        <w:autoSpaceDE/>
        <w:autoSpaceDN/>
        <w:bidi w:val="0"/>
        <w:adjustRightInd/>
        <w:spacing w:line="240" w:lineRule="auto"/>
        <w:ind w:firstLine="632" w:firstLineChars="200"/>
        <w:jc w:val="left"/>
        <w:textAlignment w:val="auto"/>
        <w:rPr>
          <w:rFonts w:eastAsia="方正仿宋_GBK"/>
          <w:b/>
          <w:bCs/>
          <w:kern w:val="0"/>
          <w:sz w:val="32"/>
          <w:szCs w:val="30"/>
        </w:rPr>
      </w:pPr>
      <w:r>
        <w:rPr>
          <w:rFonts w:eastAsia="方正仿宋_GBK"/>
          <w:b/>
          <w:bCs/>
          <w:sz w:val="32"/>
        </w:rPr>
        <w:t>加强重要生态系统保护恢复。</w:t>
      </w:r>
      <w:r>
        <w:rPr>
          <w:rFonts w:eastAsia="方正仿宋_GBK"/>
          <w:kern w:val="0"/>
          <w:sz w:val="32"/>
          <w:szCs w:val="30"/>
        </w:rPr>
        <w:t>划定并严守生态保护红线，建立生态保护红线评价、考核机制，实现一条红线管控重要生态空间。以 “三线一单”划定的环境管控单元为基础，实施全市生态环境分区管控。实行天然林全面保护制度，禁止商品林、天然林采伐。实施森林质量精准提升工程，因地制宜调整优化树种、龄组、林层等系统结构，增强森林生态系统稳定性。加强湿地保护体系建设，对退化湿地实施湿地保护与修复。加强地下水污染防治，启动集中式地下水型饮用水源补给区及周边地下水环境的调查评估，开展地下水污染防治分区划定。加强自然保护区建设，优化自然保护地范围及功能区划，建立完善自然保护地管理制度。加强自然保护地生态廊道建设，促进不同海拔梯度、不同区域内物种基因的有效交流，改善动植物生存环境。</w:t>
      </w:r>
    </w:p>
    <w:p w14:paraId="7881E8B7">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napToGrid w:val="0"/>
          <w:kern w:val="0"/>
          <w:sz w:val="32"/>
          <w:szCs w:val="32"/>
        </w:rPr>
      </w:pPr>
      <w:r>
        <w:rPr>
          <w:rFonts w:eastAsia="方正仿宋_GBK"/>
          <w:b/>
          <w:bCs/>
          <w:sz w:val="32"/>
        </w:rPr>
        <w:t>实施乡村生态修复重大工程。</w:t>
      </w:r>
      <w:r>
        <w:rPr>
          <w:rFonts w:eastAsia="方正仿宋_GBK"/>
          <w:snapToGrid w:val="0"/>
          <w:kern w:val="0"/>
          <w:sz w:val="32"/>
          <w:szCs w:val="32"/>
        </w:rPr>
        <w:t>开展国土绿化提升行动，推进沿江、沿河、沿湖、沿路造林绿化及农田生态林网建设。巩固退耕还林成功、实施天然林保护、防护林建设、重点流域植被恢复等项目。开展重点河流污染综合治理，开展并实施农村面源治理，河道清淤生态修复和保育工程等项目，深入推进龙溪河、大沙河等流域综合治理。以防洪护岸、河道疏浚、清淤清漂、生态恢复、河岸绿化为重点，加强中小河流治理。加强生态退化区保护和建设，推进水土流失和石漠化治理，科学修复生态敏感区、脆弱区、退化区。大力推动水库、江河消落带治理。</w:t>
      </w:r>
    </w:p>
    <w:p w14:paraId="7262A8D0">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kern w:val="0"/>
          <w:sz w:val="32"/>
          <w:szCs w:val="30"/>
        </w:rPr>
      </w:pPr>
      <w:r>
        <w:rPr>
          <w:rFonts w:eastAsia="方正仿宋_GBK"/>
          <w:b/>
          <w:bCs/>
          <w:sz w:val="32"/>
        </w:rPr>
        <w:t>完善乡村生态环境保护制度。</w:t>
      </w:r>
      <w:r>
        <w:rPr>
          <w:rFonts w:eastAsia="方正仿宋_GBK"/>
          <w:kern w:val="0"/>
          <w:sz w:val="32"/>
          <w:szCs w:val="30"/>
        </w:rPr>
        <w:t>全面推广林长制，推动山林资源保护与林业可持续发展。探索健全河长制工作机制，建立完善河长牵头负责、部门齐抓共管的协同推进机制，强化河道源头治理，加强上下游、左右岸、跨区域联防联动，逐步构建权责明确、协调有序、监管严格、保护有力的制度体系。加强统筹协调，进一步完善“三级双总河长、四级河长”组织体系，用好民间参与平台，将河（库）长体系全面延伸至村一级，着力构筑政府、企业和社会共治格局。</w:t>
      </w:r>
    </w:p>
    <w:bookmarkEnd w:id="143"/>
    <w:bookmarkEnd w:id="144"/>
    <w:bookmarkEnd w:id="152"/>
    <w:p w14:paraId="7BE66ECB">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eastAsia="方正黑体_GBK"/>
          <w:sz w:val="32"/>
          <w:szCs w:val="22"/>
        </w:rPr>
      </w:pPr>
      <w:bookmarkStart w:id="159" w:name="_Toc108078408"/>
      <w:r>
        <w:rPr>
          <w:rFonts w:eastAsia="方正黑体_GBK"/>
          <w:sz w:val="32"/>
          <w:szCs w:val="22"/>
        </w:rPr>
        <w:t>第十三章</w:t>
      </w:r>
      <w:r>
        <w:rPr>
          <w:rFonts w:hint="eastAsia" w:eastAsia="方正黑体_GBK"/>
          <w:sz w:val="32"/>
          <w:szCs w:val="22"/>
          <w:lang w:val="en-US" w:eastAsia="zh-CN"/>
        </w:rPr>
        <w:t xml:space="preserve"> </w:t>
      </w:r>
      <w:r>
        <w:rPr>
          <w:rFonts w:eastAsia="方正黑体_GBK"/>
          <w:sz w:val="32"/>
          <w:szCs w:val="22"/>
        </w:rPr>
        <w:t xml:space="preserve"> 保障措施</w:t>
      </w:r>
      <w:bookmarkEnd w:id="159"/>
    </w:p>
    <w:p w14:paraId="3F66085D">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22"/>
        </w:rPr>
      </w:pPr>
      <w:bookmarkStart w:id="160" w:name="_Toc108078409"/>
      <w:r>
        <w:rPr>
          <w:rFonts w:eastAsia="方正楷体_GBK"/>
          <w:sz w:val="32"/>
          <w:szCs w:val="22"/>
        </w:rPr>
        <w:t xml:space="preserve">第一节 </w:t>
      </w:r>
      <w:r>
        <w:rPr>
          <w:rFonts w:hint="eastAsia" w:eastAsia="方正楷体_GBK"/>
          <w:sz w:val="32"/>
          <w:szCs w:val="22"/>
          <w:lang w:val="en-US" w:eastAsia="zh-CN"/>
        </w:rPr>
        <w:t xml:space="preserve"> </w:t>
      </w:r>
      <w:r>
        <w:rPr>
          <w:rFonts w:eastAsia="方正楷体_GBK"/>
          <w:sz w:val="32"/>
          <w:szCs w:val="22"/>
        </w:rPr>
        <w:t>坚持党的全面领导</w:t>
      </w:r>
      <w:bookmarkEnd w:id="160"/>
    </w:p>
    <w:p w14:paraId="5518C8C0">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楷体_GBK"/>
          <w:sz w:val="32"/>
          <w:szCs w:val="22"/>
        </w:rPr>
      </w:pPr>
      <w:r>
        <w:rPr>
          <w:rFonts w:eastAsia="方正仿宋_GBK"/>
          <w:sz w:val="32"/>
        </w:rPr>
        <w:t>加强党对农村工作的全面领导，加强党对农村政治建设、经济建设、文化建设、社会建设、生态文明建设等各项工作的全面领导。深入推进农村党风廉政建设，加强农村纪检监察工作，把落实农村政策情况作为巡察工作重要内容，建立健全农村权力运行监督制度。</w:t>
      </w:r>
      <w:r>
        <w:rPr>
          <w:rFonts w:eastAsia="方正仿宋_GBK"/>
          <w:sz w:val="32"/>
          <w:szCs w:val="36"/>
        </w:rPr>
        <w:t>充分发挥基层党组织在宣传党的主张、贯彻党的决定、领导基层治理、团结动员群众、推动改革发展中的战斗堡垒作用和共产党员的先锋模范作用，带领群众投身农业农村现代化伟大事业。</w:t>
      </w:r>
    </w:p>
    <w:p w14:paraId="487E54EA">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22"/>
        </w:rPr>
      </w:pPr>
      <w:bookmarkStart w:id="161" w:name="_Toc108078410"/>
      <w:r>
        <w:rPr>
          <w:rFonts w:eastAsia="方正楷体_GBK"/>
          <w:sz w:val="32"/>
          <w:szCs w:val="22"/>
        </w:rPr>
        <w:t xml:space="preserve">第二节 </w:t>
      </w:r>
      <w:r>
        <w:rPr>
          <w:rFonts w:hint="eastAsia" w:eastAsia="方正楷体_GBK"/>
          <w:sz w:val="32"/>
          <w:szCs w:val="22"/>
          <w:lang w:val="en-US" w:eastAsia="zh-CN"/>
        </w:rPr>
        <w:t xml:space="preserve"> </w:t>
      </w:r>
      <w:r>
        <w:rPr>
          <w:rFonts w:eastAsia="方正楷体_GBK"/>
          <w:sz w:val="32"/>
          <w:szCs w:val="22"/>
        </w:rPr>
        <w:t>发挥农民主体作用</w:t>
      </w:r>
      <w:bookmarkEnd w:id="161"/>
    </w:p>
    <w:p w14:paraId="420EE66A">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rPr>
      </w:pPr>
      <w:r>
        <w:rPr>
          <w:rFonts w:eastAsia="方正仿宋_GBK"/>
          <w:sz w:val="32"/>
        </w:rPr>
        <w:t>充分发挥农民参与农业农村项目建设的积极性，充分发挥农民主体作用。对财政支持的小型项目，优先安排农村集体经济组织、农民合作组织作为建设管护主体，不断增强广大农民群众推进农业农村现代化的责任感。</w:t>
      </w:r>
      <w:r>
        <w:rPr>
          <w:rFonts w:eastAsia="方正仿宋_GBK"/>
          <w:sz w:val="32"/>
          <w:szCs w:val="36"/>
        </w:rPr>
        <w:t>建立和完善农民参与农业农村现代化发展的制度，拓宽参与渠道，使广大农民能够有效参与乡村重要事务的决策和监督，形成群策群力、共建共享的农业农村现代化新格局。</w:t>
      </w:r>
    </w:p>
    <w:p w14:paraId="002CB052">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rPr>
      </w:pPr>
      <w:bookmarkStart w:id="162" w:name="_Toc108078411"/>
      <w:r>
        <w:rPr>
          <w:rFonts w:eastAsia="方正楷体_GBK"/>
          <w:sz w:val="32"/>
          <w:szCs w:val="22"/>
        </w:rPr>
        <w:t xml:space="preserve">第三节 </w:t>
      </w:r>
      <w:r>
        <w:rPr>
          <w:rFonts w:hint="eastAsia" w:eastAsia="方正楷体_GBK"/>
          <w:sz w:val="32"/>
          <w:szCs w:val="22"/>
          <w:lang w:val="en-US" w:eastAsia="zh-CN"/>
        </w:rPr>
        <w:t xml:space="preserve"> </w:t>
      </w:r>
      <w:r>
        <w:rPr>
          <w:rFonts w:eastAsia="方正楷体_GBK"/>
          <w:sz w:val="32"/>
        </w:rPr>
        <w:t>完善政策支持体系</w:t>
      </w:r>
      <w:bookmarkEnd w:id="162"/>
    </w:p>
    <w:p w14:paraId="7619F5D9">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rPr>
      </w:pPr>
      <w:r>
        <w:rPr>
          <w:rFonts w:eastAsia="方正仿宋_GBK"/>
          <w:kern w:val="0"/>
          <w:sz w:val="32"/>
          <w:szCs w:val="32"/>
        </w:rPr>
        <w:t>继续落实好各项农业补贴政策。加大财政涉农资金整合力度，提高资金使用效益。充分发挥财政资金的杠杆作用，撬动更多社会资本投向农业农村。健全适合农业农村特点的金融体系，把更多金融资源配置到农村经济社会发展的重点领域和薄弱环节。强化支农资金监督管理，提高财政支农资金使用效益。全面落实国家涉农税收优惠政策，减轻农业农村市场主体税收负担。建立健全农业保险保障体系，从覆盖直接物化成本逐步实现覆盖完全成本。</w:t>
      </w:r>
    </w:p>
    <w:p w14:paraId="7B6B0AA5">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22"/>
        </w:rPr>
      </w:pPr>
      <w:bookmarkStart w:id="163" w:name="_Toc108078412"/>
      <w:r>
        <w:rPr>
          <w:rFonts w:eastAsia="方正楷体_GBK"/>
          <w:sz w:val="32"/>
          <w:szCs w:val="22"/>
        </w:rPr>
        <w:t>第四节</w:t>
      </w:r>
      <w:r>
        <w:rPr>
          <w:rFonts w:hint="eastAsia" w:eastAsia="方正楷体_GBK"/>
          <w:sz w:val="32"/>
          <w:szCs w:val="22"/>
          <w:lang w:val="en-US" w:eastAsia="zh-CN"/>
        </w:rPr>
        <w:t xml:space="preserve"> </w:t>
      </w:r>
      <w:r>
        <w:rPr>
          <w:rFonts w:eastAsia="方正楷体_GBK"/>
          <w:sz w:val="32"/>
          <w:szCs w:val="22"/>
        </w:rPr>
        <w:t xml:space="preserve"> 强化重大项目支撑</w:t>
      </w:r>
      <w:bookmarkEnd w:id="163"/>
    </w:p>
    <w:p w14:paraId="15D51B27">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szCs w:val="32"/>
        </w:rPr>
      </w:pPr>
      <w:r>
        <w:rPr>
          <w:rFonts w:eastAsia="方正仿宋_GBK"/>
          <w:sz w:val="32"/>
          <w:szCs w:val="32"/>
        </w:rPr>
        <w:t>实施一批重点工程项目，建立“十四五”重大项目储备库，确保规划发展目标和各项重点任务顺利完成。抓好重大项目建设的关键环节，做好本规划重大项目的实施，稳步推进项目建设，根据规划期，每年竣工一批、开工一批、见效一批。组建重大项目跟进小组，分管领导和政府相关部门积极协调和督促建设单位，抓紧落实项目的阶段性工作。</w:t>
      </w:r>
    </w:p>
    <w:p w14:paraId="59904F92">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22"/>
        </w:rPr>
      </w:pPr>
      <w:bookmarkStart w:id="164" w:name="_Toc108078413"/>
      <w:r>
        <w:rPr>
          <w:rFonts w:eastAsia="方正楷体_GBK"/>
          <w:sz w:val="32"/>
          <w:szCs w:val="22"/>
        </w:rPr>
        <w:t>第五节</w:t>
      </w:r>
      <w:r>
        <w:rPr>
          <w:rFonts w:hint="eastAsia" w:eastAsia="方正楷体_GBK"/>
          <w:sz w:val="32"/>
          <w:szCs w:val="22"/>
          <w:lang w:val="en-US" w:eastAsia="zh-CN"/>
        </w:rPr>
        <w:t xml:space="preserve"> </w:t>
      </w:r>
      <w:r>
        <w:rPr>
          <w:rFonts w:eastAsia="方正楷体_GBK"/>
          <w:sz w:val="32"/>
          <w:szCs w:val="22"/>
        </w:rPr>
        <w:t xml:space="preserve"> 加强规划实施管理</w:t>
      </w:r>
      <w:bookmarkEnd w:id="164"/>
    </w:p>
    <w:p w14:paraId="7DDC32B9">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szCs w:val="32"/>
        </w:rPr>
      </w:pPr>
      <w:bookmarkStart w:id="165" w:name="_Toc54821955"/>
      <w:r>
        <w:rPr>
          <w:rFonts w:eastAsia="方正仿宋_GBK"/>
          <w:sz w:val="32"/>
          <w:szCs w:val="32"/>
        </w:rPr>
        <w:t>加强与重庆市农业农村规划、垫江县乡村振兴规划、国土空间规划、“十四五”国民经济社会发展规划等规划的衔接。建立规划实施督促检查机制，适时开展规划中期评估和总结评估，对各项目标、任务、项目的实施情况和实现情况进行评估和适时调整。创新监测方式，加强农业农村统计工作，运用现代信息技术建立大数据库，全面真实反映规划实施情况，为科学评估及决策提供支撑。</w:t>
      </w:r>
      <w:bookmarkEnd w:id="145"/>
      <w:bookmarkEnd w:id="165"/>
    </w:p>
    <w:p w14:paraId="49E931AF">
      <w:pPr>
        <w:keepNext w:val="0"/>
        <w:keepLines w:val="0"/>
        <w:pageBreakBefore w:val="0"/>
        <w:widowControl w:val="0"/>
        <w:kinsoku/>
        <w:wordWrap/>
        <w:overflowPunct/>
        <w:topLinePunct w:val="0"/>
        <w:autoSpaceDE/>
        <w:autoSpaceDN/>
        <w:bidi w:val="0"/>
        <w:adjustRightInd/>
        <w:spacing w:line="240" w:lineRule="auto"/>
        <w:jc w:val="center"/>
        <w:textAlignment w:val="auto"/>
        <w:outlineLvl w:val="1"/>
        <w:rPr>
          <w:rFonts w:eastAsia="方正楷体_GBK"/>
          <w:sz w:val="32"/>
          <w:szCs w:val="22"/>
        </w:rPr>
      </w:pPr>
      <w:bookmarkStart w:id="166" w:name="_Toc108078414"/>
      <w:r>
        <w:rPr>
          <w:rFonts w:eastAsia="方正楷体_GBK"/>
          <w:sz w:val="32"/>
          <w:szCs w:val="22"/>
        </w:rPr>
        <w:t xml:space="preserve">第六节 </w:t>
      </w:r>
      <w:r>
        <w:rPr>
          <w:rFonts w:hint="eastAsia" w:eastAsia="方正楷体_GBK"/>
          <w:sz w:val="32"/>
          <w:szCs w:val="22"/>
          <w:lang w:val="en-US" w:eastAsia="zh-CN"/>
        </w:rPr>
        <w:t xml:space="preserve"> </w:t>
      </w:r>
      <w:r>
        <w:rPr>
          <w:rFonts w:eastAsia="方正楷体_GBK"/>
          <w:sz w:val="32"/>
          <w:szCs w:val="22"/>
        </w:rPr>
        <w:t>加强规划环评</w:t>
      </w:r>
      <w:bookmarkEnd w:id="166"/>
    </w:p>
    <w:p w14:paraId="552E7F01">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eastAsia="方正仿宋_GBK"/>
          <w:sz w:val="32"/>
          <w:szCs w:val="32"/>
        </w:rPr>
      </w:pPr>
      <w:r>
        <w:rPr>
          <w:rFonts w:eastAsia="方正仿宋_GBK"/>
          <w:sz w:val="32"/>
          <w:szCs w:val="32"/>
        </w:rPr>
        <w:t>始终坚持生态优先、绿色发展，将农村经济社会可持续发展、农民持续增收致富与生态文明建设相结合，对乡村生态振兴提出系列重大举措，大幅降低农业农村发展对环境的负面影响，推动实现农村经济发展与生态环境保护的双赢。积极组织开展规划环境影响跟踪评价，推进规划环评与生态环境分区管控衔接，结合资源环境承载能力，以规划环境影响评价优布局、调结构、转方式。强化建设项目环评指导，做好规划环境影响评价与项目环境影响评价联动，切实发挥环境影响评价源头防控作用。</w:t>
      </w:r>
    </w:p>
    <w:p w14:paraId="148A9645">
      <w:pPr>
        <w:pStyle w:val="10"/>
        <w:keepNext w:val="0"/>
        <w:keepLines w:val="0"/>
        <w:pageBreakBefore w:val="0"/>
        <w:widowControl w:val="0"/>
        <w:kinsoku/>
        <w:wordWrap/>
        <w:overflowPunct/>
        <w:topLinePunct w:val="0"/>
        <w:autoSpaceDE/>
        <w:autoSpaceDN/>
        <w:bidi w:val="0"/>
        <w:adjustRightInd/>
        <w:spacing w:line="240" w:lineRule="auto"/>
        <w:textAlignment w:val="auto"/>
        <w:rPr>
          <w:rFonts w:hint="eastAsia" w:ascii="方正仿宋_GBK" w:hAnsi="方正仿宋_GBK" w:eastAsia="方正仿宋_GBK" w:cs="方正仿宋_GBK"/>
          <w:color w:val="000000"/>
          <w:sz w:val="32"/>
          <w:szCs w:val="32"/>
        </w:rPr>
      </w:pPr>
    </w:p>
    <w:p w14:paraId="7627D23F">
      <w:pPr>
        <w:rPr>
          <w:rFonts w:hint="default" w:ascii="方正仿宋_GBK" w:hAnsi="宋体" w:eastAsia="方正仿宋_GBK" w:cs="宋体"/>
          <w:color w:val="000000"/>
          <w:kern w:val="0"/>
          <w:sz w:val="32"/>
          <w:szCs w:val="32"/>
          <w:lang w:val="en" w:eastAsia="zh-CN"/>
        </w:rPr>
      </w:pPr>
    </w:p>
    <w:p w14:paraId="0A30E431">
      <w:pPr>
        <w:pStyle w:val="2"/>
        <w:rPr>
          <w:rFonts w:hint="default" w:ascii="方正仿宋_GBK" w:hAnsi="宋体" w:eastAsia="方正仿宋_GBK" w:cs="宋体"/>
          <w:color w:val="000000"/>
          <w:kern w:val="0"/>
          <w:sz w:val="32"/>
          <w:szCs w:val="32"/>
          <w:lang w:val="en" w:eastAsia="zh-CN"/>
        </w:rPr>
      </w:pPr>
    </w:p>
    <w:p w14:paraId="53490ADE">
      <w:pPr>
        <w:pStyle w:val="4"/>
        <w:ind w:left="0" w:leftChars="0" w:firstLine="0" w:firstLineChars="0"/>
        <w:rPr>
          <w:rFonts w:hint="default" w:ascii="方正仿宋_GBK" w:hAnsi="宋体" w:eastAsia="方正仿宋_GBK" w:cs="宋体"/>
          <w:color w:val="000000"/>
          <w:kern w:val="0"/>
          <w:sz w:val="32"/>
          <w:szCs w:val="32"/>
          <w:lang w:val="en" w:eastAsia="zh-CN"/>
        </w:rPr>
      </w:pPr>
    </w:p>
    <w:p w14:paraId="14D430D9">
      <w:pPr>
        <w:rPr>
          <w:rFonts w:hint="default" w:ascii="方正仿宋_GBK" w:hAnsi="宋体" w:eastAsia="方正仿宋_GBK" w:cs="宋体"/>
          <w:color w:val="000000"/>
          <w:kern w:val="0"/>
          <w:sz w:val="32"/>
          <w:szCs w:val="32"/>
          <w:lang w:val="en" w:eastAsia="zh-CN"/>
        </w:rPr>
      </w:pPr>
    </w:p>
    <w:p w14:paraId="1223AD26">
      <w:pPr>
        <w:pStyle w:val="4"/>
        <w:rPr>
          <w:rFonts w:hint="default" w:ascii="方正仿宋_GBK" w:hAnsi="宋体" w:eastAsia="方正仿宋_GBK" w:cs="宋体"/>
          <w:color w:val="000000"/>
          <w:kern w:val="0"/>
          <w:sz w:val="32"/>
          <w:szCs w:val="32"/>
          <w:lang w:val="en" w:eastAsia="zh-CN"/>
        </w:rPr>
      </w:pPr>
    </w:p>
    <w:p w14:paraId="34B90B14">
      <w:pPr>
        <w:rPr>
          <w:rFonts w:hint="default" w:ascii="方正仿宋_GBK" w:hAnsi="宋体" w:eastAsia="方正仿宋_GBK" w:cs="宋体"/>
          <w:color w:val="000000"/>
          <w:kern w:val="0"/>
          <w:sz w:val="32"/>
          <w:szCs w:val="32"/>
          <w:lang w:val="en" w:eastAsia="zh-CN"/>
        </w:rPr>
      </w:pPr>
    </w:p>
    <w:p w14:paraId="3332D801">
      <w:pPr>
        <w:pStyle w:val="4"/>
        <w:rPr>
          <w:rFonts w:hint="default" w:ascii="方正仿宋_GBK" w:hAnsi="宋体" w:eastAsia="方正仿宋_GBK" w:cs="宋体"/>
          <w:color w:val="000000"/>
          <w:kern w:val="0"/>
          <w:sz w:val="32"/>
          <w:szCs w:val="32"/>
          <w:lang w:val="en" w:eastAsia="zh-CN"/>
        </w:rPr>
      </w:pPr>
    </w:p>
    <w:p w14:paraId="4F35B664">
      <w:pPr>
        <w:rPr>
          <w:rFonts w:hint="default" w:ascii="方正仿宋_GBK" w:hAnsi="宋体" w:eastAsia="方正仿宋_GBK" w:cs="宋体"/>
          <w:color w:val="000000"/>
          <w:kern w:val="0"/>
          <w:sz w:val="32"/>
          <w:szCs w:val="32"/>
          <w:lang w:val="en" w:eastAsia="zh-CN"/>
        </w:rPr>
      </w:pPr>
    </w:p>
    <w:p w14:paraId="579BCD2E">
      <w:pPr>
        <w:rPr>
          <w:rFonts w:hint="default"/>
          <w:color w:val="000000"/>
          <w:lang w:val="en" w:eastAsia="zh-CN"/>
        </w:rPr>
      </w:pPr>
    </w:p>
    <w:p w14:paraId="5B58D409">
      <w:pPr>
        <w:pStyle w:val="2"/>
        <w:rPr>
          <w:rFonts w:hint="default"/>
          <w:color w:val="000000"/>
          <w:lang w:val="en" w:eastAsia="zh-CN"/>
        </w:rPr>
      </w:pPr>
    </w:p>
    <w:p w14:paraId="269E4375">
      <w:pPr>
        <w:rPr>
          <w:rFonts w:hint="default"/>
          <w:lang w:val="en" w:eastAsia="zh-CN"/>
        </w:rPr>
      </w:pPr>
    </w:p>
    <w:p w14:paraId="36C6F485">
      <w:pPr>
        <w:rPr>
          <w:rFonts w:hint="default"/>
          <w:color w:val="000000"/>
          <w:lang w:val="en" w:eastAsia="zh-CN"/>
        </w:rPr>
      </w:pPr>
    </w:p>
    <w:p w14:paraId="2DFA8054">
      <w:pPr>
        <w:pStyle w:val="4"/>
        <w:ind w:left="0" w:leftChars="0" w:firstLine="0" w:firstLineChars="0"/>
        <w:rPr>
          <w:rFonts w:hint="default" w:ascii="Times New Roman" w:hAnsi="Times New Roman" w:eastAsia="宋体" w:cs="Times New Roman"/>
          <w:color w:val="000000"/>
          <w:lang w:val="en" w:eastAsia="zh-CN"/>
        </w:rPr>
      </w:pPr>
    </w:p>
    <w:p w14:paraId="64B3F552">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方正仿宋_GBK" w:hAnsi="宋体" w:eastAsia="方正仿宋_GBK" w:cs="宋体"/>
          <w:color w:val="000000"/>
          <w:kern w:val="0"/>
          <w:sz w:val="32"/>
          <w:szCs w:val="32"/>
          <w:lang w:val="en" w:eastAsia="zh-CN"/>
        </w:rPr>
      </w:pPr>
    </w:p>
    <w:p w14:paraId="66805FFE">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20" w:lineRule="exact"/>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 xml:space="preserve">  </w:t>
      </w:r>
      <w:r>
        <w:rPr>
          <w:rFonts w:hint="eastAsia" w:ascii="方正仿宋_GBK" w:eastAsia="方正仿宋_GBK"/>
          <w:color w:val="000000"/>
          <w:sz w:val="28"/>
          <w:szCs w:val="28"/>
          <w:lang w:eastAsia="zh-CN"/>
        </w:rPr>
        <w:t>抄</w:t>
      </w:r>
      <w:r>
        <w:rPr>
          <w:rFonts w:hint="eastAsia" w:eastAsia="方正仿宋_GBK"/>
          <w:color w:val="000000"/>
          <w:sz w:val="28"/>
          <w:szCs w:val="28"/>
        </w:rPr>
        <w:t>送：</w:t>
      </w:r>
      <w:r>
        <w:rPr>
          <w:rFonts w:hint="eastAsia" w:ascii="方正仿宋_GBK" w:eastAsia="方正仿宋_GBK"/>
          <w:color w:val="000000"/>
          <w:sz w:val="28"/>
          <w:szCs w:val="28"/>
        </w:rPr>
        <w:t>县委</w:t>
      </w:r>
      <w:r>
        <w:rPr>
          <w:rFonts w:hint="eastAsia" w:ascii="方正仿宋_GBK" w:eastAsia="方正仿宋_GBK"/>
          <w:color w:val="000000"/>
          <w:sz w:val="28"/>
          <w:szCs w:val="28"/>
          <w:lang w:eastAsia="zh-CN"/>
        </w:rPr>
        <w:t>各部、委、室，</w:t>
      </w:r>
      <w:r>
        <w:rPr>
          <w:rFonts w:hint="eastAsia" w:ascii="方正仿宋_GBK" w:eastAsia="方正仿宋_GBK"/>
          <w:color w:val="000000"/>
          <w:sz w:val="28"/>
          <w:szCs w:val="28"/>
        </w:rPr>
        <w:t>县人大常委会办公室、县政协办公室，县</w:t>
      </w:r>
    </w:p>
    <w:p w14:paraId="223273DE">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20" w:lineRule="exact"/>
        <w:ind w:firstLine="1104" w:firstLineChars="400"/>
        <w:textAlignment w:val="auto"/>
        <w:rPr>
          <w:rFonts w:hint="eastAsia" w:ascii="方正仿宋_GBK" w:eastAsia="方正仿宋_GBK"/>
          <w:color w:val="000000"/>
          <w:sz w:val="28"/>
          <w:szCs w:val="28"/>
        </w:rPr>
      </w:pPr>
      <w:r>
        <w:rPr>
          <w:rFonts w:hint="eastAsia" w:ascii="方正仿宋_GBK" w:eastAsia="方正仿宋_GBK"/>
          <w:color w:val="000000"/>
          <w:sz w:val="28"/>
          <w:szCs w:val="28"/>
        </w:rPr>
        <w:t>监察委、</w:t>
      </w:r>
      <w:r>
        <w:rPr>
          <w:rFonts w:hint="eastAsia" w:ascii="方正仿宋_GBK" w:eastAsia="方正仿宋_GBK"/>
          <w:color w:val="000000"/>
          <w:sz w:val="28"/>
          <w:szCs w:val="28"/>
          <w:lang w:eastAsia="zh-CN"/>
        </w:rPr>
        <w:t>县</w:t>
      </w:r>
      <w:r>
        <w:rPr>
          <w:rFonts w:hint="eastAsia" w:ascii="方正仿宋_GBK" w:eastAsia="方正仿宋_GBK"/>
          <w:color w:val="000000"/>
          <w:sz w:val="28"/>
          <w:szCs w:val="28"/>
        </w:rPr>
        <w:t>法院、</w:t>
      </w:r>
      <w:r>
        <w:rPr>
          <w:rFonts w:hint="eastAsia" w:ascii="方正仿宋_GBK" w:eastAsia="方正仿宋_GBK"/>
          <w:color w:val="000000"/>
          <w:sz w:val="28"/>
          <w:szCs w:val="28"/>
          <w:lang w:eastAsia="zh-CN"/>
        </w:rPr>
        <w:t>县</w:t>
      </w:r>
      <w:r>
        <w:rPr>
          <w:rFonts w:hint="eastAsia" w:ascii="方正仿宋_GBK" w:eastAsia="方正仿宋_GBK"/>
          <w:color w:val="000000"/>
          <w:sz w:val="28"/>
          <w:szCs w:val="28"/>
        </w:rPr>
        <w:t>检察院，县人武部</w:t>
      </w:r>
      <w:r>
        <w:rPr>
          <w:rFonts w:hint="eastAsia" w:ascii="方正仿宋_GBK" w:eastAsia="方正仿宋_GBK"/>
          <w:color w:val="000000"/>
          <w:sz w:val="28"/>
          <w:szCs w:val="28"/>
          <w:lang w:eastAsia="zh-CN"/>
        </w:rPr>
        <w:t>，各人民团体、驻垫单位</w:t>
      </w:r>
      <w:r>
        <w:rPr>
          <w:rFonts w:hint="eastAsia" w:ascii="方正仿宋_GBK" w:eastAsia="方正仿宋_GBK"/>
          <w:color w:val="000000"/>
          <w:sz w:val="28"/>
          <w:szCs w:val="28"/>
        </w:rPr>
        <w:t>。</w:t>
      </w:r>
    </w:p>
    <w:p w14:paraId="1F8962FA">
      <w:pPr>
        <w:pBdr>
          <w:top w:val="none" w:color="auto" w:sz="0" w:space="1"/>
          <w:bottom w:val="single" w:color="auto" w:sz="4" w:space="1"/>
        </w:pBdr>
        <w:spacing w:line="520" w:lineRule="exact"/>
      </w:pPr>
      <w:r>
        <w:rPr>
          <w:rFonts w:hint="eastAsia" w:ascii="方正仿宋_GBK" w:eastAsia="方正仿宋_GBK"/>
          <w:color w:val="000000"/>
          <w:sz w:val="28"/>
          <w:szCs w:val="28"/>
          <w:lang w:val="en-US" w:eastAsia="zh-CN"/>
        </w:rPr>
        <w:t xml:space="preserve">  垫江县人民政府办公室                     202</w:t>
      </w:r>
      <w:r>
        <w:rPr>
          <w:rFonts w:hint="default" w:ascii="方正仿宋_GBK" w:eastAsia="方正仿宋_GBK"/>
          <w:color w:val="000000"/>
          <w:sz w:val="28"/>
          <w:szCs w:val="28"/>
          <w:lang w:val="en" w:eastAsia="zh-CN"/>
        </w:rPr>
        <w:t>2</w:t>
      </w:r>
      <w:r>
        <w:rPr>
          <w:rFonts w:hint="eastAsia" w:ascii="方正仿宋_GBK" w:eastAsia="方正仿宋_GBK"/>
          <w:color w:val="000000"/>
          <w:sz w:val="28"/>
          <w:szCs w:val="28"/>
          <w:lang w:val="en-US" w:eastAsia="zh-CN"/>
        </w:rPr>
        <w:t>年7月20日印发</w:t>
      </w:r>
      <w:bookmarkEnd w:id="1"/>
    </w:p>
    <w:sectPr>
      <w:footerReference r:id="rId3" w:type="default"/>
      <w:footerReference r:id="rId4" w:type="even"/>
      <w:pgSz w:w="11906" w:h="16838"/>
      <w:pgMar w:top="2098" w:right="1474" w:bottom="1984" w:left="1588" w:header="851" w:footer="1474" w:gutter="0"/>
      <w:cols w:space="720" w:num="1"/>
      <w:rtlGutter w:val="0"/>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7287">
    <w:pPr>
      <w:pStyle w:val="10"/>
      <w:ind w:left="357" w:right="357"/>
      <w:jc w:val="right"/>
    </w:pPr>
    <w:r>
      <w:rPr>
        <w:rStyle w:val="18"/>
        <w:rFonts w:ascii="宋体" w:hAnsi="宋体"/>
        <w:sz w:val="28"/>
      </w:rPr>
      <w:t xml:space="preserve">— </w:t>
    </w:r>
    <w:r>
      <w:rPr>
        <w:rFonts w:ascii="宋体" w:hAnsi="宋体"/>
        <w:sz w:val="28"/>
      </w:rPr>
      <w:fldChar w:fldCharType="begin"/>
    </w:r>
    <w:r>
      <w:rPr>
        <w:rStyle w:val="18"/>
        <w:rFonts w:ascii="宋体" w:hAnsi="宋体"/>
        <w:sz w:val="28"/>
      </w:rPr>
      <w:instrText xml:space="preserve">PAGE  </w:instrText>
    </w:r>
    <w:r>
      <w:rPr>
        <w:rFonts w:ascii="宋体" w:hAnsi="宋体"/>
        <w:sz w:val="28"/>
      </w:rPr>
      <w:fldChar w:fldCharType="separate"/>
    </w:r>
    <w:r>
      <w:rPr>
        <w:rStyle w:val="18"/>
        <w:rFonts w:ascii="宋体" w:hAnsi="宋体"/>
        <w:sz w:val="28"/>
      </w:rPr>
      <w:t>1</w:t>
    </w:r>
    <w:r>
      <w:rPr>
        <w:rFonts w:ascii="宋体" w:hAnsi="宋体"/>
        <w:sz w:val="28"/>
      </w:rPr>
      <w:fldChar w:fldCharType="end"/>
    </w:r>
    <w:r>
      <w:rPr>
        <w:rStyle w:val="18"/>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7749C">
    <w:pPr>
      <w:pStyle w:val="10"/>
      <w:ind w:left="357" w:right="357"/>
      <w:jc w:val="left"/>
      <w:rPr>
        <w:rFonts w:hint="eastAsia" w:ascii="宋体" w:hAnsi="宋体"/>
        <w:sz w:val="28"/>
      </w:rPr>
    </w:pPr>
    <w:r>
      <w:rPr>
        <w:rStyle w:val="18"/>
        <w:rFonts w:ascii="宋体" w:hAnsi="宋体"/>
        <w:sz w:val="28"/>
      </w:rPr>
      <w:t xml:space="preserve">— </w:t>
    </w:r>
    <w:r>
      <w:rPr>
        <w:rFonts w:ascii="宋体" w:hAnsi="宋体"/>
        <w:sz w:val="28"/>
      </w:rPr>
      <w:fldChar w:fldCharType="begin"/>
    </w:r>
    <w:r>
      <w:rPr>
        <w:rStyle w:val="18"/>
        <w:rFonts w:ascii="宋体" w:hAnsi="宋体"/>
        <w:sz w:val="28"/>
      </w:rPr>
      <w:instrText xml:space="preserve">PAGE  </w:instrText>
    </w:r>
    <w:r>
      <w:rPr>
        <w:rFonts w:ascii="宋体" w:hAnsi="宋体"/>
        <w:sz w:val="28"/>
      </w:rPr>
      <w:fldChar w:fldCharType="separate"/>
    </w:r>
    <w:r>
      <w:rPr>
        <w:rStyle w:val="18"/>
        <w:rFonts w:ascii="宋体" w:hAnsi="宋体"/>
        <w:sz w:val="28"/>
      </w:rPr>
      <w:t>2</w:t>
    </w:r>
    <w:r>
      <w:rPr>
        <w:rFonts w:ascii="宋体" w:hAnsi="宋体"/>
        <w:sz w:val="28"/>
      </w:rPr>
      <w:fldChar w:fldCharType="end"/>
    </w:r>
    <w:r>
      <w:rPr>
        <w:rStyle w:val="18"/>
        <w:rFonts w:ascii="宋体" w:hAnsi="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03"/>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F766F1"/>
    <w:rsid w:val="00000813"/>
    <w:rsid w:val="000030BE"/>
    <w:rsid w:val="00004A82"/>
    <w:rsid w:val="00007DAC"/>
    <w:rsid w:val="000134F2"/>
    <w:rsid w:val="0001357A"/>
    <w:rsid w:val="000208FE"/>
    <w:rsid w:val="00023A38"/>
    <w:rsid w:val="00033FAA"/>
    <w:rsid w:val="0004044D"/>
    <w:rsid w:val="00047CA8"/>
    <w:rsid w:val="0005147D"/>
    <w:rsid w:val="00055D00"/>
    <w:rsid w:val="00057F1D"/>
    <w:rsid w:val="000640BA"/>
    <w:rsid w:val="000729A3"/>
    <w:rsid w:val="00074998"/>
    <w:rsid w:val="000755C0"/>
    <w:rsid w:val="00076253"/>
    <w:rsid w:val="00077CE0"/>
    <w:rsid w:val="00083A59"/>
    <w:rsid w:val="00087753"/>
    <w:rsid w:val="00091909"/>
    <w:rsid w:val="0009205A"/>
    <w:rsid w:val="000A3E65"/>
    <w:rsid w:val="000B3058"/>
    <w:rsid w:val="000B3335"/>
    <w:rsid w:val="000B4BB4"/>
    <w:rsid w:val="000B7B75"/>
    <w:rsid w:val="000C421C"/>
    <w:rsid w:val="000C731D"/>
    <w:rsid w:val="000E7228"/>
    <w:rsid w:val="000F4835"/>
    <w:rsid w:val="00104D50"/>
    <w:rsid w:val="001063D0"/>
    <w:rsid w:val="0011182C"/>
    <w:rsid w:val="00113561"/>
    <w:rsid w:val="00124C54"/>
    <w:rsid w:val="00131322"/>
    <w:rsid w:val="00142959"/>
    <w:rsid w:val="0014470B"/>
    <w:rsid w:val="001452E2"/>
    <w:rsid w:val="001453DA"/>
    <w:rsid w:val="0014733A"/>
    <w:rsid w:val="00150192"/>
    <w:rsid w:val="00156654"/>
    <w:rsid w:val="00157FDC"/>
    <w:rsid w:val="001604A3"/>
    <w:rsid w:val="001663E5"/>
    <w:rsid w:val="00166566"/>
    <w:rsid w:val="00171EAF"/>
    <w:rsid w:val="00172AEA"/>
    <w:rsid w:val="001759B2"/>
    <w:rsid w:val="00180143"/>
    <w:rsid w:val="001851FB"/>
    <w:rsid w:val="001B3E63"/>
    <w:rsid w:val="001B6A33"/>
    <w:rsid w:val="001B793F"/>
    <w:rsid w:val="001C28B6"/>
    <w:rsid w:val="001C600E"/>
    <w:rsid w:val="001E02A1"/>
    <w:rsid w:val="001E3685"/>
    <w:rsid w:val="001E461F"/>
    <w:rsid w:val="001F164D"/>
    <w:rsid w:val="001F6E5F"/>
    <w:rsid w:val="00204134"/>
    <w:rsid w:val="00212D2B"/>
    <w:rsid w:val="002144E5"/>
    <w:rsid w:val="00216F1D"/>
    <w:rsid w:val="0022672F"/>
    <w:rsid w:val="0023638D"/>
    <w:rsid w:val="00240A4B"/>
    <w:rsid w:val="00247B75"/>
    <w:rsid w:val="002509E2"/>
    <w:rsid w:val="0025421C"/>
    <w:rsid w:val="002542A4"/>
    <w:rsid w:val="0025718D"/>
    <w:rsid w:val="00264096"/>
    <w:rsid w:val="002734E0"/>
    <w:rsid w:val="00286EAC"/>
    <w:rsid w:val="00291410"/>
    <w:rsid w:val="00296FBA"/>
    <w:rsid w:val="002A6E74"/>
    <w:rsid w:val="002B0A00"/>
    <w:rsid w:val="002B48E7"/>
    <w:rsid w:val="002B6E94"/>
    <w:rsid w:val="002C0303"/>
    <w:rsid w:val="002C15D5"/>
    <w:rsid w:val="002C3CE2"/>
    <w:rsid w:val="002D02C7"/>
    <w:rsid w:val="002D6F70"/>
    <w:rsid w:val="002E45CB"/>
    <w:rsid w:val="002F0405"/>
    <w:rsid w:val="002F2257"/>
    <w:rsid w:val="002F342D"/>
    <w:rsid w:val="00307940"/>
    <w:rsid w:val="00310A1B"/>
    <w:rsid w:val="00312022"/>
    <w:rsid w:val="0032127C"/>
    <w:rsid w:val="0033472B"/>
    <w:rsid w:val="00350BA0"/>
    <w:rsid w:val="00354E44"/>
    <w:rsid w:val="0035502B"/>
    <w:rsid w:val="0035586A"/>
    <w:rsid w:val="00364A36"/>
    <w:rsid w:val="00383541"/>
    <w:rsid w:val="003931D5"/>
    <w:rsid w:val="00395CC2"/>
    <w:rsid w:val="003A4156"/>
    <w:rsid w:val="003A52F3"/>
    <w:rsid w:val="003C248B"/>
    <w:rsid w:val="003C257D"/>
    <w:rsid w:val="003C26A7"/>
    <w:rsid w:val="003E4D8A"/>
    <w:rsid w:val="003E6CC7"/>
    <w:rsid w:val="00400970"/>
    <w:rsid w:val="004030A6"/>
    <w:rsid w:val="004054ED"/>
    <w:rsid w:val="00405845"/>
    <w:rsid w:val="00425B0C"/>
    <w:rsid w:val="00430DEE"/>
    <w:rsid w:val="0043208F"/>
    <w:rsid w:val="004371A9"/>
    <w:rsid w:val="00443158"/>
    <w:rsid w:val="00443D5C"/>
    <w:rsid w:val="00445320"/>
    <w:rsid w:val="00453888"/>
    <w:rsid w:val="0045392E"/>
    <w:rsid w:val="00453A42"/>
    <w:rsid w:val="00455337"/>
    <w:rsid w:val="00456048"/>
    <w:rsid w:val="00457D7C"/>
    <w:rsid w:val="00463B1B"/>
    <w:rsid w:val="0046447D"/>
    <w:rsid w:val="00476CB0"/>
    <w:rsid w:val="00476F4F"/>
    <w:rsid w:val="00483539"/>
    <w:rsid w:val="00491446"/>
    <w:rsid w:val="00491DA4"/>
    <w:rsid w:val="00494BD3"/>
    <w:rsid w:val="004A3733"/>
    <w:rsid w:val="004A6077"/>
    <w:rsid w:val="004B03F4"/>
    <w:rsid w:val="004B27F4"/>
    <w:rsid w:val="004B2947"/>
    <w:rsid w:val="004B50B2"/>
    <w:rsid w:val="004C0DBC"/>
    <w:rsid w:val="004C5F5B"/>
    <w:rsid w:val="004D005F"/>
    <w:rsid w:val="004D6F84"/>
    <w:rsid w:val="004F1323"/>
    <w:rsid w:val="004F37EE"/>
    <w:rsid w:val="005043C4"/>
    <w:rsid w:val="00504A6B"/>
    <w:rsid w:val="00506FB2"/>
    <w:rsid w:val="00525CCB"/>
    <w:rsid w:val="00526757"/>
    <w:rsid w:val="00533BFC"/>
    <w:rsid w:val="005374AD"/>
    <w:rsid w:val="00541A9A"/>
    <w:rsid w:val="00547784"/>
    <w:rsid w:val="00563D7E"/>
    <w:rsid w:val="00564E5E"/>
    <w:rsid w:val="00565051"/>
    <w:rsid w:val="005662C3"/>
    <w:rsid w:val="005707E5"/>
    <w:rsid w:val="005824A5"/>
    <w:rsid w:val="00584912"/>
    <w:rsid w:val="00593355"/>
    <w:rsid w:val="005935D3"/>
    <w:rsid w:val="005A2859"/>
    <w:rsid w:val="005A4D29"/>
    <w:rsid w:val="005A7955"/>
    <w:rsid w:val="005C1AF2"/>
    <w:rsid w:val="005C363E"/>
    <w:rsid w:val="005D0891"/>
    <w:rsid w:val="005E11B7"/>
    <w:rsid w:val="005E23EF"/>
    <w:rsid w:val="00603E10"/>
    <w:rsid w:val="00617AB2"/>
    <w:rsid w:val="0063637C"/>
    <w:rsid w:val="006368BB"/>
    <w:rsid w:val="00637048"/>
    <w:rsid w:val="00637E40"/>
    <w:rsid w:val="00647039"/>
    <w:rsid w:val="006473DA"/>
    <w:rsid w:val="006501DC"/>
    <w:rsid w:val="00650753"/>
    <w:rsid w:val="00651111"/>
    <w:rsid w:val="00656A85"/>
    <w:rsid w:val="00665830"/>
    <w:rsid w:val="00666B5A"/>
    <w:rsid w:val="006712FD"/>
    <w:rsid w:val="006748A9"/>
    <w:rsid w:val="00686C93"/>
    <w:rsid w:val="00690221"/>
    <w:rsid w:val="006A15CF"/>
    <w:rsid w:val="006C596A"/>
    <w:rsid w:val="006F45EC"/>
    <w:rsid w:val="006F4649"/>
    <w:rsid w:val="006F466C"/>
    <w:rsid w:val="00704674"/>
    <w:rsid w:val="007142CB"/>
    <w:rsid w:val="00717AA8"/>
    <w:rsid w:val="00717FD5"/>
    <w:rsid w:val="00732C97"/>
    <w:rsid w:val="0073445B"/>
    <w:rsid w:val="00735B3F"/>
    <w:rsid w:val="007375CD"/>
    <w:rsid w:val="00751D7F"/>
    <w:rsid w:val="0075235A"/>
    <w:rsid w:val="0075338B"/>
    <w:rsid w:val="0075616D"/>
    <w:rsid w:val="00756416"/>
    <w:rsid w:val="00770155"/>
    <w:rsid w:val="00770FED"/>
    <w:rsid w:val="00782262"/>
    <w:rsid w:val="007825DE"/>
    <w:rsid w:val="007844BD"/>
    <w:rsid w:val="00784FA3"/>
    <w:rsid w:val="00790569"/>
    <w:rsid w:val="00793BCF"/>
    <w:rsid w:val="007A3080"/>
    <w:rsid w:val="007C1CF3"/>
    <w:rsid w:val="007C474F"/>
    <w:rsid w:val="007C4F09"/>
    <w:rsid w:val="007C663C"/>
    <w:rsid w:val="007C722C"/>
    <w:rsid w:val="007D08D6"/>
    <w:rsid w:val="007D0C3B"/>
    <w:rsid w:val="007D2AE8"/>
    <w:rsid w:val="007F13E9"/>
    <w:rsid w:val="007F6198"/>
    <w:rsid w:val="0080171A"/>
    <w:rsid w:val="00807F90"/>
    <w:rsid w:val="008101B6"/>
    <w:rsid w:val="00810C1B"/>
    <w:rsid w:val="0081418F"/>
    <w:rsid w:val="00815C92"/>
    <w:rsid w:val="0083154F"/>
    <w:rsid w:val="00845E2D"/>
    <w:rsid w:val="00846B23"/>
    <w:rsid w:val="00870AC7"/>
    <w:rsid w:val="00883195"/>
    <w:rsid w:val="00885F43"/>
    <w:rsid w:val="008B2239"/>
    <w:rsid w:val="008B76A0"/>
    <w:rsid w:val="008C0C67"/>
    <w:rsid w:val="008C573C"/>
    <w:rsid w:val="008C7ECB"/>
    <w:rsid w:val="008E22B5"/>
    <w:rsid w:val="008E357B"/>
    <w:rsid w:val="008E616F"/>
    <w:rsid w:val="008F3BAD"/>
    <w:rsid w:val="0090351C"/>
    <w:rsid w:val="0090395B"/>
    <w:rsid w:val="00904C42"/>
    <w:rsid w:val="00906E9F"/>
    <w:rsid w:val="00907BA8"/>
    <w:rsid w:val="00910480"/>
    <w:rsid w:val="00916235"/>
    <w:rsid w:val="00917E5F"/>
    <w:rsid w:val="00936FA7"/>
    <w:rsid w:val="00940F9F"/>
    <w:rsid w:val="00946538"/>
    <w:rsid w:val="0095786E"/>
    <w:rsid w:val="00957D13"/>
    <w:rsid w:val="00960783"/>
    <w:rsid w:val="00962988"/>
    <w:rsid w:val="009734DC"/>
    <w:rsid w:val="00976A16"/>
    <w:rsid w:val="00991230"/>
    <w:rsid w:val="009919DB"/>
    <w:rsid w:val="009956A0"/>
    <w:rsid w:val="0099576E"/>
    <w:rsid w:val="009A4D42"/>
    <w:rsid w:val="009A66A9"/>
    <w:rsid w:val="009B367F"/>
    <w:rsid w:val="009B581F"/>
    <w:rsid w:val="009C05FC"/>
    <w:rsid w:val="009C5485"/>
    <w:rsid w:val="009C6FBE"/>
    <w:rsid w:val="009D59F0"/>
    <w:rsid w:val="009E7ECE"/>
    <w:rsid w:val="009F0EE7"/>
    <w:rsid w:val="009F6D9E"/>
    <w:rsid w:val="009F7445"/>
    <w:rsid w:val="009F74DE"/>
    <w:rsid w:val="00A02353"/>
    <w:rsid w:val="00A0490A"/>
    <w:rsid w:val="00A11921"/>
    <w:rsid w:val="00A126C8"/>
    <w:rsid w:val="00A12CD2"/>
    <w:rsid w:val="00A153DE"/>
    <w:rsid w:val="00A2234D"/>
    <w:rsid w:val="00A31271"/>
    <w:rsid w:val="00A44039"/>
    <w:rsid w:val="00A61AD6"/>
    <w:rsid w:val="00A62EF0"/>
    <w:rsid w:val="00A63C5E"/>
    <w:rsid w:val="00A66C8F"/>
    <w:rsid w:val="00A7328C"/>
    <w:rsid w:val="00A74412"/>
    <w:rsid w:val="00A758E0"/>
    <w:rsid w:val="00A94EFA"/>
    <w:rsid w:val="00A96D2B"/>
    <w:rsid w:val="00AA2011"/>
    <w:rsid w:val="00AA62B0"/>
    <w:rsid w:val="00AC610A"/>
    <w:rsid w:val="00AD3523"/>
    <w:rsid w:val="00AF1BF7"/>
    <w:rsid w:val="00AF7B1B"/>
    <w:rsid w:val="00B026E2"/>
    <w:rsid w:val="00B0739E"/>
    <w:rsid w:val="00B078C0"/>
    <w:rsid w:val="00B1212D"/>
    <w:rsid w:val="00B20F6B"/>
    <w:rsid w:val="00B244C2"/>
    <w:rsid w:val="00B26744"/>
    <w:rsid w:val="00B364B7"/>
    <w:rsid w:val="00B40170"/>
    <w:rsid w:val="00B416E0"/>
    <w:rsid w:val="00B424CB"/>
    <w:rsid w:val="00B530A0"/>
    <w:rsid w:val="00B57356"/>
    <w:rsid w:val="00B7618C"/>
    <w:rsid w:val="00B94B73"/>
    <w:rsid w:val="00BA1262"/>
    <w:rsid w:val="00BA6F30"/>
    <w:rsid w:val="00BA7430"/>
    <w:rsid w:val="00BC120E"/>
    <w:rsid w:val="00BC1880"/>
    <w:rsid w:val="00BD15E0"/>
    <w:rsid w:val="00BD44A6"/>
    <w:rsid w:val="00BD6509"/>
    <w:rsid w:val="00BE423B"/>
    <w:rsid w:val="00BE70B2"/>
    <w:rsid w:val="00BF34F1"/>
    <w:rsid w:val="00BF4417"/>
    <w:rsid w:val="00BF4EC9"/>
    <w:rsid w:val="00C004E1"/>
    <w:rsid w:val="00C0139C"/>
    <w:rsid w:val="00C06EE9"/>
    <w:rsid w:val="00C1337B"/>
    <w:rsid w:val="00C15A65"/>
    <w:rsid w:val="00C2571D"/>
    <w:rsid w:val="00C25CF9"/>
    <w:rsid w:val="00C309D6"/>
    <w:rsid w:val="00C36580"/>
    <w:rsid w:val="00C404FB"/>
    <w:rsid w:val="00C4529A"/>
    <w:rsid w:val="00C4547A"/>
    <w:rsid w:val="00C52F49"/>
    <w:rsid w:val="00C55244"/>
    <w:rsid w:val="00C62D21"/>
    <w:rsid w:val="00C7296F"/>
    <w:rsid w:val="00C73BA7"/>
    <w:rsid w:val="00CB4433"/>
    <w:rsid w:val="00CC661D"/>
    <w:rsid w:val="00CD52A1"/>
    <w:rsid w:val="00CE0147"/>
    <w:rsid w:val="00CF180D"/>
    <w:rsid w:val="00CF5DAD"/>
    <w:rsid w:val="00CF7B7D"/>
    <w:rsid w:val="00D009CA"/>
    <w:rsid w:val="00D01E38"/>
    <w:rsid w:val="00D06C54"/>
    <w:rsid w:val="00D11A89"/>
    <w:rsid w:val="00D173A7"/>
    <w:rsid w:val="00D221FA"/>
    <w:rsid w:val="00D271E1"/>
    <w:rsid w:val="00D331D3"/>
    <w:rsid w:val="00D33F07"/>
    <w:rsid w:val="00D553B5"/>
    <w:rsid w:val="00D622EF"/>
    <w:rsid w:val="00D62850"/>
    <w:rsid w:val="00D66FF4"/>
    <w:rsid w:val="00D677AB"/>
    <w:rsid w:val="00D72F14"/>
    <w:rsid w:val="00D738D4"/>
    <w:rsid w:val="00D75CED"/>
    <w:rsid w:val="00D75DD5"/>
    <w:rsid w:val="00D808A6"/>
    <w:rsid w:val="00D83B4E"/>
    <w:rsid w:val="00D84F09"/>
    <w:rsid w:val="00D87BBE"/>
    <w:rsid w:val="00D955E9"/>
    <w:rsid w:val="00D95BD7"/>
    <w:rsid w:val="00DA00AD"/>
    <w:rsid w:val="00DA1508"/>
    <w:rsid w:val="00DA459B"/>
    <w:rsid w:val="00DA5B42"/>
    <w:rsid w:val="00DA6CA6"/>
    <w:rsid w:val="00DB0FD6"/>
    <w:rsid w:val="00DC43D2"/>
    <w:rsid w:val="00DC77BA"/>
    <w:rsid w:val="00DD1E34"/>
    <w:rsid w:val="00DE0E3A"/>
    <w:rsid w:val="00DE23BD"/>
    <w:rsid w:val="00DE714F"/>
    <w:rsid w:val="00DF1508"/>
    <w:rsid w:val="00DF5FD8"/>
    <w:rsid w:val="00DF7C47"/>
    <w:rsid w:val="00E00442"/>
    <w:rsid w:val="00E07491"/>
    <w:rsid w:val="00E24626"/>
    <w:rsid w:val="00E251B0"/>
    <w:rsid w:val="00E342C4"/>
    <w:rsid w:val="00E4345F"/>
    <w:rsid w:val="00E444B5"/>
    <w:rsid w:val="00E446BC"/>
    <w:rsid w:val="00E451D1"/>
    <w:rsid w:val="00E45FFD"/>
    <w:rsid w:val="00E54448"/>
    <w:rsid w:val="00E651AF"/>
    <w:rsid w:val="00E73078"/>
    <w:rsid w:val="00E80517"/>
    <w:rsid w:val="00E811EF"/>
    <w:rsid w:val="00ED24F7"/>
    <w:rsid w:val="00ED490D"/>
    <w:rsid w:val="00ED5A3B"/>
    <w:rsid w:val="00EF1117"/>
    <w:rsid w:val="00EF5C27"/>
    <w:rsid w:val="00EF5FCB"/>
    <w:rsid w:val="00EF683E"/>
    <w:rsid w:val="00F04C94"/>
    <w:rsid w:val="00F04EB8"/>
    <w:rsid w:val="00F06610"/>
    <w:rsid w:val="00F13075"/>
    <w:rsid w:val="00F14152"/>
    <w:rsid w:val="00F176AC"/>
    <w:rsid w:val="00F2478F"/>
    <w:rsid w:val="00F33DB7"/>
    <w:rsid w:val="00F33FE0"/>
    <w:rsid w:val="00F40184"/>
    <w:rsid w:val="00F42D31"/>
    <w:rsid w:val="00F47F32"/>
    <w:rsid w:val="00F5229E"/>
    <w:rsid w:val="00F53948"/>
    <w:rsid w:val="00F55885"/>
    <w:rsid w:val="00F56AC3"/>
    <w:rsid w:val="00F646F7"/>
    <w:rsid w:val="00F66737"/>
    <w:rsid w:val="00F73F24"/>
    <w:rsid w:val="00F760E5"/>
    <w:rsid w:val="00F766F1"/>
    <w:rsid w:val="00F803BB"/>
    <w:rsid w:val="00F84D34"/>
    <w:rsid w:val="00F927AE"/>
    <w:rsid w:val="00F94696"/>
    <w:rsid w:val="00F97268"/>
    <w:rsid w:val="00FA0415"/>
    <w:rsid w:val="00FA7AB1"/>
    <w:rsid w:val="00FB1256"/>
    <w:rsid w:val="00FE155D"/>
    <w:rsid w:val="00FE56E4"/>
    <w:rsid w:val="00FF0646"/>
    <w:rsid w:val="00FF12B7"/>
    <w:rsid w:val="00FF2460"/>
    <w:rsid w:val="00FF6758"/>
    <w:rsid w:val="0AE31F6F"/>
    <w:rsid w:val="11BA49F1"/>
    <w:rsid w:val="137D3B46"/>
    <w:rsid w:val="1A935F3A"/>
    <w:rsid w:val="20FEFDBC"/>
    <w:rsid w:val="24FB6A60"/>
    <w:rsid w:val="2DFE28E7"/>
    <w:rsid w:val="3D303DCF"/>
    <w:rsid w:val="3F57DB23"/>
    <w:rsid w:val="3FEC345B"/>
    <w:rsid w:val="3FF9305F"/>
    <w:rsid w:val="4E12A04F"/>
    <w:rsid w:val="4FEB8746"/>
    <w:rsid w:val="503C0075"/>
    <w:rsid w:val="50B302BF"/>
    <w:rsid w:val="5759697B"/>
    <w:rsid w:val="61D42AF3"/>
    <w:rsid w:val="6CCD8312"/>
    <w:rsid w:val="6F1FED8E"/>
    <w:rsid w:val="6FF7AF38"/>
    <w:rsid w:val="71FD1C9E"/>
    <w:rsid w:val="72FD367C"/>
    <w:rsid w:val="76FFB64B"/>
    <w:rsid w:val="771F4FD9"/>
    <w:rsid w:val="77A55844"/>
    <w:rsid w:val="7877F350"/>
    <w:rsid w:val="797E73F5"/>
    <w:rsid w:val="79AEE424"/>
    <w:rsid w:val="79BFC321"/>
    <w:rsid w:val="7BBBB06D"/>
    <w:rsid w:val="7D5FD2C4"/>
    <w:rsid w:val="7D9713E2"/>
    <w:rsid w:val="7FE90406"/>
    <w:rsid w:val="7FF423F7"/>
    <w:rsid w:val="9FF724A2"/>
    <w:rsid w:val="AEFF2C73"/>
    <w:rsid w:val="B77F5C6E"/>
    <w:rsid w:val="BE7F169C"/>
    <w:rsid w:val="D9F50FBB"/>
    <w:rsid w:val="DCFFBD3B"/>
    <w:rsid w:val="E67FB794"/>
    <w:rsid w:val="E7F9A7DE"/>
    <w:rsid w:val="E92F2B98"/>
    <w:rsid w:val="EDBFEF9A"/>
    <w:rsid w:val="EF6D6183"/>
    <w:rsid w:val="EF7B33B7"/>
    <w:rsid w:val="EFFF764E"/>
    <w:rsid w:val="F13B2D92"/>
    <w:rsid w:val="F35D7550"/>
    <w:rsid w:val="F5AB2033"/>
    <w:rsid w:val="F5DB16B7"/>
    <w:rsid w:val="F977ED33"/>
    <w:rsid w:val="F9EFB66C"/>
    <w:rsid w:val="FBCA28A9"/>
    <w:rsid w:val="FBFF94E3"/>
    <w:rsid w:val="FEFFAC3B"/>
    <w:rsid w:val="FF7A135F"/>
    <w:rsid w:val="FFBFE9AF"/>
    <w:rsid w:val="FFFF04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 w:val="28"/>
    </w:rPr>
  </w:style>
  <w:style w:type="paragraph" w:styleId="4">
    <w:name w:val="Normal Indent"/>
    <w:basedOn w:val="1"/>
    <w:next w:val="1"/>
    <w:autoRedefine/>
    <w:qFormat/>
    <w:uiPriority w:val="0"/>
    <w:pPr>
      <w:ind w:firstLine="567"/>
    </w:pPr>
  </w:style>
  <w:style w:type="paragraph" w:styleId="5">
    <w:name w:val="Body Text Indent"/>
    <w:basedOn w:val="1"/>
    <w:autoRedefine/>
    <w:qFormat/>
    <w:uiPriority w:val="0"/>
    <w:pPr>
      <w:ind w:firstLine="630" w:firstLineChars="200"/>
    </w:pPr>
    <w:rPr>
      <w:rFonts w:ascii="仿宋_GB2312" w:eastAsia="仿宋_GB2312"/>
    </w:rPr>
  </w:style>
  <w:style w:type="paragraph" w:styleId="6">
    <w:name w:val="Plain Text"/>
    <w:basedOn w:val="1"/>
    <w:autoRedefine/>
    <w:qFormat/>
    <w:uiPriority w:val="0"/>
    <w:rPr>
      <w:rFonts w:ascii="宋体" w:hAnsi="Courier New" w:eastAsia="宋体"/>
      <w:kern w:val="0"/>
      <w:sz w:val="20"/>
    </w:rPr>
  </w:style>
  <w:style w:type="paragraph" w:styleId="7">
    <w:name w:val="Date"/>
    <w:basedOn w:val="1"/>
    <w:next w:val="1"/>
    <w:autoRedefine/>
    <w:qFormat/>
    <w:uiPriority w:val="0"/>
    <w:pPr>
      <w:ind w:left="100" w:leftChars="2500"/>
    </w:pPr>
    <w:rPr>
      <w:rFonts w:eastAsia="宋体"/>
    </w:rPr>
  </w:style>
  <w:style w:type="paragraph" w:styleId="8">
    <w:name w:val="Body Text Indent 2"/>
    <w:basedOn w:val="1"/>
    <w:autoRedefine/>
    <w:qFormat/>
    <w:uiPriority w:val="0"/>
    <w:pPr>
      <w:spacing w:line="580" w:lineRule="exact"/>
      <w:ind w:firstLine="645"/>
    </w:pPr>
    <w:rPr>
      <w:rFonts w:ascii="仿宋_GB2312" w:eastAsia="仿宋_GB2312"/>
    </w:r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before="60" w:after="60"/>
    </w:pPr>
    <w:rPr>
      <w:rFonts w:ascii="Arial" w:hAnsi="Arial" w:eastAsia="仿宋_GB2312"/>
      <w:spacing w:val="-5"/>
      <w:lang w:val="zh-CN" w:eastAsia="en-US"/>
    </w:rPr>
  </w:style>
  <w:style w:type="paragraph" w:styleId="13">
    <w:name w:val="Normal (Web)"/>
    <w:basedOn w:val="1"/>
    <w:autoRedefine/>
    <w:qFormat/>
    <w:uiPriority w:val="0"/>
    <w:pPr>
      <w:widowControl/>
      <w:spacing w:before="100" w:beforeAutospacing="1" w:after="100" w:afterAutospacing="1" w:line="480" w:lineRule="auto"/>
      <w:jc w:val="left"/>
    </w:pPr>
    <w:rPr>
      <w:rFonts w:ascii="宋体" w:hAnsi="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rFonts w:ascii="Times New Roman" w:hAnsi="Times New Roman" w:eastAsia="宋体" w:cs="Times New Roman"/>
      <w:b/>
      <w:bCs/>
    </w:rPr>
  </w:style>
  <w:style w:type="character" w:styleId="18">
    <w:name w:val="page number"/>
    <w:basedOn w:val="16"/>
    <w:autoRedefine/>
    <w:qFormat/>
    <w:uiPriority w:val="0"/>
    <w:rPr>
      <w:rFonts w:ascii="Times New Roman" w:hAnsi="Times New Roman" w:eastAsia="宋体" w:cs="Times New Roman"/>
    </w:rPr>
  </w:style>
  <w:style w:type="character" w:styleId="19">
    <w:name w:val="Hyperlink"/>
    <w:basedOn w:val="16"/>
    <w:autoRedefine/>
    <w:qFormat/>
    <w:uiPriority w:val="0"/>
    <w:rPr>
      <w:rFonts w:ascii="Times New Roman" w:hAnsi="Times New Roman" w:eastAsia="宋体" w:cs="Times New Roman"/>
      <w:color w:val="0000FF"/>
      <w:u w:val="single"/>
    </w:rPr>
  </w:style>
  <w:style w:type="paragraph" w:customStyle="1" w:styleId="20">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
    <w:name w:val="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Char Char Char Char"/>
    <w:basedOn w:val="1"/>
    <w:autoRedefine/>
    <w:qFormat/>
    <w:uiPriority w:val="0"/>
  </w:style>
  <w:style w:type="paragraph" w:customStyle="1" w:styleId="23">
    <w:name w:val="默认"/>
    <w:autoRedefine/>
    <w:unhideWhenUsed/>
    <w:qFormat/>
    <w:uiPriority w:val="99"/>
    <w:rPr>
      <w:rFonts w:hint="eastAsia" w:ascii="Helvetica" w:hAnsi="Helvetica" w:eastAsia="宋体" w:cs="Times New Roman"/>
      <w:color w:val="000000"/>
      <w:sz w:val="22"/>
      <w:lang w:val="en-US" w:eastAsia="zh-CN" w:bidi="ar-SA"/>
    </w:rPr>
  </w:style>
  <w:style w:type="paragraph" w:customStyle="1" w:styleId="24">
    <w:name w:val="2"/>
    <w:basedOn w:val="1"/>
    <w:autoRedefine/>
    <w:qFormat/>
    <w:uiPriority w:val="0"/>
    <w:pPr>
      <w:spacing w:line="640" w:lineRule="exact"/>
    </w:pPr>
    <w:rPr>
      <w:rFonts w:ascii="方正仿宋_GBK" w:hAnsi="方正仿宋_GBK" w:eastAsia="方正小标宋_GBK"/>
      <w:sz w:val="44"/>
      <w:szCs w:val="32"/>
    </w:rPr>
  </w:style>
  <w:style w:type="paragraph" w:customStyle="1" w:styleId="25">
    <w:name w:val="0"/>
    <w:basedOn w:val="1"/>
    <w:autoRedefine/>
    <w:qFormat/>
    <w:uiPriority w:val="0"/>
    <w:pPr>
      <w:widowControl/>
      <w:snapToGrid w:val="0"/>
    </w:pPr>
    <w:rPr>
      <w:kern w:val="0"/>
      <w:szCs w:val="20"/>
    </w:rPr>
  </w:style>
  <w:style w:type="paragraph" w:customStyle="1" w:styleId="26">
    <w:name w:val="Char"/>
    <w:basedOn w:val="1"/>
    <w:autoRedefine/>
    <w:qFormat/>
    <w:uiPriority w:val="0"/>
    <w:pPr>
      <w:spacing w:before="100" w:beforeAutospacing="1" w:after="100" w:afterAutospacing="1"/>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0</Words>
  <Characters>0</Characters>
  <Lines>0</Lines>
  <Paragraphs>0</Paragraphs>
  <TotalTime>12</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2022-07-22T23:38:00Z</dcterms:created>
  <dc:creator>县政府办公室发文员</dc:creator>
  <cp:lastModifiedBy>user</cp:lastModifiedBy>
  <dcterms:modified xsi:type="dcterms:W3CDTF">2025-04-30T10:54:03Z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7A577DDF980E44D483E42EF0791291D8_12</vt:lpwstr>
  </property>
</Properties>
</file>