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垫江府发〔202</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13</w:t>
      </w:r>
      <w:r>
        <w:rPr>
          <w:rFonts w:hint="default" w:ascii="Times New Roman" w:hAnsi="Times New Roman" w:eastAsia="方正仿宋_GBK" w:cs="Times New Roman"/>
          <w:b w:val="0"/>
          <w:bCs w:val="0"/>
          <w:color w:val="000000"/>
          <w:sz w:val="32"/>
          <w:szCs w:val="32"/>
        </w:rPr>
        <w:t>号</w:t>
      </w:r>
      <w:bookmarkEnd w:id="0"/>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垫江县人民政府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关于印发垫江县推动成渝地区双城经济圈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建设行动方案（2023—2027年）的通知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各乡镇人民政府、街道办事处，县政府各部门，有关单位：</w:t>
      </w:r>
    </w:p>
    <w:p>
      <w:pPr>
        <w:pStyle w:val="30"/>
        <w:keepNext w:val="0"/>
        <w:keepLines w:val="0"/>
        <w:pageBreakBefore w:val="0"/>
        <w:widowControl w:val="0"/>
        <w:kinsoku/>
        <w:wordWrap/>
        <w:overflowPunct/>
        <w:autoSpaceDE/>
        <w:autoSpaceDN/>
        <w:bidi w:val="0"/>
        <w:adjustRightInd/>
        <w:snapToGrid/>
        <w:spacing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shd w:val="clear" w:color="auto" w:fill="FFFFFF"/>
        </w:rPr>
      </w:pPr>
      <w:r>
        <w:rPr>
          <w:rFonts w:hint="default" w:ascii="Times New Roman" w:hAnsi="Times New Roman" w:eastAsia="方正仿宋_GBK" w:cs="Times New Roman"/>
          <w:b w:val="0"/>
          <w:bCs w:val="0"/>
          <w:color w:val="000000"/>
          <w:spacing w:val="0"/>
          <w:sz w:val="32"/>
          <w:szCs w:val="32"/>
          <w:shd w:val="clear" w:color="auto" w:fill="FFFFFF"/>
          <w:lang w:eastAsia="zh-CN"/>
        </w:rPr>
        <w:t>现将</w:t>
      </w:r>
      <w:r>
        <w:rPr>
          <w:rFonts w:hint="default" w:ascii="Times New Roman" w:hAnsi="Times New Roman" w:eastAsia="方正仿宋_GBK" w:cs="Times New Roman"/>
          <w:b w:val="0"/>
          <w:bCs w:val="0"/>
          <w:color w:val="000000"/>
          <w:spacing w:val="0"/>
          <w:sz w:val="32"/>
          <w:szCs w:val="32"/>
          <w:shd w:val="clear" w:color="auto" w:fill="FFFFFF"/>
        </w:rPr>
        <w:t>《垫江县推动成渝地区双城经济圈建设行动方案（2023—2027年）》</w:t>
      </w:r>
      <w:r>
        <w:rPr>
          <w:rFonts w:hint="default" w:ascii="Times New Roman" w:hAnsi="Times New Roman" w:eastAsia="方正仿宋_GBK" w:cs="Times New Roman"/>
          <w:b w:val="0"/>
          <w:bCs w:val="0"/>
          <w:color w:val="000000"/>
          <w:spacing w:val="0"/>
          <w:sz w:val="32"/>
          <w:szCs w:val="32"/>
          <w:shd w:val="clear" w:color="auto" w:fill="FFFFFF"/>
          <w:lang w:eastAsia="zh-CN"/>
        </w:rPr>
        <w:t>印发给你们</w:t>
      </w:r>
      <w:r>
        <w:rPr>
          <w:rFonts w:hint="default" w:ascii="Times New Roman" w:hAnsi="Times New Roman" w:eastAsia="方正仿宋_GBK" w:cs="Times New Roman"/>
          <w:b w:val="0"/>
          <w:bCs w:val="0"/>
          <w:color w:val="000000"/>
          <w:spacing w:val="0"/>
          <w:sz w:val="32"/>
          <w:szCs w:val="32"/>
          <w:shd w:val="clear" w:color="auto" w:fill="FFFFFF"/>
        </w:rPr>
        <w:t>，请认真贯彻执行。</w:t>
      </w:r>
    </w:p>
    <w:p>
      <w:pPr>
        <w:pStyle w:val="1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8" w:lineRule="exact"/>
        <w:ind w:left="0" w:right="0" w:rightChars="0" w:firstLine="631"/>
        <w:jc w:val="both"/>
        <w:textAlignment w:val="auto"/>
        <w:outlineLvl w:val="9"/>
        <w:rPr>
          <w:rFonts w:hint="default" w:ascii="Times New Roman" w:hAnsi="Times New Roman" w:eastAsia="方正仿宋_GBK" w:cs="Times New Roman"/>
          <w:b w:val="0"/>
          <w:bCs w:val="0"/>
          <w:i w:val="0"/>
          <w:caps w:val="0"/>
          <w:color w:val="000000"/>
          <w:spacing w:val="0"/>
          <w:sz w:val="32"/>
          <w:szCs w:val="32"/>
        </w:rPr>
      </w:pPr>
    </w:p>
    <w:p>
      <w:pPr>
        <w:pStyle w:val="1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8" w:lineRule="exact"/>
        <w:ind w:left="0" w:right="0" w:rightChars="0" w:firstLine="631"/>
        <w:jc w:val="both"/>
        <w:textAlignment w:val="auto"/>
        <w:outlineLvl w:val="9"/>
        <w:rPr>
          <w:rFonts w:hint="default" w:ascii="Times New Roman" w:hAnsi="Times New Roman" w:eastAsia="方正仿宋_GBK" w:cs="Times New Roman"/>
          <w:b w:val="0"/>
          <w:bCs w:val="0"/>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spacing w:line="548" w:lineRule="exact"/>
        <w:ind w:firstLine="5372" w:firstLineChars="17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垫江县人民政府</w:t>
      </w:r>
    </w:p>
    <w:p>
      <w:pPr>
        <w:keepNext w:val="0"/>
        <w:keepLines w:val="0"/>
        <w:pageBreakBefore w:val="0"/>
        <w:widowControl w:val="0"/>
        <w:kinsoku/>
        <w:wordWrap/>
        <w:overflowPunct/>
        <w:topLinePunct w:val="0"/>
        <w:autoSpaceDE/>
        <w:autoSpaceDN/>
        <w:bidi w:val="0"/>
        <w:adjustRightInd w:val="0"/>
        <w:snapToGrid/>
        <w:spacing w:line="548" w:lineRule="exact"/>
        <w:ind w:firstLine="5372" w:firstLineChars="17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w:t>
      </w:r>
      <w:r>
        <w:rPr>
          <w:rFonts w:hint="default" w:ascii="Times New Roman" w:hAnsi="Times New Roman" w:eastAsia="方正仿宋_GBK" w:cs="Times New Roman"/>
          <w:b w:val="0"/>
          <w:bCs w:val="0"/>
          <w:color w:val="000000"/>
          <w:kern w:val="0"/>
          <w:sz w:val="32"/>
          <w:szCs w:val="32"/>
          <w:lang w:val="en-US" w:eastAsia="zh-CN"/>
        </w:rPr>
        <w:t>9</w:t>
      </w:r>
      <w:r>
        <w:rPr>
          <w:rFonts w:hint="default" w:ascii="Times New Roman" w:hAnsi="Times New Roman" w:eastAsia="方正仿宋_GBK" w:cs="Times New Roman"/>
          <w:b w:val="0"/>
          <w:bCs w:val="0"/>
          <w:color w:val="000000"/>
          <w:kern w:val="0"/>
          <w:sz w:val="32"/>
          <w:szCs w:val="32"/>
        </w:rPr>
        <w:t>月</w:t>
      </w:r>
      <w:r>
        <w:rPr>
          <w:rFonts w:hint="default" w:ascii="Times New Roman" w:hAnsi="Times New Roman" w:eastAsia="方正仿宋_GBK" w:cs="Times New Roman"/>
          <w:b w:val="0"/>
          <w:bCs w:val="0"/>
          <w:color w:val="000000"/>
          <w:kern w:val="0"/>
          <w:sz w:val="32"/>
          <w:szCs w:val="32"/>
          <w:lang w:val="en-US" w:eastAsia="zh-CN"/>
        </w:rPr>
        <w:t>27</w:t>
      </w:r>
      <w:r>
        <w:rPr>
          <w:rFonts w:hint="default" w:ascii="Times New Roman" w:hAnsi="Times New Roman" w:eastAsia="方正仿宋_GBK" w:cs="Times New Roman"/>
          <w:b w:val="0"/>
          <w:bCs w:val="0"/>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spacing w:line="548" w:lineRule="exact"/>
        <w:ind w:firstLine="630"/>
        <w:textAlignment w:val="auto"/>
        <w:rPr>
          <w:rFonts w:hint="default" w:ascii="Times New Roman" w:hAnsi="Times New Roman" w:eastAsia="方正仿宋_GBK" w:cs="Times New Roman"/>
          <w:b w:val="0"/>
          <w:bCs w:val="0"/>
          <w:color w:val="000000"/>
          <w:sz w:val="32"/>
          <w:szCs w:val="32"/>
          <w:lang w:val="en" w:eastAsia="zh-CN"/>
        </w:rPr>
      </w:pPr>
      <w:r>
        <w:rPr>
          <w:rFonts w:hint="default" w:ascii="Times New Roman" w:hAnsi="Times New Roman" w:eastAsia="方正仿宋_GBK" w:cs="Times New Roman"/>
          <w:b w:val="0"/>
          <w:bCs w:val="0"/>
          <w:color w:val="000000"/>
          <w:kern w:val="0"/>
          <w:sz w:val="32"/>
          <w:szCs w:val="32"/>
          <w:lang w:val="en" w:eastAsia="zh-CN"/>
        </w:rPr>
        <w:t>(此件</w:t>
      </w:r>
      <w:r>
        <w:rPr>
          <w:rFonts w:hint="default" w:ascii="Times New Roman" w:hAnsi="Times New Roman" w:eastAsia="方正仿宋_GBK" w:cs="Times New Roman"/>
          <w:b w:val="0"/>
          <w:bCs w:val="0"/>
          <w:color w:val="000000"/>
          <w:kern w:val="0"/>
          <w:sz w:val="32"/>
          <w:szCs w:val="32"/>
          <w:lang w:val="en-US" w:eastAsia="zh-CN"/>
        </w:rPr>
        <w:t>公开发布</w:t>
      </w:r>
      <w:r>
        <w:rPr>
          <w:rFonts w:hint="default" w:ascii="Times New Roman" w:hAnsi="Times New Roman" w:eastAsia="方正仿宋_GBK" w:cs="Times New Roman"/>
          <w:b w:val="0"/>
          <w:bCs w:val="0"/>
          <w:color w:val="000000"/>
          <w:kern w:val="0"/>
          <w:sz w:val="32"/>
          <w:szCs w:val="32"/>
          <w:lang w:val="en" w:eastAsia="zh-CN"/>
        </w:rPr>
        <w:t>)</w:t>
      </w:r>
    </w:p>
    <w:p>
      <w:pPr>
        <w:rPr>
          <w:rFonts w:hint="default" w:ascii="Times New Roman" w:hAnsi="Times New Roman" w:cs="Times New Roman"/>
          <w:b w:val="0"/>
          <w:bCs w:val="0"/>
          <w:color w:val="000000"/>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垫江县推动成渝地区双城经济圈建设行动方案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（2023—2027年）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黑体_GBK" w:cs="Times New Roman"/>
          <w:b w:val="0"/>
          <w:bCs w:val="0"/>
          <w:color w:val="000000"/>
          <w:position w:val="0"/>
          <w:sz w:val="32"/>
          <w:szCs w:val="32"/>
        </w:rPr>
      </w:pPr>
      <w:bookmarkStart w:id="1" w:name="_bookmark15"/>
      <w:bookmarkEnd w:id="1"/>
      <w:bookmarkStart w:id="2" w:name="_bookmark1"/>
      <w:bookmarkEnd w:id="2"/>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仿宋_GBK" w:cs="Times New Roman"/>
          <w:b w:val="0"/>
          <w:bCs w:val="0"/>
          <w:color w:val="000000"/>
          <w:position w:val="0"/>
          <w:sz w:val="32"/>
          <w:szCs w:val="32"/>
        </w:rPr>
      </w:pPr>
      <w:r>
        <w:rPr>
          <w:rFonts w:hint="default" w:ascii="Times New Roman" w:hAnsi="Times New Roman" w:eastAsia="方正仿宋_GBK" w:cs="Times New Roman"/>
          <w:b w:val="0"/>
          <w:bCs w:val="0"/>
          <w:color w:val="000000"/>
          <w:position w:val="0"/>
          <w:sz w:val="32"/>
          <w:szCs w:val="32"/>
        </w:rPr>
        <w:t>为深入贯彻习近平总书记关于推动成渝地区双城经济圈建设</w:t>
      </w:r>
      <w:r>
        <w:rPr>
          <w:rFonts w:hint="default" w:ascii="Times New Roman" w:hAnsi="Times New Roman" w:eastAsia="方正仿宋_GBK" w:cs="Times New Roman"/>
          <w:b w:val="0"/>
          <w:bCs w:val="0"/>
          <w:color w:val="000000"/>
          <w:position w:val="0"/>
          <w:sz w:val="32"/>
          <w:szCs w:val="32"/>
          <w:lang w:val="en-US" w:eastAsia="zh-CN"/>
        </w:rPr>
        <w:t>的</w:t>
      </w:r>
      <w:r>
        <w:rPr>
          <w:rFonts w:hint="default" w:ascii="Times New Roman" w:hAnsi="Times New Roman" w:eastAsia="方正仿宋_GBK" w:cs="Times New Roman"/>
          <w:b w:val="0"/>
          <w:bCs w:val="0"/>
          <w:color w:val="000000"/>
          <w:position w:val="0"/>
          <w:sz w:val="32"/>
          <w:szCs w:val="32"/>
        </w:rPr>
        <w:t>重要指示精神，全面落实《成渝地区双城经济圈建设规划纲要》，认真落实全市建设成渝地区双城经济圈工作推进大会精神，引导全县各级各部门在推动成渝地区双城经济圈建设上干出新业绩，加快建设生态美</w:t>
      </w:r>
      <w:r>
        <w:rPr>
          <w:rFonts w:hint="default" w:ascii="Times New Roman" w:hAnsi="Times New Roman" w:eastAsia="方正仿宋_GBK" w:cs="Times New Roman"/>
          <w:b w:val="0"/>
          <w:bCs w:val="0"/>
          <w:color w:val="000000"/>
          <w:position w:val="0"/>
          <w:sz w:val="32"/>
          <w:szCs w:val="32"/>
          <w:lang w:eastAsia="zh-CN"/>
        </w:rPr>
        <w:t>、</w:t>
      </w:r>
      <w:r>
        <w:rPr>
          <w:rFonts w:hint="default" w:ascii="Times New Roman" w:hAnsi="Times New Roman" w:eastAsia="方正仿宋_GBK" w:cs="Times New Roman"/>
          <w:b w:val="0"/>
          <w:bCs w:val="0"/>
          <w:color w:val="000000"/>
          <w:position w:val="0"/>
          <w:sz w:val="32"/>
          <w:szCs w:val="32"/>
        </w:rPr>
        <w:t>经济强</w:t>
      </w:r>
      <w:r>
        <w:rPr>
          <w:rFonts w:hint="default" w:ascii="Times New Roman" w:hAnsi="Times New Roman" w:eastAsia="方正仿宋_GBK" w:cs="Times New Roman"/>
          <w:b w:val="0"/>
          <w:bCs w:val="0"/>
          <w:color w:val="000000"/>
          <w:position w:val="0"/>
          <w:sz w:val="32"/>
          <w:szCs w:val="32"/>
          <w:lang w:eastAsia="zh-CN"/>
        </w:rPr>
        <w:t>、</w:t>
      </w:r>
      <w:r>
        <w:rPr>
          <w:rFonts w:hint="default" w:ascii="Times New Roman" w:hAnsi="Times New Roman" w:eastAsia="方正仿宋_GBK" w:cs="Times New Roman"/>
          <w:b w:val="0"/>
          <w:bCs w:val="0"/>
          <w:color w:val="000000"/>
          <w:position w:val="0"/>
          <w:sz w:val="32"/>
          <w:szCs w:val="32"/>
        </w:rPr>
        <w:t>百姓富现代化新垫江，结合我县实际，制定本行动方案。</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黑体_GBK" w:cs="Times New Roman"/>
          <w:b w:val="0"/>
          <w:bCs w:val="0"/>
          <w:color w:val="000000"/>
          <w:position w:val="0"/>
          <w:sz w:val="32"/>
          <w:szCs w:val="32"/>
        </w:rPr>
      </w:pPr>
      <w:r>
        <w:rPr>
          <w:rFonts w:hint="default" w:ascii="Times New Roman" w:hAnsi="Times New Roman" w:eastAsia="方正黑体_GBK" w:cs="Times New Roman"/>
          <w:b w:val="0"/>
          <w:bCs w:val="0"/>
          <w:color w:val="000000"/>
          <w:position w:val="0"/>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仿宋_GBK" w:cs="Times New Roman"/>
          <w:b w:val="0"/>
          <w:bCs w:val="0"/>
          <w:color w:val="000000"/>
          <w:position w:val="0"/>
          <w:sz w:val="32"/>
          <w:szCs w:val="32"/>
        </w:rPr>
      </w:pPr>
      <w:r>
        <w:rPr>
          <w:rFonts w:hint="default" w:ascii="Times New Roman" w:hAnsi="Times New Roman" w:eastAsia="方正仿宋_GBK" w:cs="Times New Roman"/>
          <w:b w:val="0"/>
          <w:bCs w:val="0"/>
          <w:color w:val="000000"/>
          <w:position w:val="0"/>
          <w:sz w:val="32"/>
          <w:szCs w:val="32"/>
        </w:rPr>
        <w:t>以习近平新时代中国特色社会主义思想为指导，</w:t>
      </w:r>
      <w:r>
        <w:rPr>
          <w:rFonts w:hint="default" w:ascii="Times New Roman" w:hAnsi="Times New Roman" w:eastAsia="方正仿宋_GBK" w:cs="Times New Roman"/>
          <w:b w:val="0"/>
          <w:bCs w:val="0"/>
          <w:color w:val="000000"/>
          <w:position w:val="0"/>
          <w:sz w:val="32"/>
          <w:szCs w:val="32"/>
          <w:lang w:eastAsia="zh-CN"/>
        </w:rPr>
        <w:t>全面</w:t>
      </w:r>
      <w:r>
        <w:rPr>
          <w:rFonts w:hint="default" w:ascii="Times New Roman" w:hAnsi="Times New Roman" w:eastAsia="方正仿宋_GBK" w:cs="Times New Roman"/>
          <w:b w:val="0"/>
          <w:bCs w:val="0"/>
          <w:color w:val="000000"/>
          <w:position w:val="0"/>
          <w:sz w:val="32"/>
          <w:szCs w:val="32"/>
        </w:rPr>
        <w:t>贯彻</w:t>
      </w:r>
      <w:r>
        <w:rPr>
          <w:rFonts w:hint="default" w:ascii="Times New Roman" w:hAnsi="Times New Roman" w:eastAsia="方正仿宋_GBK" w:cs="Times New Roman"/>
          <w:b w:val="0"/>
          <w:bCs w:val="0"/>
          <w:color w:val="000000"/>
          <w:position w:val="0"/>
          <w:sz w:val="32"/>
          <w:szCs w:val="32"/>
          <w:lang w:eastAsia="zh-CN"/>
        </w:rPr>
        <w:t>落实</w:t>
      </w:r>
      <w:r>
        <w:rPr>
          <w:rFonts w:hint="default" w:ascii="Times New Roman" w:hAnsi="Times New Roman" w:eastAsia="方正仿宋_GBK" w:cs="Times New Roman"/>
          <w:b w:val="0"/>
          <w:bCs w:val="0"/>
          <w:color w:val="000000"/>
          <w:position w:val="0"/>
          <w:sz w:val="32"/>
          <w:szCs w:val="32"/>
        </w:rPr>
        <w:t>党的二十大精神，</w:t>
      </w:r>
      <w:r>
        <w:rPr>
          <w:rFonts w:hint="default" w:ascii="Times New Roman" w:hAnsi="Times New Roman" w:eastAsia="方正仿宋_GBK" w:cs="Times New Roman"/>
          <w:b w:val="0"/>
          <w:bCs w:val="0"/>
          <w:color w:val="000000"/>
          <w:position w:val="0"/>
          <w:sz w:val="32"/>
          <w:szCs w:val="32"/>
          <w:lang w:eastAsia="zh-CN"/>
        </w:rPr>
        <w:t>深入贯彻</w:t>
      </w:r>
      <w:r>
        <w:rPr>
          <w:rFonts w:hint="default" w:ascii="Times New Roman" w:hAnsi="Times New Roman" w:eastAsia="方正仿宋_GBK" w:cs="Times New Roman"/>
          <w:b w:val="0"/>
          <w:bCs w:val="0"/>
          <w:color w:val="000000"/>
          <w:position w:val="0"/>
          <w:sz w:val="32"/>
          <w:szCs w:val="32"/>
        </w:rPr>
        <w:t>习近平总书记对重庆</w:t>
      </w:r>
      <w:r>
        <w:rPr>
          <w:rFonts w:hint="default" w:ascii="Times New Roman" w:hAnsi="Times New Roman" w:eastAsia="方正仿宋_GBK" w:cs="Times New Roman"/>
          <w:b w:val="0"/>
          <w:bCs w:val="0"/>
          <w:color w:val="000000"/>
          <w:position w:val="0"/>
          <w:sz w:val="32"/>
          <w:szCs w:val="32"/>
          <w:lang w:val="en-US" w:eastAsia="zh-CN"/>
        </w:rPr>
        <w:t>所作重要讲话和</w:t>
      </w:r>
      <w:r>
        <w:rPr>
          <w:rFonts w:hint="default" w:ascii="Times New Roman" w:hAnsi="Times New Roman" w:eastAsia="方正仿宋_GBK" w:cs="Times New Roman"/>
          <w:b w:val="0"/>
          <w:bCs w:val="0"/>
          <w:color w:val="000000"/>
          <w:position w:val="0"/>
          <w:sz w:val="32"/>
          <w:szCs w:val="32"/>
        </w:rPr>
        <w:t>重要指示批示</w:t>
      </w:r>
      <w:r>
        <w:rPr>
          <w:rFonts w:hint="default" w:ascii="Times New Roman" w:hAnsi="Times New Roman" w:eastAsia="方正仿宋_GBK" w:cs="Times New Roman"/>
          <w:b w:val="0"/>
          <w:bCs w:val="0"/>
          <w:color w:val="000000"/>
          <w:position w:val="0"/>
          <w:sz w:val="32"/>
          <w:szCs w:val="32"/>
          <w:lang w:val="en-US" w:eastAsia="zh-CN"/>
        </w:rPr>
        <w:t>精神</w:t>
      </w:r>
      <w:r>
        <w:rPr>
          <w:rFonts w:hint="default" w:ascii="Times New Roman" w:hAnsi="Times New Roman" w:eastAsia="方正仿宋_GBK" w:cs="Times New Roman"/>
          <w:b w:val="0"/>
          <w:bCs w:val="0"/>
          <w:color w:val="000000"/>
          <w:position w:val="0"/>
          <w:sz w:val="32"/>
          <w:szCs w:val="32"/>
        </w:rPr>
        <w:t>，</w:t>
      </w:r>
      <w:r>
        <w:rPr>
          <w:rFonts w:hint="default" w:ascii="Times New Roman" w:hAnsi="Times New Roman" w:eastAsia="方正仿宋_GBK" w:cs="Times New Roman"/>
          <w:b w:val="0"/>
          <w:bCs w:val="0"/>
          <w:i w:val="0"/>
          <w:caps w:val="0"/>
          <w:color w:val="000000"/>
          <w:spacing w:val="0"/>
          <w:position w:val="0"/>
          <w:sz w:val="32"/>
          <w:szCs w:val="32"/>
          <w:shd w:val="clear" w:color="auto" w:fill="auto"/>
          <w:lang w:eastAsia="zh-CN"/>
        </w:rPr>
        <w:t>认真</w:t>
      </w:r>
      <w:r>
        <w:rPr>
          <w:rFonts w:hint="default" w:ascii="Times New Roman" w:hAnsi="Times New Roman" w:eastAsia="方正仿宋_GBK" w:cs="Times New Roman"/>
          <w:b w:val="0"/>
          <w:bCs w:val="0"/>
          <w:i w:val="0"/>
          <w:caps w:val="0"/>
          <w:color w:val="000000"/>
          <w:spacing w:val="0"/>
          <w:position w:val="0"/>
          <w:sz w:val="32"/>
          <w:szCs w:val="32"/>
          <w:shd w:val="clear" w:color="auto" w:fill="auto"/>
        </w:rPr>
        <w:t>落实市委、市政府关于成渝地区双城经济圈建设工作要求，</w:t>
      </w:r>
      <w:r>
        <w:rPr>
          <w:rFonts w:hint="default" w:ascii="Times New Roman" w:hAnsi="Times New Roman" w:eastAsia="方正仿宋_GBK" w:cs="Times New Roman"/>
          <w:b w:val="0"/>
          <w:bCs w:val="0"/>
          <w:color w:val="000000"/>
          <w:position w:val="0"/>
          <w:sz w:val="32"/>
          <w:szCs w:val="32"/>
        </w:rPr>
        <w:t>按照县委</w:t>
      </w:r>
      <w:r>
        <w:rPr>
          <w:rFonts w:hint="default" w:ascii="Times New Roman" w:hAnsi="Times New Roman" w:eastAsia="方正仿宋_GBK" w:cs="Times New Roman"/>
          <w:b w:val="0"/>
          <w:bCs w:val="0"/>
          <w:color w:val="000000"/>
          <w:position w:val="0"/>
          <w:sz w:val="32"/>
          <w:szCs w:val="32"/>
          <w:lang w:val="en-US" w:eastAsia="zh-CN"/>
        </w:rPr>
        <w:t>工作安排</w:t>
      </w:r>
      <w:r>
        <w:rPr>
          <w:rFonts w:hint="default" w:ascii="Times New Roman" w:hAnsi="Times New Roman" w:eastAsia="方正仿宋_GBK" w:cs="Times New Roman"/>
          <w:b w:val="0"/>
          <w:bCs w:val="0"/>
          <w:color w:val="000000"/>
          <w:position w:val="0"/>
          <w:sz w:val="32"/>
          <w:szCs w:val="32"/>
        </w:rPr>
        <w:t>，坚持从全局谋划一域、以一域服务全局，联动川渝毗邻区市县，融入主城都市区，建好区群联结点，打造产业新高地，奋力推动成渝地区双城经济圈建设走深走实，聚力形成更多具有垫江辨识度的标志性成果，加快建设明月山绿色发展示范带核心区，努力打造成渝地区双城经济圈北翼节点城市，传动带动渝东北、川东北地区协同发展，加快成为高质量发展的活跃增长极和生态经济示范发展的样板地，奋力谱写社会主义现代化建设川渝东部地区新篇章。</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黑体_GBK" w:cs="Times New Roman"/>
          <w:b w:val="0"/>
          <w:bCs w:val="0"/>
          <w:color w:val="000000"/>
          <w:position w:val="0"/>
          <w:sz w:val="32"/>
          <w:szCs w:val="32"/>
        </w:rPr>
      </w:pPr>
      <w:r>
        <w:rPr>
          <w:rFonts w:hint="default" w:ascii="Times New Roman" w:hAnsi="Times New Roman" w:eastAsia="方正黑体_GBK" w:cs="Times New Roman"/>
          <w:b w:val="0"/>
          <w:bCs w:val="0"/>
          <w:color w:val="000000"/>
          <w:position w:val="0"/>
          <w:sz w:val="32"/>
          <w:szCs w:val="32"/>
        </w:rPr>
        <w:t>二、重点任务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楷体_GBK" w:cs="Times New Roman"/>
          <w:b w:val="0"/>
          <w:bCs w:val="0"/>
          <w:color w:val="000000"/>
          <w:position w:val="0"/>
          <w:sz w:val="32"/>
          <w:szCs w:val="32"/>
        </w:rPr>
      </w:pPr>
      <w:r>
        <w:rPr>
          <w:rFonts w:hint="default" w:ascii="Times New Roman" w:hAnsi="Times New Roman" w:eastAsia="方正楷体_GBK" w:cs="Times New Roman"/>
          <w:b w:val="0"/>
          <w:bCs w:val="0"/>
          <w:color w:val="000000"/>
          <w:position w:val="0"/>
          <w:sz w:val="32"/>
          <w:szCs w:val="32"/>
        </w:rPr>
        <w:t>（一）实施提升城市综合能级行动。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充分发挥城市蓄积生产要素、服务产业发展、集聚人口资源的作用，大力促进产业、人口与城市有效融合，不断通过产业人口聚集，助力城市成长、品质提升。到2027年，力争常住人口城镇化率达60%，基本建成产城融合、职住平衡、生态宜居、交通便利的现代化郊区新城。</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加快实施东部新区建设工程。聚焦东部新区城市会客厅、形象展示地建设，科学编制东部新区总体规划、详细规划，切实留足留够东部新区城市发展的天际线、水际线、山际线，推动财政资金、建设用地、项目布局等资源要素向东部新区倾斜，尽快建成20平方公里的城市新高地、市民新家园，打造成为垫江之眼、渝东明珠。大力发展新区产业，不断壮大城市经济，融合特色文化、现代商旅、高端居住、文体娱乐、湿地生态区、公共服务等功能体系，提级打造三合湖湿地公园4A级景区，加快建成东部新区城市博览中心、文化服务中心、旅游集散中心等标志性工程，重点布局落地一批优质教育、医疗卫生、文化娱乐、星级酒店等现代服务项目，加快打造方便快捷、智能舒适的现代化城市生活圈。提升城市开放水平，着力扮靓新区窗口形象，深入挖掘垫江牡丹文化、农耕文化和装配式建筑产业文化</w:t>
      </w:r>
      <w:r>
        <w:rPr>
          <w:rFonts w:hint="default" w:ascii="Times New Roman" w:hAnsi="Times New Roman" w:eastAsia="方正仿宋_GBK" w:cs="Times New Roman"/>
          <w:b w:val="0"/>
          <w:bCs w:val="0"/>
          <w:color w:val="000000"/>
          <w:sz w:val="32"/>
          <w:szCs w:val="32"/>
          <w:lang w:val="en-US" w:eastAsia="zh-CN"/>
        </w:rPr>
        <w:t>等文化主题</w:t>
      </w:r>
      <w:r>
        <w:rPr>
          <w:rFonts w:hint="default" w:ascii="Times New Roman" w:hAnsi="Times New Roman" w:eastAsia="方正仿宋_GBK" w:cs="Times New Roman"/>
          <w:b w:val="0"/>
          <w:bCs w:val="0"/>
          <w:color w:val="000000"/>
          <w:sz w:val="32"/>
          <w:szCs w:val="32"/>
        </w:rPr>
        <w:t>，加大东部新区的对外宣传营销力度，积极争取承办以智慧城市、海绵城市、无废城市、健康城市等为主题的城市展会、赛事节会，持续推动区域产业、人才、资本等要素向新区积聚。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大力推动城市有机更新。加快推进以县城为重要载体的城镇化建设，紧扣县城新型城镇化补短板强弱项4大类17个方面推进城镇化示范，助力产业培育设施、市政公用设施、环境卫生设施等提档升级。改进完善城市小区功能，大力实施棚户区和老旧小区改造，加快建设以智能化集中冷热联供为引领的新型社区。提升城市建筑质量和安全，完善城市地下综合管廊布局，着力清除“空中蜘蛛网”“马路拉链”等城市通病。大力实施城市增绿增湿增景增智等更新提升行动，持续完善城市智慧系统、城市慢行系统和城市休闲场所建设，加快建设白龙湖儿童公园，规划建设十路口、邱家沟生态公园等项目，争创“重庆生态园林城市”和“国家卫生城市”。创新城市基层治理，纵深推进“四网融合”，深化细化“马路办公”，实现城市“细管、众管、智管”有机结合。到2027年，力争县城新增公共停车位2000个，绿化覆盖率突破55%，人均公园绿地面积达到15平方米/人，城市生活垃圾无害化处理率保持100%。</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着力推进产城融合发展。坚持以产兴城、以城促产、产城融合的发展思路，推动城市产业高质量发展。坚持以产扩城，着力促进产业与城市功能融合，切实围绕创新要素布局现代产业集群，主动承接重庆都市圈产业转移和功能疏解，强化产业配套功能，提升城市产业竞争力、人口吸引力和就业吸纳力。坚持以园强城，统筹居住区和产业区布局，推动高新区、东部新区连片规划、集中开发、协同建设，构建以汽摩装备产业园、综合物流园、建筑产业园、数字软件园等为支撑的城市发展内核，不断增强城市对农村及川渝毗邻地区的带动作用。坚持以人兴城，统筹推进农业转移人口市民化，吸纳外出务工人员和山区库区等生态功能区的人口迁移，促进就近就地创业和就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加快建设一流郊区新城。聚焦产城融合、职住平衡、生态宜居、交通便利的目标要求，推动与重庆都市圈功能互补配套发展，推动转移产业和人口向东部新区集中。提速建设同城化通道，发挥渝东北三峡库区城镇群与主城都市区联结点作用，对接争取都市快线C7线延伸至垫江，积极推动实现轨道交通公交化运行，加快融入主城都市区轨道通勤圈，率先推动互联互通同城化发展。不断加强与主城都市区在公共服务共建共享方面融合发展、互补发展，着力在托幼、养老、家政、教育、医疗服务等方面对接配套、探索改革、示范先行，完善高品质、多层次公共服务体系，不断增强新城生活品质对各类人才的吸引力。到2027年，力争城市面积新增10平方公里，城市人口新增10万人以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楷体_GBK" w:cs="Times New Roman"/>
          <w:b w:val="0"/>
          <w:bCs w:val="0"/>
          <w:color w:val="000000"/>
          <w:sz w:val="32"/>
          <w:szCs w:val="32"/>
        </w:rPr>
      </w:pPr>
      <w:bookmarkStart w:id="3" w:name="_bookmark2"/>
      <w:bookmarkEnd w:id="3"/>
      <w:bookmarkStart w:id="4" w:name="_bookmark16"/>
      <w:bookmarkEnd w:id="4"/>
      <w:r>
        <w:rPr>
          <w:rFonts w:hint="default" w:ascii="Times New Roman" w:hAnsi="Times New Roman" w:eastAsia="方正楷体_GBK" w:cs="Times New Roman"/>
          <w:b w:val="0"/>
          <w:bCs w:val="0"/>
          <w:color w:val="000000"/>
          <w:sz w:val="32"/>
          <w:szCs w:val="32"/>
        </w:rPr>
        <w:t>（二）实施建设现代基础设施网络行动。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以提升内联外畅水平为导向，聚焦基础设施补短板和“两新一重”发展方向，不断提升交通、水利、能源</w:t>
      </w:r>
      <w:r>
        <w:rPr>
          <w:rFonts w:hint="default" w:ascii="Times New Roman" w:hAnsi="Times New Roman" w:eastAsia="方正仿宋_GBK" w:cs="Times New Roman"/>
          <w:b w:val="0"/>
          <w:bCs w:val="0"/>
          <w:color w:val="000000"/>
          <w:sz w:val="32"/>
          <w:szCs w:val="32"/>
          <w:lang w:val="en-US" w:eastAsia="zh-CN"/>
        </w:rPr>
        <w:t>等</w:t>
      </w:r>
      <w:r>
        <w:rPr>
          <w:rFonts w:hint="default" w:ascii="Times New Roman" w:hAnsi="Times New Roman" w:eastAsia="方正仿宋_GBK" w:cs="Times New Roman"/>
          <w:b w:val="0"/>
          <w:bCs w:val="0"/>
          <w:color w:val="000000"/>
          <w:sz w:val="32"/>
          <w:szCs w:val="32"/>
        </w:rPr>
        <w:t>基础设施水平，加快融入新发展格局。到2027年，全县“一轴二环四射多联”内部交通网络不断完善，“三铁五高一快速”对外互联互通体系基本形成，力争高速公路同城里程达119公里，“四好农村路”达300公里以上。水电气等现代基础设施网络织密织牢。</w:t>
      </w:r>
    </w:p>
    <w:p>
      <w:pPr>
        <w:keepNext w:val="0"/>
        <w:keepLines w:val="0"/>
        <w:pageBreakBefore w:val="0"/>
        <w:widowControl w:val="0"/>
        <w:kinsoku/>
        <w:wordWrap/>
        <w:overflowPunct w:val="0"/>
        <w:topLinePunct w:val="0"/>
        <w:autoSpaceDE/>
        <w:autoSpaceDN/>
        <w:bidi w:val="0"/>
        <w:adjustRightInd/>
        <w:snapToGrid/>
        <w:spacing w:line="240" w:lineRule="auto"/>
        <w:ind w:left="0" w:righ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5.</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实施交通物流枢纽建设工程。着力建设东南西北四向通道，构建铁公多式联运物流体系，努力打造立体化、网络化、现代化的综合交通运输体系，加快建设川渝东部陆上交通物流枢纽。加快推进“长垫梁”货运铁路垫江至长寿段、</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广垫忠黔</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铁路垫江至忠县段进入国家铁路网规划提前启动建设，连通西部陆海新通道和沿江出海大通道。加快建设“大垫丰武”高速公路，推动“垫涪”“垫合”高速公路启动前期方案论证，加快融入圈翼高速网络。推动渝宜高速长垫梁段四改八扩容升级，建成G350垫江南出口，快捷联通渝东北三峡库区城镇群与主城都市区。加快推动高新产业大道、东部快速通道等项目建设，积极联动果园港、涪陵龙头港、长寿港、万州新田港、忠县新生港，打造垫江</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无水港</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left="0" w:righ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6.</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构建多元现代的能源保障体系。</w:t>
      </w:r>
      <w:bookmarkStart w:id="5" w:name="_Toc11497"/>
      <w:bookmarkStart w:id="6" w:name="_Toc22724"/>
      <w:r>
        <w:rPr>
          <w:rFonts w:hint="default" w:ascii="Times New Roman" w:hAnsi="Times New Roman" w:eastAsia="方正仿宋_GBK" w:cs="Times New Roman"/>
          <w:b w:val="0"/>
          <w:bCs w:val="0"/>
          <w:color w:val="000000"/>
          <w:sz w:val="32"/>
          <w:szCs w:val="32"/>
        </w:rPr>
        <w:t>强化电力保障</w:t>
      </w:r>
      <w:bookmarkEnd w:id="5"/>
      <w:bookmarkEnd w:id="6"/>
      <w:r>
        <w:rPr>
          <w:rFonts w:hint="default" w:ascii="Times New Roman" w:hAnsi="Times New Roman" w:eastAsia="方正仿宋_GBK" w:cs="Times New Roman"/>
          <w:b w:val="0"/>
          <w:bCs w:val="0"/>
          <w:color w:val="000000"/>
          <w:sz w:val="32"/>
          <w:szCs w:val="32"/>
        </w:rPr>
        <w:t>。完善电网基础设施，构建绿色低碳的新型电力系统，规划建设一批220KV、110KV变电站以及相关线网。实施东部新区管线入廊工程，完善城区电网设施，提升城乡电力保障水平。推进生活垃圾焚烧发电、光伏发电、废弃生物质能转化发电，布局天然气分布式能源项目建设，优化区域能源结构。加快新能源汽车充电桩及配套设施建设，构建适度超前、车桩相随、智能高效安全的充电基础设施体系。</w:t>
      </w:r>
      <w:bookmarkStart w:id="7" w:name="_Toc15616"/>
      <w:bookmarkStart w:id="8" w:name="_Toc11510"/>
      <w:r>
        <w:rPr>
          <w:rFonts w:hint="default" w:ascii="Times New Roman" w:hAnsi="Times New Roman" w:eastAsia="方正仿宋_GBK" w:cs="Times New Roman"/>
          <w:b w:val="0"/>
          <w:bCs w:val="0"/>
          <w:color w:val="000000"/>
          <w:sz w:val="32"/>
          <w:szCs w:val="32"/>
        </w:rPr>
        <w:t>完善油气输配网络</w:t>
      </w:r>
      <w:bookmarkEnd w:id="7"/>
      <w:bookmarkEnd w:id="8"/>
      <w:r>
        <w:rPr>
          <w:rFonts w:hint="default" w:ascii="Times New Roman" w:hAnsi="Times New Roman" w:eastAsia="方正仿宋_GBK" w:cs="Times New Roman"/>
          <w:b w:val="0"/>
          <w:bCs w:val="0"/>
          <w:color w:val="000000"/>
          <w:sz w:val="32"/>
          <w:szCs w:val="32"/>
        </w:rPr>
        <w:t>。复制推广页岩气开发利益共享机制，大力推动能源勘探和开发利用，联合梁平推进沙坪场特大型国家战略储气库前期工作，融入川渝千亿方产能基地。完善城镇燃气设施，加快老旧小区升级改造，推动城镇天然气管网互联互通。加快储气集约化和成品油储运设施建设，优化加油站建设布局，改造一批集加油、LNG加注、充电桩于一体的综合能源加注站。支持LNG等清洁能源开拓市场，发展新能源产业。</w:t>
      </w:r>
    </w:p>
    <w:p>
      <w:pPr>
        <w:keepNext w:val="0"/>
        <w:keepLines w:val="0"/>
        <w:pageBreakBefore w:val="0"/>
        <w:widowControl w:val="0"/>
        <w:kinsoku/>
        <w:wordWrap/>
        <w:overflowPunct w:val="0"/>
        <w:topLinePunct w:val="0"/>
        <w:autoSpaceDE/>
        <w:autoSpaceDN/>
        <w:bidi w:val="0"/>
        <w:adjustRightInd/>
        <w:snapToGrid/>
        <w:spacing w:line="240" w:lineRule="auto"/>
        <w:ind w:left="0" w:righ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7.</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建立高效安全的水利基础设施体系。</w:t>
      </w:r>
      <w:bookmarkStart w:id="9" w:name="_Toc6849"/>
      <w:bookmarkStart w:id="10" w:name="_Toc16292"/>
      <w:r>
        <w:rPr>
          <w:rFonts w:hint="default" w:ascii="Times New Roman" w:hAnsi="Times New Roman" w:eastAsia="方正仿宋_GBK" w:cs="Times New Roman"/>
          <w:b w:val="0"/>
          <w:bCs w:val="0"/>
          <w:color w:val="000000"/>
          <w:sz w:val="32"/>
          <w:szCs w:val="32"/>
        </w:rPr>
        <w:t>提升城市供水保障能力</w:t>
      </w:r>
      <w:bookmarkEnd w:id="9"/>
      <w:bookmarkEnd w:id="10"/>
      <w:r>
        <w:rPr>
          <w:rFonts w:hint="default" w:ascii="Times New Roman" w:hAnsi="Times New Roman" w:eastAsia="方正仿宋_GBK" w:cs="Times New Roman"/>
          <w:b w:val="0"/>
          <w:bCs w:val="0"/>
          <w:color w:val="000000"/>
          <w:sz w:val="32"/>
          <w:szCs w:val="32"/>
        </w:rPr>
        <w:t>。融入川渝东北一体化水资源配置工程，加快推进永安水库、石桥水库等一批重点水库建设，全面提升供水的充足性、安全性、可靠性。推进城市水安全建设，重点实施水资源网络连通工程、城市供水水质提升工程，加快推进老旧管网改造和二次供水设施改造。实施直饮水工程，建设安全绿色城市水系统。加快智慧水务建设，实施水利行业大数据中心工程，全面提升水利治理体系和治理能力现代化水平。</w:t>
      </w:r>
      <w:bookmarkStart w:id="11" w:name="_Toc1969"/>
      <w:bookmarkStart w:id="12" w:name="_Toc6239"/>
      <w:r>
        <w:rPr>
          <w:rFonts w:hint="default" w:ascii="Times New Roman" w:hAnsi="Times New Roman" w:eastAsia="方正仿宋_GBK" w:cs="Times New Roman"/>
          <w:b w:val="0"/>
          <w:bCs w:val="0"/>
          <w:color w:val="000000"/>
          <w:sz w:val="32"/>
          <w:szCs w:val="32"/>
        </w:rPr>
        <w:t>构建防洪减灾体系</w:t>
      </w:r>
      <w:bookmarkEnd w:id="11"/>
      <w:bookmarkEnd w:id="12"/>
      <w:r>
        <w:rPr>
          <w:rFonts w:hint="default" w:ascii="Times New Roman" w:hAnsi="Times New Roman" w:eastAsia="方正仿宋_GBK" w:cs="Times New Roman"/>
          <w:b w:val="0"/>
          <w:bCs w:val="0"/>
          <w:color w:val="000000"/>
          <w:sz w:val="32"/>
          <w:szCs w:val="32"/>
        </w:rPr>
        <w:t>。实施中小河流防洪护岸综合整治工程，加快推进龙溪河、大沙河、回龙河等河道防洪和生态治理。实施病险水库除险加固工程，强化山洪灾害防治，构建流域、区域、城乡统筹协调的防洪减灾体系。推进与梁平、长寿等联合调度合作，建立龙溪河洪涝灾害监测、预警、防御系统，完善防洪防灾应急调度机制。</w:t>
      </w:r>
    </w:p>
    <w:p>
      <w:pPr>
        <w:keepNext w:val="0"/>
        <w:keepLines w:val="0"/>
        <w:pageBreakBefore w:val="0"/>
        <w:widowControl w:val="0"/>
        <w:kinsoku/>
        <w:wordWrap/>
        <w:overflowPunct w:val="0"/>
        <w:topLinePunct w:val="0"/>
        <w:autoSpaceDE/>
        <w:autoSpaceDN/>
        <w:bidi w:val="0"/>
        <w:adjustRightInd/>
        <w:snapToGrid/>
        <w:spacing w:line="240" w:lineRule="auto"/>
        <w:ind w:left="0" w:righ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（三）实施构建现代化产业体系行动。</w:t>
      </w:r>
    </w:p>
    <w:p>
      <w:pPr>
        <w:keepNext w:val="0"/>
        <w:keepLines w:val="0"/>
        <w:pageBreakBefore w:val="0"/>
        <w:widowControl w:val="0"/>
        <w:kinsoku/>
        <w:wordWrap/>
        <w:overflowPunct w:val="0"/>
        <w:topLinePunct w:val="0"/>
        <w:autoSpaceDE/>
        <w:autoSpaceDN/>
        <w:bidi w:val="0"/>
        <w:adjustRightInd/>
        <w:snapToGrid/>
        <w:spacing w:line="240" w:lineRule="auto"/>
        <w:ind w:left="0" w:righ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坚持以大数据智能化为引领，突出建平台、强链条、聚要素，加快传统产业和中小企业数字化转型，着力提升产业高端化、智能化、绿色化水平，加快构建高效分工、错位发展、竞争有序、相互融合的现代化产业体系。到2027年，力争制造业和服务业增加值占GDP比重分别达到25%和50%，战略性新兴产业和高技术产业产值年均增速稳定在20%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righ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8.</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实施高新区建设工程。围绕千亿工业承载地建设目标，不断优化高新区空间规划和产业布局，持续完善高新区交通路网、配套管网、标准厂房、能源设施、服务设施等标准化、绿色化、循环化基础设施网络，加快建设30平方公里高新产业平台，接续创建国家级高新区。统筹要素保障，创新园区发展、融资、招商模式，设立产业发展基金，建设多元多向的供地、供水、供电、供气、通讯网络和区域重要能源节点，完善人才引进、培养、共享等市场化机制，升级服务发展功能。推进集约高效发展，制定完善亩均税收、亩均工业增加值等考核体系，强化“亩均论英雄”，深入开展工业企业高质量发展评价，推动园区从数量规模型向质量效益型转变。推动垫江高新区与广安高新区联合争创成渝地区双城经济圈产业合作示范园区，探索推动跨行政区协作开发和建设运行模式。规划建设新材料、汽摩装备、消费品三个“园中园”，加快建设万亩级现代农业园区、科学公园等重点项目。到2027年，力争园区建成面积新增10平方公里以上，工业集中度提升至86%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righ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9.</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制造业高质量发展。牢固树立“工业一业定乾坤”理念，对接融入全市智能网联新能源汽车、新一代电子信息制造业和先进材料三大万亿级主导产业集群，建设链群完善、生态完备、特色鲜明的工业基地，加快融入“长涪垫梁”先进制造业集聚板块。围绕打造明月山绿色制造业基地，发展壮大新能源材料、装配式建筑部品部件主导产业和休闲食品、智能制造装备、现代中药及中成药、天然气化工等特色产业集群，联动毗邻地区建立区域产业协作体系，推动产业链上下游跨区域整合布局。支持本地龙头企业、支柱企业向头部企业、链主企业“进军”，不断提升核心竞争力和行业话语权。支持专精特新“小巨人”企业向细分领域深耕细作，加快成长为行业“隐形冠军”。持续推动企业“小升规”“规改股”“股上市”，不断提升企业核心竞争力。到2027年，力争全县规上工业企业突破200户以上，培育上市企业2家以上，规上工业总产值突破500亿元。</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10.</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促进数字经济与实体经济融合发展。加快国家级数字经济应用示范高地和国家新一代人工智能创新发展试验区全域数字经济示范区建设，主动适配全市“芯屏器核网”全产业链，加快培育“云联数算用”全要素群，推动人工智能、云计算、区块链等数字产业发展壮大。全面挖掘数据商用、民用、政用价值，拓展智慧政务、智慧交通、智慧医疗、智慧旅游、智慧消费和智慧社区等数字化、智能化应用。实施中小企业数字化转型专项行动，支持企业开展数字化、智能化升级，引导企业“机器换人”“机床换代”。加快数字乡村示范县建设，大力发展智慧农业、数字农业、品牌农业，联合申创明月山国家农业高新技术产业示范区。到2027年，力争数字经济增加值占地区生产总值比重不低于全市平均水平，新建市级智能工厂10个以上、数字化车间20个以上，拓展智慧应用场景20个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11.</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提升现代服务业发展水平。积极构建优质高效的现代服务业体系，促进现代服务业与先进制造业深度融合。发展金融服务，大力发展绿色金融、科技金融、普惠金融，支持各类金融机构来垫设立功能性总部、区域性总部、结算中心、业务管理中心，不断完善金融机构体系。发展科技服务，瞄准信息服务高端环节，重点发展大数据应用、软件服务、研发设计等产业，推动科技和信息服务创新发展。发展工程服务，积极引育工业设计、投资咨询、监理造价等生产性服务业。发展检验检测服务，加快发展一批融合分析试验、标准研制、技术研发、培训咨询等检验检测服务机构。推动生活性服务业向高品质多样化升级，围绕家政、养老、托育等日常生活服务领域，加快建立供给充分、管理规范的居民和家庭服务体系，着力推动“互联网+生活服务”的全面融合发展。到2027年，力争服务业增加值突破380亿元，规上现代服务业企业突破50家。</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12.</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共建成渝现代高效特色农业带。着力打造“四县三乡”特色品牌，加快打造万亩种业小镇、万亩现代农业园区、万亩优质蔬菜、万亩高标准农田、万亩牡丹（芍药）“五个万亩级”示范片，提速推进农业接二连三发展，协同发展绿色食品、有机农产品，加快构建以优质粮油、绿色蔬菜、特色水果、健康畜禽、生态水产、道地中药材为支柱产业的特色高效农业产业体系，把明月山建设成为成渝大都市区市民重要的“米袋子”“菜篮子”“肉盘子”“果园子”供给基地。发挥国家级杂交水稻种子生产基地、国家农产品质量安全县政策优势，立足50亿产值能级的高安食品加工园，引进一批农产品加工品牌企业，加快打造休闲食品、火锅底料、粮油加工等产业集群，共建明月山农产品加工基地。做靓“明月山大米”“龙溪河生态鱼”等区域公用品牌，构建以“明月山”“龙溪河”为地理标志的品牌体系。大力发展农村电商，升级建设重点网货生产基地，完善快递物流、冷链集配体系等配套机制，联合川渝毗邻地区共建农产品、中药材、农业资源资产等交易中心。到2027年，力争打造1个区域公用品牌、10个重庆名牌农产品，新增高标准农田5万亩以上，改造提升高标准农田10万亩以上，农业机械化率65%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（四）实施加快科技应用创新建设行动。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深入推进以大数据智能化为引领的创新驱动发展，不断增强科技创新能力和成果转化能力，推动垫江成为全市重大科技成果应用转化基地和川渝东部重要政策创新示范策源地。到2027年，力争全社会研发经费投入年均增长15%以上，研究经费投入强度达1.5%左右，国家级高新技术企业突破100家，市级科技型企业突破300家。</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13.</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提升协同创新能力。聚焦重庆建设具有全国影响力的科技创新中心，加强与西部（重庆）科学城、两江协同创新区、环高校创新生态圈合作，探索建立创新政策跨区域协同、创新要素跨区域流动、产业链跨区域联动机制，深化异地科研仪器设备等科技资源开放共享，推动垫江与川渝毗邻地区协同创新。高标准、高水平建设市级高新区、国家农业科技园区和西部（重庆）科学城垫江拓展园等创新创业平台，加快构建“3+N”科技创新平台体系。强化科技成果应用创新和运用转化，健全科技成果应用转化的政策保障、要素通道和承接平台，加快建设全市科技成果转移转化重要承接地。突出高新区创新引领功能，激活高新区双创资源，加快科技企业孵化器建设，培育和布局一批高科技产业集群。推动高新区各组团协同创新发展，构建高效协同的创新体系。</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14.</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加快培育创新力量。突出企业创新主体地位，实施高技术企业和科技型企业“双倍增”行动，支持各类创新要素向企业集聚，孵化引育科技型中小微企业，精准培育高技术企业。发挥龙头企业创新带动作用，支持创新型企业成为技术创新重要发源地，支持中小微企业承接科技成果转化、建设共性技术平台，推动大中小企业融通创新、协同发展。支持企业建设国家、市级企业技术中心、工程研究中心、技术创新中心等创新平台。着力引进科学设施和研发平台，培育一批医药健康、新一代信息技术、数字化转型应用等重点研发平台。积极促进产学研协同创新，支持高等院校、科研中心来垫设立研发中心，加强博士后科研工作站建设，到2027年，力争创建各类创新联盟10个，新增市级创新平台5个以上，力争规上工业企业研发机构实现全覆盖。</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15.</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全力优化创新生态。深化科技管理体制机制改革，联动川渝毗邻地区共同建立健全科技成果转化机制、科技评价机制、科技奖励机制等工作机制，营造鼓励创新创业创造的政策环境。完善创新投入机制，加快构建政府投资引导、企业投入为主、科技金融支持、社会资本参与的多元化投融资机制。大力实施“智汇丹乡·筑梦垫江”计划，加大高端人才引育、产业人才优培力度，加快引进和培养创新型、应用型、技能型、创业型人才，做强创新人才队伍主力军。建设好、运用好、推广好科技特派员服务三农平台，力争入选全国十佳创新案例示范推广。强化知识产权保护利用，建立完善区域知识产权协调保护机制，加强毗邻地区知识产权案件联合执法。</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（五）实施打造区域性消费中心行动。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坚持供给创造需求、需求牵引供给，强化消费对经济发展的基础性作用，顺应消费品质化、智能化、多元化、服务化升级趋势，持续增强消费市场的吸聚带动能力、资源配置能力、品质支撑能力，不断增强区域辐射功能。到2027年，力争社会消费品零售总额突破400亿元，社零总额年均增长8%以上，文化和旅游产业增加值占GDP比重6%以上，游客接待量突破1000万人次，旅游综合收入达60亿元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16.</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打造川渝东部区域性消费中心。深入实施消费提质扩容行动，发展壮大“家居建材、农副产品、汽车消费、康养旅游、商贸百货”等城市消费品牌，对接融入全国、全市消费大市场。扩容提质重点消费平台，高起点、高品质建设东部新区、牡丹湖片区商圈，提升西欧花园步行街、爱琴海购物公园、星光天地等重点商圈品质，打造明悦天街、牡丹城等一批特色夜市街区，打造“吃住游购娱”多元城市消费空间。优化提升社区消费服务，不断提升家政、配送和社区便民、物业管理服务水平，不断激活社区消费、身边消费。持续拓展消费新业态，大力发展网络经济、夜间经济、首店经济、银发经济等消费新业态，培育直播电商、社交电商、社区电商、农村电商等消费模式，推动线上线下消费融合。深入实施“巴渝新消费”八大行动，完善消费促进支持政策，健全消费者权益保护制度，打造安全友好的消费环境。</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17.</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融入巴蜀非遗文化走廊。聚焦农文旅融合功能区建设，做靓牡丹牌、豆花牌、农耕牌、温泉牌、康养牌五大文旅名片，深挖牡丹、康养、耕读、古寨等文化资源，提质一批有影响力的精品景区，建设一批有震撼力的大型旅游综合体，融入全市大都市、大三峡旅游目的地产品体系和服务体系，共建巴蜀非遗文化产业园。培育做大休闲度假、自驾旅居、康养民宿等业态，共建明月山森林康养民宿群。加快完善环明月山旅游交通体系，联合搭建明月山文旅发展平台，依托环明月山区域的12个4A级景区，培育一批旅游综合体，推出一批精品旅游线路，共同办好牡丹文化节等明月山主题节会活动，共同唱响“东有莫干山，西有明月山”区域文旅品牌。</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18.</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创新发展消费新场景。加快数字消费融合创新，支持企业搭建5G全景应用生态体系，加快培育数字消费“住业游乐购”全场景，推动实体商业加快数字化、智能化升级，打造新消费体验馆、示范店，加快建设一批智慧商圈、智慧商店、数字街区。开发打造“线上+线下、商品+服务、零售+体验、互联网+场景营销”等新模式，发展智慧门店、自助终端、智能机器人等“无接触零售”。持续激活“宅消费”“云消费”，发展线上超市、线上餐厅、线上门店等线上经济业态，提供“云逛街”“云美食”“云旅游”体验式服务场景。</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19.</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大力发展会展赛事经济。激活会展消费，加快建设川渝东部会展中心，积极引进国内外专业展会企业来垫设立分支机构，聚焦绿色装配式建筑、数字经济、智能产业等主题，策划、承办各类高水平会展，推动会展业和商业、文化、体育、旅游等融合发展，打造具有区域影响力的“垫江会展”品牌。激活文体消费，打造明月山赛事品牌，不断扩大“牡丹花马”、龙溪河垂钓赛、桨板赛、垫江DBA篮球联赛等体育赛事区域影响力，积极申办承办全国、全市和区域性综合性运动会及体育单项赛事，吸引消费人流、物流、信息流向垫江汇聚。</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（六）实施推进生态优先绿色发展行动。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学好用好“两山论”、走深走实“两化路”，深入落实“双碳”政策，着力构建绿色低碳循环发展的经济体系，建设人与自然和谐共生的生态垫江，促进自然生产力与社会生产力辩证统一、相互转化。到2027年，全县万元GDP能耗年均下降3%以上，空气质量优良天数比率保持90%以上，县内主要河流断面水质保持</w:t>
      </w:r>
      <w:r>
        <w:rPr>
          <w:rFonts w:hint="default" w:ascii="Times New Roman" w:hAnsi="Times New Roman" w:eastAsia="宋体" w:cs="Times New Roman"/>
          <w:b w:val="0"/>
          <w:bCs w:val="0"/>
          <w:color w:val="000000"/>
          <w:sz w:val="32"/>
          <w:szCs w:val="32"/>
        </w:rPr>
        <w:t>Ⅲ</w:t>
      </w:r>
      <w:r>
        <w:rPr>
          <w:rFonts w:hint="default" w:ascii="Times New Roman" w:hAnsi="Times New Roman" w:eastAsia="方正仿宋_GBK" w:cs="Times New Roman"/>
          <w:b w:val="0"/>
          <w:bCs w:val="0"/>
          <w:color w:val="000000"/>
          <w:sz w:val="32"/>
          <w:szCs w:val="32"/>
        </w:rPr>
        <w:t>类及以上，森林覆盖率稳定在46%以上，力争创成全国文明城市、国家森林城市。</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不断筑牢长江上游重要生态屏障。统筹山水林田湖草系统治理，实施水土流失治理、生物水质提升、生态河堤建设、湖库消落带治理、国土绿化等工程。协同川渝毗邻地区深化明月山跨区域生态保护合作，联合共建森林防火道路、水系林网和贯通性生态廊道，推进国家战略储备林基地建设，打造明月山生物多样性功能区，共创明月山国家森林公园。推进全域湿地保护修复，精心打造迎风湖、长寿湖国家湿地保护区，提质打造三合湖、白龙湖等城市湿地公园，有效连接城市间森林、绿地等生态图斑，联动打造明月山森林城市群。加强全域中小河流域、坡耕地和水土流失治理，协同开展“三线一单”生态环境分区管控，建立跨流域跨区域横向生态保护补偿机制，共建水资源承载能力监测预警体系。</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21.</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持续强化生态环境治理。严格落实龙溪河主干流沿线1公里、5公里岸线分级管控机制，落实协调统一的环保标准和环境准入政策。探索建立“联合河长制”，协同长寿、梁平等地开展龙溪河流域水环境综合治理与可持续发展试点工作，加大跨流域联合执法力度。开展土壤污染治理与修复试点工作，联合建设土壤环境质量监测网络，协同开展城乡土壤污染地生态修复。完善危险固废跨区转移机制，高质量建设“无废城市”。强化大气污染联防联控，开展细颗粒物（PM2.5）和臭氧污染防治攻坚战，建立重污染天气共同应对机制，推进大气网格化监测监控系统建设。推进毗邻地区生态环境标准逐步统一，建立突发环境事件应急联动机制，搭建生态环境大数据共享综合平台。</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22.</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加快推动绿色低碳发展。落实“双碳”政策，积极稳妥推进碳达峰碳中和，统筹编制全县碳达峰、碳中和“1+2+N”工作实施方案，推动“低碳城镇、低碳园区、低碳社区”等试点示范。协同强化产业准入和落后产能退出，坚决遏制“两高”项目盲目发展。推动绿色转型，全面推行“生态+”“+生态”发展新模式，推动传统产业绿色转型升级，围绕特色自然资源，探索推动碳汇交易试点，构建以产业生态化和生态产业化为主体的生态经济体系。发展壮大节能环保、清洁能源等产业，深入推进垫江产业转型升级示范园区建设，推动产业绿色化、智能化转型，推行企业循环式生产、园区循环式发展、产业循环式组合。到2027年，新建绿色工厂5家，碳达峰碳中和实现阶段性目标。</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23.</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大力推行绿色生产生活方式。建立完善促进绿色生活的政策制度，加强资源环境和生态价值观教育，引导居民形成简约适度、绿色低碳、文明健康的生活理念和生活方式。大力发展绿色建筑、绿色交通，优先发展公共交通，完善自行车、步行通道设施，大力倡导公交优先、绿色出行。倡导绿色消费，大力推广新能源汽车、LED公共照明、绿色建筑等节能环保产品。提倡文明用餐，深入推进“光盘行动”，有效遏制餐饮浪费。开展绿色生活创建活动，全面推行垃圾分类和减量化、资源化，创建生态文明建设示范县。</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（七）实施推进改革赋能增效建设行动。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坚持有效市场和有为政府相结合，充分发挥市场在资源配置中的决定性作用，不断提高资源配置效率，持续增强高质量发展动力活力，全力打造川渝东部改革探路先锋。到2027年，改革的赋能增效作用不断发挥，要素市场化配置等关键领域改革取得重要进展，市场活力全面提升，制度性交易成本明显降低，阻碍生产要素自由流动的行政壁垒和体制机制障碍基本消除，统一开放的市场体系基本建立。</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24.</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营造一流营商环境。全面对标世界银行、国家营商环境评价指标体系，全面融入全市营商环境创新试点城市建设。以数字政府建设为引领，持续推进“放管服”改革，加快推广应用“渝快办”“渝快政”，实现政府服务事项同标准。深化“放管服”改革，加快推进“一件事一次办”改革，深化“一窗综办”改革，实施更多“川渝通办”事项，探索推动成渝地区双城经济圈政务数据资源共享共用。做靓“垫小二”品牌，加快完善和推广“垫小二”企业服务云平台，建设区域性中小微企业数字化转型服务综合体。深入实施“金牌垫小二”、“企业吹哨、部门报到”助企专项行动，靠前服务、主动作为，激发市场主体活力。营造公平公正的法治环境，加强权益保护，推进川渝地区司法服务一体化建设，依法保障市场主体知识产权、正常经营、合法利益。推动毗邻地区信用一体化建设，促进川渝信用体系协同发展。到2027年，新登记市场主体年均增长15%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25.</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构建高标准市场体系。推进落实融入全国统一大市场建设重点举措，建立健全与全国统一制度规则相衔接的制度机制。强化公平竞争政策的基础性作用，加强改进反垄断法和不正当竞争执法。开展市场准入效能评估，畅通市场主体对隐性壁垒的投诉渠道和处理回应机制。推进要素市场化配置改革，深化自然资源资产、农村集体产权、知识产权等产权改革，健全产权执法司法保护制度，依法平等保护各类产权。深化土地管理制度改革，探索混合用地、创新产业用地等政策试点，开展推行弹性年期出让、租让结合等工业用地供应方式。健全统一规范的人力资源市场体系，畅通劳动力和人才流动渠道，推动川渝毗邻地区人力资源共享共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国资国企高质量发展。深化国资国企改革，持续推进国有资本向主业集中、向优势企业集中、向实体经济集中。坚持市场化、集团化、专业化转型发展，持续推进国企整合重组，依法推进机关事业单位经营性资产资源配置，深入推进国企发展壮大现有产业做大存量、投资战略新兴产业做大增量，推动四大集团做强做优做大。坚持完善中国特色国有企业现代公司治理，深入推进对标世界一流企业建设，全面提升企业管理水平和治理效能。深化“管资本”为主的国资监管体制改革，加快推进国资监管理念、监管重点、监管方式、监管导向等多方位转变，建立完善国资监管制度，建设国资在线监管系统，不断提高监管系统性、针对性、有效性。深化效率导向的国资经营评价制度改革，激发国企发展活力和内生动力。</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27.</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民营经济高质量发展。实施民营企业“龙头引领”行动，实施“育种”“扶苗”“强树”计划，支持个体工商户转型升级为企业，推动企业“上云上规上市”，促进各类市场主体发展壮大。严格执行民营企业知识产权保护制度，鼓励建立知识产权保护自律机制。加快创建民营经济示范城市，联合毗邻区县建设民营经济协同发展示范区，深入开展民营经济综合改革试点示范。完善企业家参与涉企政策制定机制，促进民营经济高质量发展和毗邻地区民营企业交流合作，着力构建亲清新型政商关系。实施“逐梦他乡、回报垫江”垫商回归行动，不断做实增量、扩大总量。搭建垫商综合服务平台，联合川渝毗邻地区商会协会共同开展项目推荐、银企对接，共同举办民营经济合作发展峰会。到2027年，民营经济占GDP比重75%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28.</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经济区与行政区适度分离改革。探索推进“澄海新区”建设，探索一体建设的组织管理机制，试行建设用地指标、收储和出让统一管理，推动跨区域的重大规划和重大项目统一编制、联合报批、共同实施。探索共建共享的公共资源配置机制，推动金融、能源、电信、医疗、卫生等跨行政区布局建设和高效服务。探索市场主导的产业协作机制，推动区域产业统筹布局，促进优势产业整合提升、成链发展。探索互利共赢的利益联结机制，推动跨行政区财政协同投入、税收分享、统计分成。</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（八）实施建设川渝东部开放高地行动。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实施更大范围、更宽领域、更深层次对外开放，主动融入开放通道，提档升级开放平台，加快发展开放型经济，提高参与全国、全市资源配置能力和整体经济效率，全面提高对外开放水平。到2027年，全面融入共建“一带一路”、长江经济带发展和西部陆海新通道建设，川渝东部一流的开放高地取得重大进展，开放平台建设取得重大突破，开放经济水平取得重大提升，力争实际利用外资达1.5亿美元，进出口总额达1.4亿美元。</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29.</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全面融入对外开放通道。统筹东西南北四个方向、铁公联运多种方式、人流物流资金流信息流四类要素，加快融入全市立体开放格局。全面融入西部陆海新通道，联动明月山毗邻地区与西部陆海新通道运营重庆公司在平台共用、信息共享、政策互动等方面深度合作。深度融入“一带一路”和长江经济带发展，加快融入重庆国际航空网络和长江黄金水运通道，补齐连接重点机场口岸的快速通道，实现与长江口岸码头近距离连接，构建货物“大进大出”和“快进快出”新通道。密切融入市内及周边地区航空、铁路、水运等口岸，完善互联互通设施和集疏运体系，促进快捷通达和无缝衔接。</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30.</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高水平建设对外开放平台。立足高新区产业开放平台和东部新区城市开放平台，依托中国（重庆）自由贸易试验区联动创新区、重庆高新区·垫江产业合作示范园和长寿区协同发展平台优势，拓展高新区、重庆市垫江软件园、电商物流园等开放平台功能，规划建设渝东综合物流园区、川渝东部会展中心、跨境电商物流分拨中心、外贸出口生产加工基地等新兴开放平台，加快形成“战略平台+园区平台+通道平台+综合服务平台”的开放平台体系。探索建立“信息共享、制度共建、模式共创”合作机制，围绕科技、产业、人才等领域，促进垫江与两江新区、重庆高新区等重点开放平台交流合作，共建一批科技孵化中心、产业合作示范园、人才培育基地等，全面提升对外开放水平。</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31.</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高质量发展开放型经济。壮大出口产业规模，围绕汽摩装备、新材料、消费品等重点领域，培育形成产品特色鲜明、竞争优势明显的出口产业，深化打造全国汽摩轮毂、二甲基亚砜生产出口基地。加快培育外贸新业态新模式，做强一般贸易，大力发展总部贸易、数字贸易，大力推进跨境电商发展。推动加工贸易企业向品牌、研发、分拨和结算等产业价值链高端延伸，促进加工贸易与服务贸易融合发展。鼓励特色优势企业积极开拓东南亚以及“一带一路”沿线国际市场。积极争取跨国公司在垫设立研发机构、地区总部、制造基地。放大明月山招商联盟联动效应，持续深化精准招商、驻外招商、以商招商、产业招商等招商模式，切实推动毗邻地区招商共引、项目互推，力争每年招商到位资金80亿元以上。</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（九）实施推动城乡融合区域协调发展行动。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打通城乡要素自由流动的制度性通道，促进要素更多向乡村流动，在乡村形成各类要素汇聚的良性循环，提速建设全市城乡融合发展先行示范区。到2027年，脱贫攻坚成果进一步巩固拓展，乡村振兴战略全面推进，市级城乡融合发展先行示范区建设取得明显成效，城乡要素流动效率大幅提升，城乡居民人均可支配收入倍差缩小至2.1:1。</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32.</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提速构建“三个功能区”。坚持分类指导，突出重点功能，统筹用地指标、优化资源配置、强化要素保障，提速构建城市化功能区、农产品主产功能区、农文旅融合功能区“三个功能区”，推动全县全域协调发展、融合发展。构建城市化功能区，按“北城南园”优化城市布局，以桂溪、桂阳、太平、澄溪为主体，规划建设约100平方公里产城融合的现代化新城。构建农产品主产功能区，立足高安、周嘉、坪山片区中心支点，因地制宜规模化发展优质粮油、水产畜禽、特色农产品和农副产品精深加工，打造现代特色高效农业示范区。构建农文旅融合功能区，打造明月山沿线、长寿湖沿湖、大石乡试点乡村振兴连片示范，发挥良好的生态环境、人文本底和旅游资源优势，促进农文旅融合发展，打造重庆近郊重要休闲旅游目的地。</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33.</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乡村全面振兴。进一步建立完善防止返贫精准监测帮扶机制和巩固拓展脱贫攻坚成果长效机制，持续巩固脱贫攻坚成果，实现从脱贫攻坚到乡村振兴的转变，加快推动农业农村现代化发展。以市县镇乡村振兴三级分类示范为抓手，点线面同步推进乡村振兴“3+10+26”试点示范建设，着力建设宜居宜业和美乡村，争当全市乡村振兴排头兵。推进新民、沙坪、大石等3个市级乡村振兴示范镇（乡）建设，大力发展种业小镇、现代农业示范园、丘陵地区特色高效农业示范园，推进整镇（乡）示范。分层分类推进明月村等10个县级示范村和竹鸡村等26个镇级示范村建设，坚持突出特色、因地制宜，探索符合本地特色的乡村振兴之路。推动川渝毗邻乡镇在项目共建、党建共联、社会共治等方面强化协作，深化明月山村社区书记论坛、明月山乡村振兴党校等协作平台。</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34.</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实施明月山乡村振兴示范带建设工程。坚持“抓两头带中间”，立足农产品主产功能区和农文旅融合功能区，以打造明月山乡村振兴示范带为牵引，连线成片带动乡村全域振兴。坚持“立足重庆、辐射西南”定位，围绕“牡丹原乡、巴国天府”功能，以策划规划为引领、基础建设为龙头、产业发展为依托、招商引资为抓手、景观提升为补充、平台运作为推动，打好牡丹牌、豆花牌、农耕牌、温泉牌、康养牌。围绕明月大道、天香路两条主干线发展山上文旅、山下产业；打造百里彩林、百里花谷、百里彩田三大文旅产业带；建设大天池坝、大恺之峰、大天宝寨、大东印四大景区，努力建设全国山水牡丹旅游胜地、全市城乡融合发展示范区、国家农业现代化示范区。开工建设牡丹水乡旅游区、明月竹乡旅游区、明月山露营基地群等重点项目。</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35.</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统筹推动城乡融合发展。推动以城带乡、以乡促城、城乡互动融合发展，不断消除城乡二元结构，促进区域协同、城乡一体发展。全面深化农村改革，巩固和完善农村基本经营制度，深化“三变”改革和“三社”融合发展。壮大新型农村集体经济，加快培育农民合作社、家庭农场等新型农业经营主体，探索建立川渝毗邻地区跨区域产业合作和利益联结机制。积极搭建城乡产业协同发展平台，建设一批农民工返乡创业园和孵化基地。打通城乡有序流动的人口迁徙、进城落户农民依法自愿有偿转让退出农村权益、农村集体经营性建设用地入市等制度性通道。全面取消城镇落户限制，鼓励农业转移人口、灵活就业人员等其他常住人口在城镇落户，全面打通农民工、灵活用工人员等流动人员的异地购房、社会保障、子女入学等制度通道。</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（十）实施高品质生活惠民有感行动。</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坚持以人民为中心的发展思想，着力在发展中保障和改善民生，提升公共服务质量和水平，加快完善共建共治共享的社会治理制度，持续增强人民群众获得感、幸福感、安全感、认同感，扎实推进共同富裕和社会全面进步。到2027年，力争人均GDP突破108000元，全体居民人均可支配收入年均增长8%左右，每年城镇新增就业6000人以上，亿元地区生产总值安全事故死亡率控制在0.025以内。</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36.</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促进更加充分更高质量就业。</w:t>
      </w:r>
      <w:bookmarkStart w:id="13" w:name="_Toc7213"/>
      <w:r>
        <w:rPr>
          <w:rFonts w:hint="default" w:ascii="Times New Roman" w:hAnsi="Times New Roman" w:eastAsia="方正仿宋_GBK" w:cs="Times New Roman"/>
          <w:b w:val="0"/>
          <w:bCs w:val="0"/>
          <w:color w:val="000000"/>
          <w:sz w:val="32"/>
          <w:szCs w:val="32"/>
        </w:rPr>
        <w:t>联合川渝毗邻地区探索建立“明月山就业创业联盟—就业和人才中心—人力资源服务机构—街镇就业服务平台—劳务经纪人”五级招工体系，建立统一的就业创业服务标准，合理调度人力资源，促进区域内人才流通。大力开发就业岗位，注重提高产业发展、重大项目、重点民生工程等吸纳就业的能力。实施中等收入群体倍增计划，推动更多群体跨进中等收入群体行列。着力保障重点群体就业创业，加强高校毕业生、退役军人、农民工等重点群体就业工作。大力推行“巴渝工匠”终身职业技能培训制度，协同川渝毗邻地区联合开展职业技能培训、职业技能比赛。建立就业失业统计监测预警体系，推动川渝毗邻地区实现平台共用、信息共享，确保城镇调查失业率控制在5.5%以内。</w:t>
      </w:r>
    </w:p>
    <w:bookmarkEnd w:id="13"/>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37.</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织密织牢社会保障网。深入实施全民参保计划，构建川渝毗邻地区社保转移接续机制。健全完善社会保险和医疗保障体系，推动社会保障服务川渝通办全覆盖。</w:t>
      </w:r>
      <w:bookmarkStart w:id="14" w:name="_Toc17278"/>
      <w:bookmarkStart w:id="15" w:name="_Toc21105"/>
      <w:r>
        <w:rPr>
          <w:rFonts w:hint="default" w:ascii="Times New Roman" w:hAnsi="Times New Roman" w:eastAsia="方正仿宋_GBK" w:cs="Times New Roman"/>
          <w:b w:val="0"/>
          <w:bCs w:val="0"/>
          <w:color w:val="000000"/>
          <w:sz w:val="32"/>
          <w:szCs w:val="32"/>
        </w:rPr>
        <w:t>深化落实企业职工基本养老险全国统筹，开展工伤保险川渝跨省异地就医结算。</w:t>
      </w:r>
      <w:bookmarkEnd w:id="14"/>
      <w:bookmarkEnd w:id="15"/>
      <w:r>
        <w:rPr>
          <w:rFonts w:hint="default" w:ascii="Times New Roman" w:hAnsi="Times New Roman" w:eastAsia="方正仿宋_GBK" w:cs="Times New Roman"/>
          <w:b w:val="0"/>
          <w:bCs w:val="0"/>
          <w:color w:val="000000"/>
          <w:sz w:val="32"/>
          <w:szCs w:val="32"/>
        </w:rPr>
        <w:t>强化妇女、儿童、残疾人等重点群体权益保障，确保新生儿死亡率控制在1.5%以内，困难残疾人生活补贴覆盖率、重度残疾人护理补贴覆盖率分别达100%。</w:t>
      </w:r>
      <w:bookmarkStart w:id="16" w:name="_Toc31769"/>
      <w:bookmarkStart w:id="17" w:name="_Toc1894"/>
      <w:r>
        <w:rPr>
          <w:rFonts w:hint="default" w:ascii="Times New Roman" w:hAnsi="Times New Roman" w:eastAsia="方正仿宋_GBK" w:cs="Times New Roman"/>
          <w:b w:val="0"/>
          <w:bCs w:val="0"/>
          <w:color w:val="000000"/>
          <w:sz w:val="32"/>
          <w:szCs w:val="32"/>
        </w:rPr>
        <w:t>健全退役军人工作体系和保障制度</w:t>
      </w:r>
      <w:bookmarkEnd w:id="16"/>
      <w:bookmarkEnd w:id="17"/>
      <w:r>
        <w:rPr>
          <w:rFonts w:hint="default" w:ascii="Times New Roman" w:hAnsi="Times New Roman" w:eastAsia="方正仿宋_GBK" w:cs="Times New Roman"/>
          <w:b w:val="0"/>
          <w:bCs w:val="0"/>
          <w:color w:val="000000"/>
          <w:sz w:val="32"/>
          <w:szCs w:val="32"/>
        </w:rPr>
        <w:t>，合理提高退役军人和其他优抚对象抚恤待遇标准。推进双拥工作走深走实，全力争创“全国双拥模范城市”。</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38.</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实施健康中国垫江行动。加快推动医疗资源提质扩容、区域均衡布局，同步提升县人民医院、县中医院软硬实力，深化县域医共体“三通”建设，构建形成以三甲医院为主导的医共体模式，聚力打造川渝东部区域医疗中心。提速创建三级甲等疾控中心，建设跨区域重大疫情联动防控救治体系，健全慢性非传染性疾病联合管理服务体系。健全区域公共卫生服务体系，推动疾病联防联控基础设施建设，完善区域突发公共卫生事件监测预警联合处置机制。联合川渝毗邻地区探索建立“互联网+健康服务”新模式，建立“明月山医疗卫生+”平台，推进全民健康信息、智慧医保监管等平台建设，实现医疗卫生信息互联互通、数据共享。大力发展体育事业、体育产业，广泛开展全民健身运动，打造川渝群众体育名城。积极落实应对人口老龄化战略，加快各类公共设施适老化改造，城乡养老服务设施覆盖率均达到100%。</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39.</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动教育新高地建设。办好人民满意的教育，推进基本公共教育优质均衡发展和教育现代化建设，争创全国学前教育普及普惠县、全国义务教育优质均衡县。大力提升普通高中质量，办好继续教育、特殊教育，支持和规范发展民办教育。围绕产业发展需求，引进川渝两省市高校办分校或二级学院，实现高职院校“零突破”。推动职业教育高质量发展，联合川渝毗邻地区共同建设纵向贯通、横向联通、学校教育与职业培训并举的明月山现代职业教育体系。依托明月山特色产业，联合共建一批校内外实训基地，推动产教融合发展。到2027年，公办幼儿园在园幼儿占比达55%以上，高中阶段教育毛入学率达98.5%以上，高等教育毛入学率达60%以上，中职生升学比例达到87%以上，劳动年龄人口平均受教育年限达到14.2年。</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40.</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推进市域社会治理现代化。深化“枫桥经验”垫江实践行动，实施“互联网+基层治理”行动，推行“双网格化”管理，加快三级综治中心标准化、实战化建设，全面提高基层治理社会化、法治化、智能化、专业化水平。联合川渝毗邻地区共建应急管理体系，建立健全定期风险研判、联合演练等长效机制，提高区域内应对自然灾害能力和公共安全保障能力。健全毗邻地区社会治安防控联动体系，促进跨区域扫黑除恶联动性、常态化，严厉打击各类违法犯罪活动。健</w:t>
      </w:r>
      <w:r>
        <w:rPr>
          <w:rFonts w:hint="default" w:ascii="Times New Roman" w:hAnsi="Times New Roman" w:eastAsia="方正仿宋_GBK" w:cs="Times New Roman"/>
          <w:b w:val="0"/>
          <w:bCs w:val="0"/>
          <w:color w:val="000000"/>
          <w:sz w:val="32"/>
          <w:szCs w:val="32"/>
          <w:lang w:val="en-US" w:eastAsia="zh-CN"/>
        </w:rPr>
        <w:t>立</w:t>
      </w:r>
      <w:r>
        <w:rPr>
          <w:rFonts w:hint="default" w:ascii="Times New Roman" w:hAnsi="Times New Roman" w:eastAsia="方正仿宋_GBK" w:cs="Times New Roman"/>
          <w:b w:val="0"/>
          <w:bCs w:val="0"/>
          <w:color w:val="000000"/>
          <w:sz w:val="32"/>
          <w:szCs w:val="32"/>
        </w:rPr>
        <w:t>完善川渝跨区域司法公正、边界调解、社会治理等公共服务衔接通办机制。</w:t>
      </w:r>
    </w:p>
    <w:p>
      <w:pPr>
        <w:keepNext w:val="0"/>
        <w:keepLines w:val="0"/>
        <w:pageBreakBefore w:val="0"/>
        <w:widowControl w:val="0"/>
        <w:tabs>
          <w:tab w:val="left" w:pos="605"/>
        </w:tabs>
        <w:kinsoku/>
        <w:wordWrap/>
        <w:overflowPunct w:val="0"/>
        <w:topLinePunct w:val="0"/>
        <w:autoSpaceDE/>
        <w:autoSpaceDN/>
        <w:bidi w:val="0"/>
        <w:adjustRightInd/>
        <w:snapToGrid/>
        <w:spacing w:line="240" w:lineRule="auto"/>
        <w:ind w:left="0" w:firstLine="632" w:firstLineChars="200"/>
        <w:jc w:val="both"/>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三、组织保障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（一）强化组织领导。</w:t>
      </w:r>
      <w:r>
        <w:rPr>
          <w:rFonts w:hint="default" w:ascii="Times New Roman" w:hAnsi="Times New Roman" w:eastAsia="方正仿宋_GBK" w:cs="Times New Roman"/>
          <w:b w:val="0"/>
          <w:bCs w:val="0"/>
          <w:color w:val="000000"/>
          <w:sz w:val="32"/>
          <w:szCs w:val="32"/>
        </w:rPr>
        <w:t>县推动融入成渝地区双城经济圈建设领导小组牵头抓总，统筹指导全县推动融入成渝地区双城经济圈建设各项工作。县推动融入成渝地区双城经济圈建设领导小组办公室进一步提高政治站位、战略站位，认真履行综合协调、计划制定、督促检查等职责，项目化、清单化推动任务落地落实。各责任单位要立足职能职责，进一步理清职责分工，细化行动方案，加强力量配备，高效完成各项工作任务。各乡镇（街道）、有关单位要与毗邻地区强化横向协同，推动重大任务闭环落实。领导小组办公室、县委督查办、县政府督查办要建立督办台账，健全“任务—分办—落实—跟踪—反馈—上报”工作链条，按月跟踪、季度督办、通报督促、考核推进。</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（二）强化要素保障。</w:t>
      </w:r>
      <w:r>
        <w:rPr>
          <w:rFonts w:hint="default" w:ascii="Times New Roman" w:hAnsi="Times New Roman" w:eastAsia="方正仿宋_GBK" w:cs="Times New Roman"/>
          <w:b w:val="0"/>
          <w:bCs w:val="0"/>
          <w:color w:val="000000"/>
          <w:sz w:val="32"/>
          <w:szCs w:val="32"/>
        </w:rPr>
        <w:t>县级相关部门要积极争取上级政策支持，不断加大对城乡融合、产业发展、生态环境、科技创新、社会民生等领域的政策整合力度，不断建立健全多元资金、土地投入机制，助力推动成渝地区双城经济圈“十大行动”落地落实。各乡镇（街道）</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部门要将财权、事权、人权结合起来，多渠道筹集资金，确保财政投入与各项目标任务相适应，上下联动，合力保障成渝地区双城经济圈建设重大项目、重大事项、重大改革高效推进。</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（三）强化宣传展示。</w:t>
      </w:r>
      <w:r>
        <w:rPr>
          <w:rFonts w:hint="default" w:ascii="Times New Roman" w:hAnsi="Times New Roman" w:eastAsia="方正仿宋_GBK" w:cs="Times New Roman"/>
          <w:b w:val="0"/>
          <w:bCs w:val="0"/>
          <w:color w:val="000000"/>
          <w:sz w:val="32"/>
          <w:szCs w:val="32"/>
        </w:rPr>
        <w:t>以年度标志性项目事项为牵引，开展多形式多层次宣传推介活动，加大全县成渝地区双城经济圈建设工作成果、实施成效、典型案例的宣传展示力度，不断聚集社会关注度、激发企业积极性、增强民众获得感。加强重大节点专题宣传，在重大活动期间集中展示阶段性成果，凝聚最广泛最深厚的建设力量，形成全社会关心支持、主动参与唱好“双城记”、共建经济圈的浓厚氛围。</w:t>
      </w:r>
    </w:p>
    <w:p>
      <w:pPr>
        <w:pStyle w:val="2"/>
        <w:rPr>
          <w:rFonts w:hint="default" w:ascii="Times New Roman" w:hAnsi="Times New Roman" w:cs="Times New Roman"/>
          <w:b w:val="0"/>
          <w:bCs w:val="0"/>
          <w:color w:val="000000"/>
          <w:lang w:val="en" w:eastAsia="zh-CN"/>
        </w:rPr>
      </w:pPr>
    </w:p>
    <w:p>
      <w:pPr>
        <w:rPr>
          <w:rFonts w:hint="default" w:ascii="Times New Roman" w:hAnsi="Times New Roman" w:eastAsia="宋体" w:cs="Times New Roman"/>
          <w:b w:val="0"/>
          <w:bCs w:val="0"/>
          <w:color w:val="000000"/>
          <w:lang w:val="en-US" w:eastAsia="zh-CN"/>
        </w:rPr>
      </w:pPr>
      <w:bookmarkStart w:id="18" w:name="_GoBack"/>
      <w:bookmarkEnd w:id="18"/>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57" w:right="357"/>
      <w:jc w:val="right"/>
    </w:pPr>
    <w:r>
      <w:rPr>
        <w:rStyle w:val="24"/>
        <w:rFonts w:ascii="宋体" w:hAnsi="宋体"/>
        <w:sz w:val="28"/>
      </w:rPr>
      <w:t xml:space="preserve">— </w:t>
    </w:r>
    <w:r>
      <w:rPr>
        <w:rFonts w:ascii="宋体" w:hAnsi="宋体"/>
        <w:sz w:val="28"/>
      </w:rPr>
      <w:fldChar w:fldCharType="begin"/>
    </w:r>
    <w:r>
      <w:rPr>
        <w:rStyle w:val="24"/>
        <w:rFonts w:ascii="宋体" w:hAnsi="宋体"/>
        <w:sz w:val="28"/>
      </w:rPr>
      <w:instrText xml:space="preserve">PAGE  </w:instrText>
    </w:r>
    <w:r>
      <w:rPr>
        <w:rFonts w:ascii="宋体" w:hAnsi="宋体"/>
        <w:sz w:val="28"/>
      </w:rPr>
      <w:fldChar w:fldCharType="separate"/>
    </w:r>
    <w:r>
      <w:rPr>
        <w:rStyle w:val="24"/>
        <w:rFonts w:ascii="宋体" w:hAnsi="宋体"/>
        <w:sz w:val="28"/>
      </w:rPr>
      <w:t>1</w:t>
    </w:r>
    <w:r>
      <w:rPr>
        <w:rFonts w:ascii="宋体" w:hAnsi="宋体"/>
        <w:sz w:val="28"/>
      </w:rPr>
      <w:fldChar w:fldCharType="end"/>
    </w:r>
    <w:r>
      <w:rPr>
        <w:rStyle w:val="24"/>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57" w:right="357"/>
      <w:jc w:val="left"/>
    </w:pPr>
    <w:r>
      <w:rPr>
        <w:rStyle w:val="24"/>
        <w:rFonts w:ascii="宋体" w:hAnsi="宋体"/>
        <w:sz w:val="28"/>
      </w:rPr>
      <w:t xml:space="preserve">— </w:t>
    </w:r>
    <w:r>
      <w:rPr>
        <w:rFonts w:ascii="宋体" w:hAnsi="宋体"/>
        <w:sz w:val="28"/>
      </w:rPr>
      <w:fldChar w:fldCharType="begin"/>
    </w:r>
    <w:r>
      <w:rPr>
        <w:rStyle w:val="24"/>
        <w:rFonts w:ascii="宋体" w:hAnsi="宋体"/>
        <w:sz w:val="28"/>
      </w:rPr>
      <w:instrText xml:space="preserve">PAGE  </w:instrText>
    </w:r>
    <w:r>
      <w:rPr>
        <w:rFonts w:ascii="宋体" w:hAnsi="宋体"/>
        <w:sz w:val="28"/>
      </w:rPr>
      <w:fldChar w:fldCharType="separate"/>
    </w:r>
    <w:r>
      <w:rPr>
        <w:rStyle w:val="24"/>
        <w:rFonts w:ascii="宋体" w:hAnsi="宋体"/>
        <w:sz w:val="28"/>
      </w:rPr>
      <w:t>1</w:t>
    </w:r>
    <w:r>
      <w:rPr>
        <w:rFonts w:ascii="宋体" w:hAnsi="宋体"/>
        <w:sz w:val="28"/>
      </w:rPr>
      <w:fldChar w:fldCharType="end"/>
    </w:r>
    <w:r>
      <w:rPr>
        <w:rStyle w:val="24"/>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48B"/>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4EFA"/>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A7AB1"/>
    <w:rsid w:val="00FB1256"/>
    <w:rsid w:val="00FE155D"/>
    <w:rsid w:val="00FE56E4"/>
    <w:rsid w:val="00FF0646"/>
    <w:rsid w:val="00FF12B7"/>
    <w:rsid w:val="00FF2460"/>
    <w:rsid w:val="00FF6758"/>
    <w:rsid w:val="0AE31F6F"/>
    <w:rsid w:val="0BFE686F"/>
    <w:rsid w:val="1127258D"/>
    <w:rsid w:val="137D3B46"/>
    <w:rsid w:val="17FB75A8"/>
    <w:rsid w:val="189811A8"/>
    <w:rsid w:val="1EEB44D0"/>
    <w:rsid w:val="20FEFDBC"/>
    <w:rsid w:val="220C7BBE"/>
    <w:rsid w:val="24FB6A60"/>
    <w:rsid w:val="2AD53A9C"/>
    <w:rsid w:val="2DFE28E7"/>
    <w:rsid w:val="2ED61F35"/>
    <w:rsid w:val="3CA64556"/>
    <w:rsid w:val="3D303DCF"/>
    <w:rsid w:val="3EFC1DD6"/>
    <w:rsid w:val="3FBE34FC"/>
    <w:rsid w:val="3FEC345B"/>
    <w:rsid w:val="3FF9305F"/>
    <w:rsid w:val="41EFD0B3"/>
    <w:rsid w:val="45AF1A58"/>
    <w:rsid w:val="4F9713CB"/>
    <w:rsid w:val="4FEB8746"/>
    <w:rsid w:val="503C0075"/>
    <w:rsid w:val="53BE3505"/>
    <w:rsid w:val="5C7EB8BD"/>
    <w:rsid w:val="5F7F2402"/>
    <w:rsid w:val="67FC815C"/>
    <w:rsid w:val="69F74AC1"/>
    <w:rsid w:val="6B89FF98"/>
    <w:rsid w:val="6CCD8312"/>
    <w:rsid w:val="6F1FED8E"/>
    <w:rsid w:val="6FBFCDA1"/>
    <w:rsid w:val="6FF7AF38"/>
    <w:rsid w:val="709F334F"/>
    <w:rsid w:val="71FD1C9E"/>
    <w:rsid w:val="757F1F8E"/>
    <w:rsid w:val="771F4FD9"/>
    <w:rsid w:val="77529E35"/>
    <w:rsid w:val="77A55844"/>
    <w:rsid w:val="77DFF3C9"/>
    <w:rsid w:val="7877F350"/>
    <w:rsid w:val="797E73F5"/>
    <w:rsid w:val="7BBBB06D"/>
    <w:rsid w:val="7D5FD2C4"/>
    <w:rsid w:val="7EDA855F"/>
    <w:rsid w:val="7EF79176"/>
    <w:rsid w:val="7FBDFBD7"/>
    <w:rsid w:val="7FE90406"/>
    <w:rsid w:val="8EFE59CF"/>
    <w:rsid w:val="97BD6632"/>
    <w:rsid w:val="9FF724A2"/>
    <w:rsid w:val="A97F08C3"/>
    <w:rsid w:val="AEFF2C73"/>
    <w:rsid w:val="AFF5DC42"/>
    <w:rsid w:val="B77F5C6E"/>
    <w:rsid w:val="B9FF005A"/>
    <w:rsid w:val="BE7F169C"/>
    <w:rsid w:val="BEEB70FE"/>
    <w:rsid w:val="CADBEC83"/>
    <w:rsid w:val="D9F50FBB"/>
    <w:rsid w:val="DCFFBD3B"/>
    <w:rsid w:val="E5EDBD38"/>
    <w:rsid w:val="E67FB794"/>
    <w:rsid w:val="E7F9A7DE"/>
    <w:rsid w:val="E92F2B98"/>
    <w:rsid w:val="EB1783EB"/>
    <w:rsid w:val="EDBFEF9A"/>
    <w:rsid w:val="EF6D6183"/>
    <w:rsid w:val="EF6F4BAC"/>
    <w:rsid w:val="EF7B33B7"/>
    <w:rsid w:val="EFFF10D5"/>
    <w:rsid w:val="F13B2D92"/>
    <w:rsid w:val="F5DB16B7"/>
    <w:rsid w:val="F977ED33"/>
    <w:rsid w:val="F9EFB66C"/>
    <w:rsid w:val="FBCA28A9"/>
    <w:rsid w:val="FBDF46B8"/>
    <w:rsid w:val="FDFB687F"/>
    <w:rsid w:val="FECAD947"/>
    <w:rsid w:val="FEFD9996"/>
    <w:rsid w:val="FEFFAC3B"/>
    <w:rsid w:val="FF3E6910"/>
    <w:rsid w:val="FF7A135F"/>
    <w:rsid w:val="FFA7267A"/>
    <w:rsid w:val="FFBC0A88"/>
    <w:rsid w:val="FFBFE9AF"/>
    <w:rsid w:val="FFEA4E16"/>
    <w:rsid w:val="FFED7B9E"/>
    <w:rsid w:val="FFF748EF"/>
    <w:rsid w:val="FFFF04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24"/>
    </w:rPr>
  </w:style>
  <w:style w:type="paragraph" w:styleId="6">
    <w:name w:val="heading 4"/>
    <w:basedOn w:val="4"/>
    <w:next w:val="1"/>
    <w:qFormat/>
    <w:uiPriority w:val="0"/>
    <w:pPr>
      <w:keepNext/>
      <w:keepLines/>
      <w:spacing w:before="280" w:beforeLines="0" w:after="290" w:afterLines="0" w:line="376" w:lineRule="auto"/>
      <w:outlineLvl w:val="3"/>
    </w:pPr>
    <w:rPr>
      <w:rFonts w:ascii="Cambria" w:hAnsi="Cambria" w:eastAsia="宋体" w:cs="Times New Roman"/>
      <w:b w:val="0"/>
      <w:bCs w:val="0"/>
      <w:sz w:val="28"/>
      <w:szCs w:val="28"/>
    </w:rPr>
  </w:style>
  <w:style w:type="character" w:default="1" w:styleId="21">
    <w:name w:val="Default Paragraph Font"/>
    <w:link w:val="22"/>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2">
    <w:name w:val="Body Text"/>
    <w:basedOn w:val="1"/>
    <w:next w:val="3"/>
    <w:uiPriority w:val="0"/>
    <w:rPr>
      <w:sz w:val="28"/>
    </w:rPr>
  </w:style>
  <w:style w:type="paragraph" w:styleId="3">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Normal Indent"/>
    <w:basedOn w:val="1"/>
    <w:next w:val="1"/>
    <w:qFormat/>
    <w:uiPriority w:val="0"/>
    <w:pPr>
      <w:ind w:firstLine="567"/>
    </w:pPr>
  </w:style>
  <w:style w:type="paragraph" w:styleId="8">
    <w:name w:val="Body Text Indent"/>
    <w:basedOn w:val="1"/>
    <w:uiPriority w:val="0"/>
    <w:pPr>
      <w:ind w:firstLine="630" w:firstLineChars="200"/>
    </w:pPr>
    <w:rPr>
      <w:rFonts w:ascii="仿宋_GB2312" w:eastAsia="仿宋_GB2312"/>
    </w:rPr>
  </w:style>
  <w:style w:type="paragraph" w:styleId="9">
    <w:name w:val="Plain Text"/>
    <w:basedOn w:val="1"/>
    <w:qFormat/>
    <w:uiPriority w:val="0"/>
    <w:rPr>
      <w:rFonts w:ascii="宋体" w:hAnsi="Courier New" w:eastAsia="宋体"/>
      <w:kern w:val="0"/>
      <w:sz w:val="20"/>
    </w:rPr>
  </w:style>
  <w:style w:type="paragraph" w:styleId="10">
    <w:name w:val="Date"/>
    <w:basedOn w:val="1"/>
    <w:next w:val="1"/>
    <w:uiPriority w:val="0"/>
    <w:pPr>
      <w:ind w:left="100" w:leftChars="2500"/>
    </w:pPr>
    <w:rPr>
      <w:rFonts w:eastAsia="宋体"/>
    </w:rPr>
  </w:style>
  <w:style w:type="paragraph" w:styleId="11">
    <w:name w:val="Body Text Indent 2"/>
    <w:basedOn w:val="1"/>
    <w:uiPriority w:val="0"/>
    <w:pPr>
      <w:spacing w:line="580" w:lineRule="exact"/>
      <w:ind w:firstLine="645"/>
    </w:pPr>
    <w:rPr>
      <w:rFonts w:ascii="仿宋_GB2312" w:eastAsia="仿宋_GB2312"/>
    </w:r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before="60" w:after="60"/>
    </w:pPr>
    <w:rPr>
      <w:rFonts w:ascii="Arial" w:hAnsi="Arial" w:eastAsia="仿宋_GB2312"/>
      <w:spacing w:val="-5"/>
      <w:lang w:val="zh-CN" w:eastAsia="en-US"/>
    </w:rPr>
  </w:style>
  <w:style w:type="paragraph" w:styleId="1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7">
    <w:name w:val="Normal (Web)"/>
    <w:basedOn w:val="1"/>
    <w:qFormat/>
    <w:uiPriority w:val="0"/>
    <w:pPr>
      <w:widowControl/>
      <w:spacing w:before="100" w:beforeAutospacing="1" w:after="100" w:afterAutospacing="1" w:line="480" w:lineRule="auto"/>
      <w:jc w:val="left"/>
    </w:pPr>
    <w:rPr>
      <w:rFonts w:ascii="宋体" w:hAnsi="宋体"/>
      <w:kern w:val="0"/>
      <w:sz w:val="24"/>
    </w:rPr>
  </w:style>
  <w:style w:type="paragraph" w:styleId="1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w:basedOn w:val="1"/>
    <w:link w:val="21"/>
    <w:uiPriority w:val="0"/>
    <w:pPr>
      <w:widowControl/>
      <w:spacing w:after="160" w:line="240" w:lineRule="exact"/>
      <w:jc w:val="left"/>
    </w:pPr>
    <w:rPr>
      <w:rFonts w:ascii="Verdana" w:hAnsi="Verdana" w:eastAsia="仿宋_GB2312"/>
      <w:kern w:val="0"/>
      <w:sz w:val="24"/>
      <w:szCs w:val="20"/>
      <w:lang w:eastAsia="en-US"/>
    </w:rPr>
  </w:style>
  <w:style w:type="character" w:styleId="23">
    <w:name w:val="Strong"/>
    <w:qFormat/>
    <w:uiPriority w:val="0"/>
    <w:rPr>
      <w:b/>
      <w:bCs/>
    </w:rPr>
  </w:style>
  <w:style w:type="character" w:styleId="24">
    <w:name w:val="page number"/>
    <w:basedOn w:val="21"/>
    <w:uiPriority w:val="0"/>
  </w:style>
  <w:style w:type="character" w:styleId="25">
    <w:name w:val="Hyperlink"/>
    <w:basedOn w:val="21"/>
    <w:qFormat/>
    <w:uiPriority w:val="0"/>
    <w:rPr>
      <w:color w:val="0000FF"/>
      <w:u w:val="single"/>
    </w:rPr>
  </w:style>
  <w:style w:type="paragraph" w:customStyle="1" w:styleId="26">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27">
    <w:name w:val="0"/>
    <w:basedOn w:val="1"/>
    <w:uiPriority w:val="0"/>
    <w:pPr>
      <w:widowControl/>
      <w:snapToGrid w:val="0"/>
    </w:pPr>
    <w:rPr>
      <w:kern w:val="0"/>
      <w:szCs w:val="20"/>
    </w:rPr>
  </w:style>
  <w:style w:type="paragraph" w:customStyle="1" w:styleId="28">
    <w:name w:val="标题2"/>
    <w:basedOn w:val="1"/>
    <w:qFormat/>
    <w:uiPriority w:val="0"/>
    <w:pPr>
      <w:spacing w:line="594" w:lineRule="exact"/>
      <w:ind w:firstLine="200" w:firstLineChars="200"/>
      <w:outlineLvl w:val="1"/>
    </w:pPr>
    <w:rPr>
      <w:rFonts w:ascii="方正黑体_GBK" w:hAnsi="等线" w:eastAsia="方正仿宋_GBK"/>
      <w:b/>
      <w:szCs w:val="32"/>
    </w:rPr>
  </w:style>
  <w:style w:type="paragraph" w:customStyle="1" w:styleId="29">
    <w:name w:val="索引 51"/>
    <w:basedOn w:val="1"/>
    <w:next w:val="1"/>
    <w:qFormat/>
    <w:uiPriority w:val="0"/>
    <w:pPr>
      <w:ind w:left="1680"/>
    </w:pPr>
  </w:style>
  <w:style w:type="paragraph" w:customStyle="1" w:styleId="30">
    <w:name w:val="正文文本1"/>
    <w:basedOn w:val="1"/>
    <w:qFormat/>
    <w:uiPriority w:val="0"/>
    <w:pPr>
      <w:spacing w:beforeAutospacing="0" w:after="120" w:afterAutospacing="0"/>
    </w:pPr>
  </w:style>
  <w:style w:type="paragraph" w:customStyle="1" w:styleId="31">
    <w:name w:val="Char Char Char Char"/>
    <w:basedOn w:val="1"/>
    <w:uiPriority w:val="0"/>
  </w:style>
  <w:style w:type="paragraph" w:customStyle="1" w:styleId="32">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题目"/>
    <w:basedOn w:val="1"/>
    <w:next w:val="1"/>
    <w:qFormat/>
    <w:uiPriority w:val="0"/>
    <w:pPr>
      <w:spacing w:line="700" w:lineRule="exact"/>
      <w:ind w:firstLine="0" w:firstLineChars="0"/>
      <w:jc w:val="center"/>
    </w:pPr>
    <w:rPr>
      <w:rFonts w:eastAsia="方正小标宋_GBK"/>
      <w:sz w:val="44"/>
      <w:szCs w:val="44"/>
    </w:rPr>
  </w:style>
  <w:style w:type="paragraph" w:customStyle="1" w:styleId="34">
    <w:name w:val="Char"/>
    <w:basedOn w:val="1"/>
    <w:uiPriority w:val="0"/>
    <w:pPr>
      <w:spacing w:before="100" w:beforeAutospacing="1" w:after="100" w:afterAutospacing="1"/>
    </w:pPr>
    <w:rPr>
      <w:rFonts w:eastAsia="仿宋_GB2312"/>
      <w:sz w:val="32"/>
    </w:rPr>
  </w:style>
  <w:style w:type="paragraph" w:customStyle="1" w:styleId="35">
    <w:name w:val="列出段落1"/>
    <w:basedOn w:val="1"/>
    <w:qFormat/>
    <w:uiPriority w:val="34"/>
    <w:pPr>
      <w:ind w:firstLine="420" w:firstLineChars="200"/>
    </w:pPr>
  </w:style>
  <w:style w:type="paragraph" w:customStyle="1" w:styleId="36">
    <w:name w:val="2"/>
    <w:basedOn w:val="1"/>
    <w:qFormat/>
    <w:uiPriority w:val="0"/>
    <w:pPr>
      <w:spacing w:line="640" w:lineRule="exact"/>
    </w:pPr>
    <w:rPr>
      <w:rFonts w:ascii="方正仿宋_GBK" w:hAnsi="方正仿宋_GBK" w:eastAsia="方正小标宋_GBK"/>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118</Words>
  <Characters>674</Characters>
  <Lines>5</Lines>
  <Paragraphs>1</Paragraphs>
  <TotalTime>8.33333333333333</TotalTime>
  <ScaleCrop>false</ScaleCrop>
  <LinksUpToDate>false</LinksUpToDate>
  <CharactersWithSpaces>791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2021-03-24T10:53:00Z</dcterms:created>
  <dc:creator>微软拥护</dc:creator>
  <cp:lastModifiedBy>一生何求</cp:lastModifiedBy>
  <cp:lastPrinted>2022-06-15T14:48:49Z</cp:lastPrinted>
  <dcterms:modified xsi:type="dcterms:W3CDTF">2024-07-29T11:53:10Z</dcterms:modified>
  <dc:title>认真贯彻全市交通建设工作会议精神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