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垫江县人民政府办公室（本级）</w:t>
      </w:r>
    </w:p>
    <w:p>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adjustRightInd w:val="0"/>
        <w:snapToGrid w:val="0"/>
        <w:spacing w:before="0" w:beforeAutospacing="0" w:after="0" w:afterAutospacing="0" w:line="594" w:lineRule="exact"/>
        <w:ind w:firstLine="643" w:firstLineChars="200"/>
        <w:jc w:val="both"/>
        <w:rPr>
          <w:rFonts w:hint="default" w:ascii="方正仿宋_GBK" w:hAnsi="黑体" w:eastAsia="方正仿宋_GBK" w:cs="黑体"/>
          <w:sz w:val="30"/>
          <w:szCs w:val="30"/>
        </w:rPr>
      </w:pPr>
      <w:r>
        <w:rPr>
          <w:rStyle w:val="10"/>
          <w:rFonts w:ascii="黑体" w:hAnsi="黑体" w:eastAsia="黑体" w:cs="黑体"/>
          <w:sz w:val="32"/>
          <w:szCs w:val="32"/>
          <w:shd w:val="clear" w:color="auto" w:fill="FFFFFF"/>
        </w:rPr>
        <w:t>一、单位基本情况</w:t>
      </w:r>
    </w:p>
    <w:p>
      <w:pPr>
        <w:pStyle w:val="6"/>
        <w:shd w:val="clear" w:color="auto" w:fill="FFFFFF"/>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sz w:val="30"/>
          <w:szCs w:val="30"/>
        </w:rPr>
      </w:pPr>
      <w:r>
        <w:rPr>
          <w:rStyle w:val="10"/>
          <w:rFonts w:ascii="方正仿宋_GBK" w:hAnsi="楷体" w:eastAsia="方正仿宋_GBK" w:cs="楷体"/>
          <w:sz w:val="30"/>
          <w:szCs w:val="30"/>
          <w:shd w:val="clear" w:color="auto" w:fill="FFFFFF"/>
        </w:rPr>
        <w:t>（一）职能职责</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1、围绕政府中心工作，协助县政府抓好党的路线、方针、政策和市委、市政府，县委、县政府重大决策、决定、重要工作在全县的贯彻落实。</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2、负责县政府会议的准备工作，协助县政府领导同志组织实施会议决定事项；负责组织、协调政府系统的全县性重大活动。</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3、协助县政府领导同志组织起草或审核以县政府、县政府办公室名义发布的公文。负责县政府及其办公室公文收发、运转、印制工作。</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4、研究县政府各部门和各乡镇人民政府、街道办事处请示县政府的事项，提出审核处理意见，报县政府领导同志审批。</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5、督促检查县政府各部门和各乡镇人民政府、街道办事处对国务院、市政府和县政府文件、会议决定事项及县政府领导同志批示的落实情况，及时向县政府领导同志报告。</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6、加强调查研究工作，向县政府领导同志提供反映政府工作以及全县经济社会发展中的重要情况，为县政府领导同志把握全局、科学决策提供及时、准确、全面的服务。</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7、负责县政府政务值班，指导全县政务值班标准化工作。负责县长公开电话、电子信箱办理工作。负责重大事项信息收集、研判和上报工作。负责协调非紧急求助警情分流工作。负责全县政务值班系统调度工作。</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8、承担推进行政审批制度改革等政府职能转变的协调工作。负责全县电子政务工程建设项目的规划、审批与资源整合。负责推进“互联网＋政务服务”工作。</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9、负责人大代表建议、政协提案的督促办理工作。</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10、负责对全县行政机关公文处理工作进行指导、检查，培训行政文秘人员。</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11、负责政府法制工作的统筹规划、协调监督、指导服务；为县政府重大决策提供法律意见；审查、修改县政府各部门和各乡镇人民政府、街道办事处报送县政府的各种规范性文件；受县政府行政首长委托参与行政复议、诉讼、仲裁活动。</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12、负责县政府公众信息网的规划、建设和管理，保障公众信息网信息数据安全运行；指导、监督全县政务(政府信息)公开及电子政务工作。</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13、承担中共垫江县委外事工作委员会办公室具体工作;承担县政府外事办具体工作;负责贯彻执行外事法律法规和有关规定;负责全县外事工作的统筹协调和计划审批，负责处理和协调涉外事务。</w:t>
      </w:r>
    </w:p>
    <w:p>
      <w:pPr>
        <w:autoSpaceDE w:val="0"/>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14、办理县政府和县政府领导同志交办的其他事项。</w:t>
      </w:r>
    </w:p>
    <w:p>
      <w:pPr>
        <w:pStyle w:val="6"/>
        <w:shd w:val="clear" w:color="auto" w:fill="FFFFFF"/>
        <w:adjustRightInd w:val="0"/>
        <w:snapToGrid w:val="0"/>
        <w:spacing w:before="0" w:beforeAutospacing="0" w:after="0" w:afterAutospacing="0" w:line="594" w:lineRule="exact"/>
        <w:ind w:firstLine="602" w:firstLineChars="200"/>
        <w:jc w:val="both"/>
        <w:rPr>
          <w:rFonts w:hint="default" w:ascii="方正仿宋_GBK" w:eastAsia="方正仿宋_GBK" w:hAnsiTheme="minorEastAsia"/>
          <w:sz w:val="30"/>
          <w:szCs w:val="30"/>
        </w:rPr>
      </w:pPr>
      <w:r>
        <w:rPr>
          <w:rStyle w:val="10"/>
          <w:rFonts w:ascii="方正仿宋_GBK" w:eastAsia="方正仿宋_GBK" w:hAnsiTheme="minorEastAsia"/>
          <w:sz w:val="30"/>
          <w:szCs w:val="30"/>
        </w:rPr>
        <w:t>（二）机构设置</w:t>
      </w:r>
    </w:p>
    <w:p>
      <w:pPr>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根据上述职责，垫江县人民政府办公室（本级）共设置内设机构16个。具体设置及主要职责分别是：</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综合科</w:t>
      </w:r>
      <w:r>
        <w:rPr>
          <w:rFonts w:ascii="方正仿宋_GBK" w:eastAsia="方正仿宋_GBK" w:hAnsiTheme="minorEastAsia"/>
          <w:sz w:val="30"/>
          <w:szCs w:val="30"/>
        </w:rPr>
        <w:t>：负责办理政务来电（电话、电传），报告和传递重要情况。负责牵头拟订办公室机关管理制度。负责办公室社会治安综合治理（含普法、信访稳定）、介绍信管理工作。牵头负责办公室综合目标考核工作。牵头负责县行政协作组、行政中心组工作。承办办公室主任办公会和职工会。</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秘书一科</w:t>
      </w:r>
      <w:r>
        <w:rPr>
          <w:rFonts w:ascii="方正仿宋_GBK" w:eastAsia="方正仿宋_GBK" w:hAnsiTheme="minorEastAsia"/>
          <w:sz w:val="30"/>
          <w:szCs w:val="30"/>
        </w:rPr>
        <w:t>：负责县政府主要领导同志文件运行管理、承办县政府主要领导同志政务活动。办理县政府主要领导同志主管、联系单位有关文、会、事。衔接县政府全体领导同志的政务活动安排、统筹县政府综合性大型会议和活动安排、统筹重要政务接待工作。参与县政府全体会议、县政府常务会议、县长办公会议服务，并负责会议记录和纪要起草等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秘书二科</w:t>
      </w:r>
      <w:r>
        <w:rPr>
          <w:rFonts w:ascii="方正仿宋_GBK" w:eastAsia="方正仿宋_GBK" w:hAnsiTheme="minorEastAsia"/>
          <w:sz w:val="30"/>
          <w:szCs w:val="30"/>
        </w:rPr>
        <w:t>：负责办理发展改革、粮食、财政、税务、国资监管、公共资源交易监管、金融、政府督查、统计、外事、行政学校、审计、军民融合、农业农村、水利、林业、扶贫开发、应急管理、供销等方面的文、会、事。</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秘书三科</w:t>
      </w:r>
      <w:r>
        <w:rPr>
          <w:rFonts w:ascii="方正仿宋_GBK" w:eastAsia="方正仿宋_GBK" w:hAnsiTheme="minorEastAsia"/>
          <w:sz w:val="30"/>
          <w:szCs w:val="30"/>
        </w:rPr>
        <w:t>：负责办理经济和信息化、工业园区、中小企业、招商引资、大数据应用发展、规划和自然资源管理、地震、通信、盐业、交通、外经、外贸、商贸物流、文化和旅游发展、体育、广播电视、市场监管、知识产权、物价、邮政等方面的文、会、事。</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秘书四科</w:t>
      </w:r>
      <w:r>
        <w:rPr>
          <w:rFonts w:ascii="方正仿宋_GBK" w:eastAsia="方正仿宋_GBK" w:hAnsiTheme="minorEastAsia"/>
          <w:sz w:val="30"/>
          <w:szCs w:val="30"/>
        </w:rPr>
        <w:t>：负责办理住房和城乡建设、人民防空、城市管理、城乡建设综合执法、生态环境、东部新区开发建设、人力资源和社会保障、教育、卫生健康、老龄、医疗保障、妇女儿童等方面的文、会、事。</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秘书五科</w:t>
      </w:r>
      <w:r>
        <w:rPr>
          <w:rFonts w:ascii="方正仿宋_GBK" w:eastAsia="方正仿宋_GBK" w:hAnsiTheme="minorEastAsia"/>
          <w:sz w:val="30"/>
          <w:szCs w:val="30"/>
        </w:rPr>
        <w:t>：负责办理民政、科技、退役军人事务、行政服务、行政审批、电子政务、残疾人、烟草、公安、司法、信访、维稳、政府法制等方面的文、会、事。</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党建科</w:t>
      </w:r>
      <w:r>
        <w:rPr>
          <w:rFonts w:ascii="方正仿宋_GBK" w:eastAsia="方正仿宋_GBK" w:hAnsiTheme="minorEastAsia"/>
          <w:sz w:val="30"/>
          <w:szCs w:val="30"/>
        </w:rPr>
        <w:t>：负责县政府党组、办公室党组日常工作。承办县政府党组会议、办公室党组会议。负责办公室党组理论学习中心组相关工作。负责办公室党的政治建设、思想建设、组织建设、作风建设、纪律建设和制度建设。负责办公室机构编制、政工人事，统筹机关群团工作。负责办公室离退休人员管理和服务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督查科</w:t>
      </w:r>
      <w:r>
        <w:rPr>
          <w:rFonts w:ascii="方正仿宋_GBK" w:eastAsia="方正仿宋_GBK" w:hAnsiTheme="minorEastAsia"/>
          <w:sz w:val="30"/>
          <w:szCs w:val="30"/>
        </w:rPr>
        <w:t>：负责督办落实党中央、国务院、市委、市政府重大决策部署。督办落实市委、市政府、县委、县政府领导同志指示批示及上级领导机关交办事项。督办落实政府职能转变等重大改革事项。督办落实市、县人大代表、政协委员涉及县政府工作的建议和提案。开展对县政府部门和乡镇政府（街道办事处）专项工作督查。负责全县经济社会发展考核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会联科</w:t>
      </w:r>
      <w:r>
        <w:rPr>
          <w:rFonts w:ascii="方正仿宋_GBK" w:eastAsia="方正仿宋_GBK" w:hAnsiTheme="minorEastAsia"/>
          <w:sz w:val="30"/>
          <w:szCs w:val="30"/>
        </w:rPr>
        <w:t>：负责县政府全体会议、县政府常务会议、县长办公会议及重要专题会议材料收集、审核以及会场布置、服务。参与县政府大型会议活动和办公室重要会议活动的会场布置、服务。负责办公室会客室、会议室管理和使用登记工作。负责外单位来会登记和通知。</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文秘科</w:t>
      </w:r>
      <w:r>
        <w:rPr>
          <w:rFonts w:ascii="方正仿宋_GBK" w:eastAsia="方正仿宋_GBK" w:hAnsiTheme="minorEastAsia"/>
          <w:sz w:val="30"/>
          <w:szCs w:val="30"/>
        </w:rPr>
        <w:t>：负责公文收发和审核、机要保密、档案、印章管理工作。负责办公室报刊征订和收发工作。负责对全县政府系统公文处理工作的业务指导培训和督促检查。</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信息科</w:t>
      </w:r>
      <w:r>
        <w:rPr>
          <w:rFonts w:ascii="方正仿宋_GBK" w:eastAsia="方正仿宋_GBK" w:hAnsiTheme="minorEastAsia"/>
          <w:sz w:val="30"/>
          <w:szCs w:val="30"/>
        </w:rPr>
        <w:t>：负责编辑信息刊物，向市政府办公厅、县政府报送政务信息。管理全县政务信息工作。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政务服务管理科</w:t>
      </w:r>
      <w:r>
        <w:rPr>
          <w:rFonts w:ascii="方正仿宋_GBK" w:eastAsia="方正仿宋_GBK" w:hAnsiTheme="minorEastAsia"/>
          <w:sz w:val="30"/>
          <w:szCs w:val="30"/>
        </w:rPr>
        <w:t>：承担推进行政审批制度改革等政府职能转变的协调工作。负责全县电子政务工程建设项目的规划、审批与资源整合。负责推进“互联网＋政务服务”工作。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政务公开科</w:t>
      </w:r>
      <w:r>
        <w:rPr>
          <w:rFonts w:ascii="方正仿宋_GBK" w:eastAsia="方正仿宋_GBK" w:hAnsiTheme="minorEastAsia"/>
          <w:sz w:val="30"/>
          <w:szCs w:val="30"/>
        </w:rPr>
        <w:t>：负责县政府、县政府办公室政务（政府信息）公开日常工作。指导、协调、监督全县政务（政府信息）公开工作。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行政科</w:t>
      </w:r>
      <w:r>
        <w:rPr>
          <w:rFonts w:ascii="方正仿宋_GBK" w:eastAsia="方正仿宋_GBK" w:hAnsiTheme="minorEastAsia"/>
          <w:sz w:val="30"/>
          <w:szCs w:val="30"/>
        </w:rPr>
        <w:t>：负责办公室财务管理、固定资产管理、物品采购管理工作。负责办公室购买服务人员管理工作。负责办公室后勤保障服务工作。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机关事务管理科（公共机构节能科）</w:t>
      </w:r>
      <w:r>
        <w:rPr>
          <w:rFonts w:ascii="方正仿宋_GBK" w:eastAsia="方正仿宋_GBK" w:hAnsiTheme="minorEastAsia"/>
          <w:sz w:val="30"/>
          <w:szCs w:val="30"/>
        </w:rPr>
        <w:t>：负责县级机关事务的管理、保障、服务工作，建立管理制度和标准，合理统筹配置资源。负责拟订机关事务管理规章制度，管理县级机关办公用房用地、公务用车、公共机构节约能源资源等工作。指导乡镇（街道）机关事务工作。负责制定和组织实施县级机关资产管理和具体制度，按照职责分工，分类制定县级机关资产配置标准。负责县级机关、县委县政府及所属事业单位国有资产管理工作，研究制定具体管理制度和办法并组织实施，承担产权界定、清查登记、资产处置工作。负责全县机关事业单位公务用车管理工作。负责推进、指导、协调和监督管理全县的公共机构节能工作。组织开展能耗统计、监测和评价考核工作。</w:t>
      </w:r>
    </w:p>
    <w:p>
      <w:pPr>
        <w:adjustRightInd w:val="0"/>
        <w:snapToGrid w:val="0"/>
        <w:spacing w:line="594" w:lineRule="exact"/>
        <w:ind w:firstLine="602" w:firstLineChars="200"/>
        <w:jc w:val="both"/>
        <w:rPr>
          <w:rFonts w:hint="default" w:ascii="方正仿宋_GBK" w:eastAsia="方正仿宋_GBK" w:hAnsiTheme="minorEastAsia"/>
          <w:sz w:val="30"/>
          <w:szCs w:val="30"/>
        </w:rPr>
      </w:pPr>
      <w:r>
        <w:rPr>
          <w:rFonts w:ascii="方正仿宋_GBK" w:eastAsia="方正仿宋_GBK" w:hAnsiTheme="minorEastAsia"/>
          <w:b/>
          <w:sz w:val="30"/>
          <w:szCs w:val="30"/>
        </w:rPr>
        <w:t>政务值班科</w:t>
      </w:r>
      <w:r>
        <w:rPr>
          <w:rFonts w:ascii="方正仿宋_GBK" w:eastAsia="方正仿宋_GBK" w:hAnsiTheme="minorEastAsia"/>
          <w:sz w:val="30"/>
          <w:szCs w:val="30"/>
        </w:rPr>
        <w:t>：负责县政府政务值班，指导全县政务值班标准化工作。负责县长公开电话、电子信箱办理工作。负责重大事项信息收集、研判和上报工作。负责协调非紧急求助警情分流工作。负责全县政务值班系统调度工作。</w:t>
      </w:r>
    </w:p>
    <w:p>
      <w:pPr>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根据上述主要职责及内设机构调整情况，垫江县人民政府办公室人员编制和领导职数核定如下：</w:t>
      </w:r>
    </w:p>
    <w:p>
      <w:pPr>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1、行政编制29名。机关工勤服务人员事业编制8名（按“退一减一”进行核销）。</w:t>
      </w:r>
    </w:p>
    <w:p>
      <w:pPr>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2、领导职数：主任（兼县政府外办主任、县政务服务管理办主任）1名，副主任4名；内设机构领导职数17名（含县委外办秘书科领导职数1名）。</w:t>
      </w:r>
    </w:p>
    <w:p>
      <w:pPr>
        <w:adjustRightInd w:val="0"/>
        <w:snapToGrid w:val="0"/>
        <w:spacing w:line="594" w:lineRule="exact"/>
        <w:ind w:firstLine="600" w:firstLineChars="200"/>
        <w:jc w:val="both"/>
        <w:rPr>
          <w:rFonts w:hint="default" w:ascii="方正仿宋_GBK" w:eastAsia="方正仿宋_GBK" w:hAnsiTheme="minorEastAsia"/>
          <w:sz w:val="30"/>
          <w:szCs w:val="30"/>
        </w:rPr>
      </w:pPr>
      <w:r>
        <w:rPr>
          <w:rFonts w:ascii="方正仿宋_GBK" w:eastAsia="方正仿宋_GBK" w:hAnsiTheme="minorEastAsia"/>
          <w:sz w:val="30"/>
          <w:szCs w:val="30"/>
        </w:rPr>
        <w:t>2024年年末实有在职人数40人，其中行政32人（含市管领导），机关工勤8人。</w:t>
      </w:r>
    </w:p>
    <w:p>
      <w:pPr>
        <w:pStyle w:val="6"/>
        <w:shd w:val="clear" w:color="auto" w:fill="FFFFFF"/>
        <w:adjustRightInd w:val="0"/>
        <w:snapToGrid w:val="0"/>
        <w:spacing w:before="0" w:beforeAutospacing="0" w:after="0" w:afterAutospacing="0" w:line="594" w:lineRule="exact"/>
        <w:ind w:firstLine="643" w:firstLineChars="200"/>
        <w:rPr>
          <w:rStyle w:val="10"/>
          <w:rFonts w:hint="default" w:ascii="方正仿宋_GBK" w:hAnsi="黑体" w:eastAsia="方正仿宋_GBK" w:cs="黑体"/>
          <w:sz w:val="30"/>
          <w:szCs w:val="30"/>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（一）收入支出决算总体情况说明。</w:t>
      </w:r>
    </w:p>
    <w:p>
      <w:pPr>
        <w:pStyle w:val="6"/>
        <w:shd w:val="clear" w:color="auto" w:fill="FFFFFF"/>
        <w:adjustRightInd w:val="0"/>
        <w:snapToGrid w:val="0"/>
        <w:spacing w:before="0" w:beforeAutospacing="0" w:after="0" w:afterAutospacing="0" w:line="594" w:lineRule="exact"/>
        <w:ind w:firstLine="602" w:firstLineChars="200"/>
        <w:rPr>
          <w:rFonts w:hint="default" w:ascii="方正仿宋_GBK" w:hAnsi="方正仿宋_GBK" w:eastAsia="方正仿宋_GBK" w:cs="方正仿宋_GBK"/>
          <w:sz w:val="30"/>
          <w:szCs w:val="30"/>
        </w:rPr>
      </w:pPr>
      <w:r>
        <w:rPr>
          <w:rStyle w:val="10"/>
          <w:rFonts w:ascii="方正仿宋_GBK" w:hAnsi="方正仿宋_GBK" w:eastAsia="方正仿宋_GBK" w:cs="方正仿宋_GBK"/>
          <w:sz w:val="30"/>
          <w:szCs w:val="30"/>
          <w:shd w:val="clear" w:color="auto" w:fill="FFFFFF"/>
        </w:rPr>
        <w:t>1.总体情况。</w:t>
      </w:r>
      <w:r>
        <w:rPr>
          <w:rFonts w:ascii="方正仿宋_GBK" w:hAnsi="方正仿宋_GBK" w:eastAsia="方正仿宋_GBK" w:cs="方正仿宋_GBK"/>
          <w:sz w:val="30"/>
          <w:szCs w:val="30"/>
          <w:shd w:val="clear" w:color="auto" w:fill="FFFFFF"/>
        </w:rPr>
        <w:t>2024年度收入总计1738.08万元，支出总计</w:t>
      </w:r>
      <w:r>
        <w:rPr>
          <w:rFonts w:ascii="方正仿宋_GBK" w:hAnsi="方正仿宋_GBK" w:eastAsia="方正仿宋_GBK" w:cs="方正仿宋_GBK"/>
          <w:sz w:val="30"/>
          <w:szCs w:val="30"/>
        </w:rPr>
        <w:t>1738.08</w:t>
      </w:r>
      <w:r>
        <w:rPr>
          <w:rFonts w:ascii="方正仿宋_GBK" w:hAnsi="方正仿宋_GBK" w:eastAsia="方正仿宋_GBK" w:cs="方正仿宋_GBK"/>
          <w:sz w:val="30"/>
          <w:szCs w:val="30"/>
          <w:shd w:val="clear" w:color="auto" w:fill="FFFFFF"/>
        </w:rPr>
        <w:t>万元。收、支与2023年度相比，增加138.21万元，增长8.64%，主要原因是增加年初预算安排开发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和财政追加职工社保费政策性补缴。</w:t>
      </w:r>
    </w:p>
    <w:p>
      <w:pPr>
        <w:pStyle w:val="6"/>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sz w:val="30"/>
          <w:szCs w:val="30"/>
          <w:shd w:val="clear" w:color="auto" w:fill="FFFFFF"/>
        </w:rPr>
      </w:pPr>
      <w:r>
        <w:rPr>
          <w:rStyle w:val="10"/>
          <w:rFonts w:ascii="方正仿宋_GBK" w:hAnsi="方正仿宋_GBK" w:eastAsia="方正仿宋_GBK" w:cs="方正仿宋_GBK"/>
          <w:sz w:val="30"/>
          <w:szCs w:val="30"/>
          <w:shd w:val="clear" w:color="auto" w:fill="FFFFFF"/>
        </w:rPr>
        <w:t>2.收入情况。</w:t>
      </w:r>
      <w:r>
        <w:rPr>
          <w:rFonts w:ascii="方正仿宋_GBK" w:hAnsi="方正仿宋_GBK" w:eastAsia="方正仿宋_GBK" w:cs="方正仿宋_GBK"/>
          <w:sz w:val="30"/>
          <w:szCs w:val="30"/>
          <w:shd w:val="clear" w:color="auto" w:fill="FFFFFF"/>
        </w:rPr>
        <w:t>2024年度收入合计1680.70万元，与2023年度相比，增加80.83万元，增长5.05%，主要原因是年初预算安排开发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增加和财政追加职工社保费政策性补缴。其中：财政拨款收入</w:t>
      </w:r>
      <w:r>
        <w:rPr>
          <w:rFonts w:ascii="方正仿宋_GBK" w:hAnsi="方正仿宋_GBK" w:eastAsia="方正仿宋_GBK" w:cs="方正仿宋_GBK"/>
          <w:sz w:val="30"/>
          <w:szCs w:val="30"/>
        </w:rPr>
        <w:t>1680.70</w:t>
      </w:r>
      <w:r>
        <w:rPr>
          <w:rFonts w:ascii="方正仿宋_GBK" w:hAnsi="方正仿宋_GBK" w:eastAsia="方正仿宋_GBK" w:cs="方正仿宋_GBK"/>
          <w:sz w:val="30"/>
          <w:szCs w:val="30"/>
          <w:shd w:val="clear" w:color="auto" w:fill="FFFFFF"/>
        </w:rPr>
        <w:t>万元，占</w:t>
      </w:r>
      <w:r>
        <w:rPr>
          <w:rFonts w:ascii="方正仿宋_GBK" w:hAnsi="方正仿宋_GBK" w:eastAsia="方正仿宋_GBK" w:cs="方正仿宋_GBK"/>
          <w:sz w:val="30"/>
          <w:szCs w:val="30"/>
        </w:rPr>
        <w:t>100.00</w:t>
      </w:r>
      <w:r>
        <w:rPr>
          <w:rFonts w:ascii="方正仿宋_GBK" w:hAnsi="方正仿宋_GBK" w:eastAsia="方正仿宋_GBK" w:cs="方正仿宋_GBK"/>
          <w:sz w:val="30"/>
          <w:szCs w:val="30"/>
          <w:shd w:val="clear" w:color="auto" w:fill="FFFFFF"/>
        </w:rPr>
        <w:t>%；事业收入</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万元，占0.00%；经营收入</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万元，占0.00%；其他收入</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万元，占0.00%。此外，使用非财政拨款结余和专用结余</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万元，年初结转和结余</w:t>
      </w:r>
      <w:r>
        <w:rPr>
          <w:rFonts w:ascii="方正仿宋_GBK" w:hAnsi="方正仿宋_GBK" w:eastAsia="方正仿宋_GBK" w:cs="方正仿宋_GBK"/>
          <w:sz w:val="30"/>
          <w:szCs w:val="30"/>
        </w:rPr>
        <w:t>57.37</w:t>
      </w:r>
      <w:r>
        <w:rPr>
          <w:rFonts w:ascii="方正仿宋_GBK" w:hAnsi="方正仿宋_GBK" w:eastAsia="方正仿宋_GBK" w:cs="方正仿宋_GBK"/>
          <w:sz w:val="30"/>
          <w:szCs w:val="30"/>
          <w:shd w:val="clear" w:color="auto" w:fill="FFFFFF"/>
        </w:rPr>
        <w:t>万元。</w:t>
      </w:r>
    </w:p>
    <w:p>
      <w:pPr>
        <w:pStyle w:val="6"/>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sz w:val="30"/>
          <w:szCs w:val="30"/>
          <w:shd w:val="clear" w:color="auto" w:fill="FFFFFF"/>
        </w:rPr>
      </w:pPr>
      <w:r>
        <w:rPr>
          <w:rStyle w:val="10"/>
          <w:rFonts w:ascii="方正仿宋_GBK" w:hAnsi="方正仿宋_GBK" w:eastAsia="方正仿宋_GBK" w:cs="方正仿宋_GBK"/>
          <w:sz w:val="30"/>
          <w:szCs w:val="30"/>
          <w:shd w:val="clear" w:color="auto" w:fill="FFFFFF"/>
        </w:rPr>
        <w:t>3.支出情况。</w:t>
      </w:r>
      <w:r>
        <w:rPr>
          <w:rFonts w:ascii="方正仿宋_GBK" w:hAnsi="方正仿宋_GBK" w:eastAsia="方正仿宋_GBK" w:cs="方正仿宋_GBK"/>
          <w:sz w:val="30"/>
          <w:szCs w:val="30"/>
          <w:shd w:val="clear" w:color="auto" w:fill="FFFFFF"/>
        </w:rPr>
        <w:t>2024年度支出合计</w:t>
      </w:r>
      <w:r>
        <w:rPr>
          <w:rFonts w:ascii="方正仿宋_GBK" w:hAnsi="方正仿宋_GBK" w:eastAsia="方正仿宋_GBK" w:cs="方正仿宋_GBK"/>
          <w:sz w:val="30"/>
          <w:szCs w:val="30"/>
        </w:rPr>
        <w:t>1738.08</w:t>
      </w:r>
      <w:r>
        <w:rPr>
          <w:rFonts w:ascii="方正仿宋_GBK" w:hAnsi="方正仿宋_GBK" w:eastAsia="方正仿宋_GBK" w:cs="方正仿宋_GBK"/>
          <w:sz w:val="30"/>
          <w:szCs w:val="30"/>
          <w:shd w:val="clear" w:color="auto" w:fill="FFFFFF"/>
        </w:rPr>
        <w:t>万元，与2023年度相比，增加138.21万元，增长8.64%，主要原因是增加</w:t>
      </w:r>
      <w:r>
        <w:rPr>
          <w:rFonts w:hint="eastAsia" w:ascii="方正仿宋_GBK" w:hAnsi="方正仿宋_GBK" w:eastAsia="方正仿宋_GBK" w:cs="方正仿宋_GBK"/>
          <w:sz w:val="30"/>
          <w:szCs w:val="30"/>
          <w:shd w:val="clear" w:color="auto" w:fill="FFFFFF"/>
          <w:lang w:eastAsia="zh-CN"/>
        </w:rPr>
        <w:t>年</w:t>
      </w:r>
      <w:r>
        <w:rPr>
          <w:rFonts w:ascii="方正仿宋_GBK" w:hAnsi="方正仿宋_GBK" w:eastAsia="方正仿宋_GBK" w:cs="方正仿宋_GBK"/>
          <w:sz w:val="30"/>
          <w:szCs w:val="30"/>
          <w:shd w:val="clear" w:color="auto" w:fill="FFFFFF"/>
        </w:rPr>
        <w:t>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、财政追加职工社保费政策性补缴和财政用存量资金追加老年人体育协会工作专项。其中：基本支出</w:t>
      </w:r>
      <w:r>
        <w:rPr>
          <w:rFonts w:ascii="方正仿宋_GBK" w:hAnsi="方正仿宋_GBK" w:eastAsia="方正仿宋_GBK" w:cs="方正仿宋_GBK"/>
          <w:sz w:val="30"/>
          <w:szCs w:val="30"/>
        </w:rPr>
        <w:t>1248.02</w:t>
      </w:r>
      <w:r>
        <w:rPr>
          <w:rFonts w:ascii="方正仿宋_GBK" w:hAnsi="方正仿宋_GBK" w:eastAsia="方正仿宋_GBK" w:cs="方正仿宋_GBK"/>
          <w:sz w:val="30"/>
          <w:szCs w:val="30"/>
          <w:shd w:val="clear" w:color="auto" w:fill="FFFFFF"/>
        </w:rPr>
        <w:t>万元，占71.80%；项目支出</w:t>
      </w:r>
      <w:r>
        <w:rPr>
          <w:rFonts w:ascii="方正仿宋_GBK" w:hAnsi="方正仿宋_GBK" w:eastAsia="方正仿宋_GBK" w:cs="方正仿宋_GBK"/>
          <w:sz w:val="30"/>
          <w:szCs w:val="30"/>
        </w:rPr>
        <w:t>490.05</w:t>
      </w:r>
      <w:r>
        <w:rPr>
          <w:rFonts w:ascii="方正仿宋_GBK" w:hAnsi="方正仿宋_GBK" w:eastAsia="方正仿宋_GBK" w:cs="方正仿宋_GBK"/>
          <w:sz w:val="30"/>
          <w:szCs w:val="30"/>
          <w:shd w:val="clear" w:color="auto" w:fill="FFFFFF"/>
        </w:rPr>
        <w:t>万元，占28.20%；经营支出</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万元，占0.00%。此外，结余分配</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w:t>
      </w:r>
    </w:p>
    <w:p>
      <w:pPr>
        <w:pStyle w:val="6"/>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sz w:val="30"/>
          <w:szCs w:val="30"/>
        </w:rPr>
      </w:pPr>
      <w:r>
        <w:rPr>
          <w:rStyle w:val="10"/>
          <w:rFonts w:ascii="方正仿宋_GBK" w:hAnsi="方正仿宋_GBK" w:eastAsia="方正仿宋_GBK" w:cs="方正仿宋_GBK"/>
          <w:sz w:val="30"/>
          <w:szCs w:val="30"/>
          <w:shd w:val="clear" w:color="auto" w:fill="FFFFFF"/>
        </w:rPr>
        <w:t>4.结转结余情况。</w:t>
      </w:r>
      <w:r>
        <w:rPr>
          <w:rFonts w:ascii="方正仿宋_GBK" w:hAnsi="方正仿宋_GBK" w:eastAsia="方正仿宋_GBK" w:cs="方正仿宋_GBK"/>
          <w:sz w:val="30"/>
          <w:szCs w:val="30"/>
          <w:shd w:val="clear" w:color="auto" w:fill="FFFFFF"/>
        </w:rPr>
        <w:t>2024年度年末结转和结余</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eastAsia="方正仿宋_GBK" w:hAnsiTheme="minorEastAsia"/>
          <w:sz w:val="32"/>
          <w:szCs w:val="32"/>
        </w:rPr>
        <w:t>。</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（二）财政拨款收入支出决算总体情况说明</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0"/>
          <w:szCs w:val="30"/>
          <w:shd w:val="clear" w:color="auto" w:fill="FFFFFF"/>
        </w:rPr>
        <w:t>2024年度财政拨款收、支总计1738.08万元。与2023年相比，财政拨款收、支总计各增加138.21万元，增长8.64%。主要原因是增加年初预算安排开发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、财政追加职工社保费政策性补缴。</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（三）一般公共预算财政拨款收入支出决算情况说明</w:t>
      </w:r>
    </w:p>
    <w:p>
      <w:pPr>
        <w:pStyle w:val="6"/>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sz w:val="30"/>
          <w:szCs w:val="30"/>
        </w:rPr>
      </w:pPr>
      <w:r>
        <w:rPr>
          <w:rStyle w:val="10"/>
          <w:rFonts w:ascii="方正仿宋_GBK" w:hAnsi="方正仿宋_GBK" w:eastAsia="方正仿宋_GBK" w:cs="方正仿宋_GBK"/>
          <w:sz w:val="30"/>
          <w:szCs w:val="30"/>
          <w:shd w:val="clear" w:color="auto" w:fill="FFFFFF"/>
        </w:rPr>
        <w:t>1.收入情况。</w:t>
      </w:r>
      <w:r>
        <w:rPr>
          <w:rFonts w:ascii="方正仿宋_GBK" w:hAnsi="方正仿宋_GBK" w:eastAsia="方正仿宋_GBK" w:cs="方正仿宋_GBK"/>
          <w:sz w:val="30"/>
          <w:szCs w:val="30"/>
          <w:shd w:val="clear" w:color="auto" w:fill="FFFFFF"/>
        </w:rPr>
        <w:t>2024年度一般公共预算财政拨款收入</w:t>
      </w:r>
      <w:r>
        <w:rPr>
          <w:rFonts w:ascii="方正仿宋_GBK" w:hAnsi="方正仿宋_GBK" w:eastAsia="方正仿宋_GBK" w:cs="方正仿宋_GBK"/>
          <w:sz w:val="30"/>
          <w:szCs w:val="30"/>
        </w:rPr>
        <w:t>1680.70</w:t>
      </w:r>
      <w:r>
        <w:rPr>
          <w:rFonts w:ascii="方正仿宋_GBK" w:hAnsi="方正仿宋_GBK" w:eastAsia="方正仿宋_GBK" w:cs="方正仿宋_GBK"/>
          <w:sz w:val="30"/>
          <w:szCs w:val="30"/>
          <w:shd w:val="clear" w:color="auto" w:fill="FFFFFF"/>
        </w:rPr>
        <w:t>万元，与2023年度相比，增加80.83万元，增长5.05%。主要原因是增加年初预算安排开发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、财政追加职工社保费政策性补缴。较年初预算数减少105.05万元，下降5.88%。主要原因是年初预算安排开发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110万元，实际支出29.36万元。此外，年初财政拨款结转和结余</w:t>
      </w:r>
      <w:r>
        <w:rPr>
          <w:rFonts w:ascii="方正仿宋_GBK" w:hAnsi="方正仿宋_GBK" w:eastAsia="方正仿宋_GBK" w:cs="方正仿宋_GBK"/>
          <w:sz w:val="30"/>
          <w:szCs w:val="30"/>
        </w:rPr>
        <w:t>57.37</w:t>
      </w:r>
      <w:r>
        <w:rPr>
          <w:rFonts w:ascii="方正仿宋_GBK" w:hAnsi="方正仿宋_GBK" w:eastAsia="方正仿宋_GBK" w:cs="方正仿宋_GBK"/>
          <w:sz w:val="30"/>
          <w:szCs w:val="30"/>
          <w:shd w:val="clear" w:color="auto" w:fill="FFFFFF"/>
        </w:rPr>
        <w:t>万元。</w:t>
      </w:r>
    </w:p>
    <w:p>
      <w:pPr>
        <w:pStyle w:val="6"/>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sz w:val="30"/>
          <w:szCs w:val="30"/>
          <w:shd w:val="clear" w:color="auto" w:fill="FFFFFF"/>
        </w:rPr>
      </w:pPr>
      <w:r>
        <w:rPr>
          <w:rStyle w:val="10"/>
          <w:rFonts w:ascii="方正仿宋_GBK" w:hAnsi="方正仿宋_GBK" w:eastAsia="方正仿宋_GBK" w:cs="方正仿宋_GBK"/>
          <w:sz w:val="30"/>
          <w:szCs w:val="30"/>
          <w:shd w:val="clear" w:color="auto" w:fill="FFFFFF"/>
        </w:rPr>
        <w:t>2.支出情况。</w:t>
      </w:r>
      <w:r>
        <w:rPr>
          <w:rFonts w:ascii="方正仿宋_GBK" w:hAnsi="方正仿宋_GBK" w:eastAsia="方正仿宋_GBK" w:cs="方正仿宋_GBK"/>
          <w:sz w:val="30"/>
          <w:szCs w:val="30"/>
          <w:shd w:val="clear" w:color="auto" w:fill="FFFFFF"/>
        </w:rPr>
        <w:t>2024年度一般公共预算财政拨款支出</w:t>
      </w:r>
      <w:r>
        <w:rPr>
          <w:rFonts w:ascii="方正仿宋_GBK" w:hAnsi="方正仿宋_GBK" w:eastAsia="方正仿宋_GBK" w:cs="方正仿宋_GBK"/>
          <w:sz w:val="30"/>
          <w:szCs w:val="30"/>
        </w:rPr>
        <w:t>1738.08</w:t>
      </w:r>
      <w:r>
        <w:rPr>
          <w:rFonts w:ascii="方正仿宋_GBK" w:hAnsi="方正仿宋_GBK" w:eastAsia="方正仿宋_GBK" w:cs="方正仿宋_GBK"/>
          <w:sz w:val="30"/>
          <w:szCs w:val="30"/>
          <w:shd w:val="clear" w:color="auto" w:fill="FFFFFF"/>
        </w:rPr>
        <w:t>万元，与2023年度相比，增加138.21万元，增长8.64%。主要原因是增加年初预算安排开发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、财政追加职工社保费政策性补缴和财政追加老年人体育协会工作专项。较年初预算数减少47.67万元，下降2.67%。主要原因是年初预算安排开发</w:t>
      </w:r>
      <w:r>
        <w:rPr>
          <w:rFonts w:hint="default" w:ascii="方正仿宋_GBK" w:hAnsi="方正仿宋_GBK" w:eastAsia="方正仿宋_GBK" w:cs="方正仿宋_GBK"/>
          <w:sz w:val="30"/>
          <w:szCs w:val="30"/>
          <w:shd w:val="clear" w:color="auto" w:fill="FFFFFF"/>
        </w:rPr>
        <w:t>OA系统与档案系统协同办公专项</w:t>
      </w:r>
      <w:r>
        <w:rPr>
          <w:rFonts w:ascii="方正仿宋_GBK" w:hAnsi="方正仿宋_GBK" w:eastAsia="方正仿宋_GBK" w:cs="方正仿宋_GBK"/>
          <w:sz w:val="30"/>
          <w:szCs w:val="30"/>
          <w:shd w:val="clear" w:color="auto" w:fill="FFFFFF"/>
        </w:rPr>
        <w:t>110万元，实际支出29.36万元。</w:t>
      </w:r>
    </w:p>
    <w:p>
      <w:pPr>
        <w:pStyle w:val="6"/>
        <w:adjustRightInd w:val="0"/>
        <w:snapToGrid w:val="0"/>
        <w:spacing w:before="0" w:beforeAutospacing="0" w:after="0" w:afterAutospacing="0" w:line="594" w:lineRule="exact"/>
        <w:ind w:firstLine="602" w:firstLineChars="200"/>
        <w:jc w:val="both"/>
        <w:rPr>
          <w:rFonts w:hint="default" w:ascii="方正仿宋_GBK" w:eastAsia="方正仿宋_GBK" w:hAnsiTheme="minorEastAsia"/>
          <w:sz w:val="32"/>
          <w:szCs w:val="32"/>
        </w:rPr>
      </w:pPr>
      <w:r>
        <w:rPr>
          <w:rStyle w:val="10"/>
          <w:rFonts w:ascii="方正仿宋_GBK" w:hAnsi="方正仿宋_GBK" w:eastAsia="方正仿宋_GBK" w:cs="方正仿宋_GBK"/>
          <w:sz w:val="30"/>
          <w:szCs w:val="30"/>
          <w:shd w:val="clear" w:color="auto" w:fill="FFFFFF"/>
        </w:rPr>
        <w:t>3.结转结余情况。</w:t>
      </w:r>
      <w:r>
        <w:rPr>
          <w:rFonts w:ascii="方正仿宋_GBK" w:hAnsi="方正仿宋_GBK" w:eastAsia="方正仿宋_GBK" w:cs="方正仿宋_GBK"/>
          <w:sz w:val="30"/>
          <w:szCs w:val="30"/>
          <w:shd w:val="clear" w:color="auto" w:fill="FFFFFF"/>
        </w:rPr>
        <w:t>2024年度年末一般公共预算财政拨款结转和结余</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eastAsia="方正仿宋_GBK" w:hAnsiTheme="minorEastAsia"/>
          <w:sz w:val="32"/>
          <w:szCs w:val="32"/>
        </w:rPr>
        <w:t>。</w:t>
      </w:r>
    </w:p>
    <w:p>
      <w:pPr>
        <w:pStyle w:val="6"/>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color w:val="FF0000"/>
          <w:sz w:val="30"/>
          <w:szCs w:val="30"/>
          <w:highlight w:val="cyan"/>
          <w:shd w:val="clear" w:color="auto" w:fill="FFFFFF"/>
        </w:rPr>
      </w:pPr>
      <w:r>
        <w:rPr>
          <w:rStyle w:val="10"/>
          <w:rFonts w:ascii="方正仿宋_GBK" w:hAnsi="方正仿宋_GBK" w:eastAsia="方正仿宋_GBK" w:cs="方正仿宋_GBK"/>
          <w:sz w:val="30"/>
          <w:szCs w:val="30"/>
          <w:shd w:val="clear" w:color="auto" w:fill="FFFFFF"/>
        </w:rPr>
        <w:t xml:space="preserve"> 4.比较情况。</w:t>
      </w:r>
      <w:r>
        <w:rPr>
          <w:rFonts w:ascii="方正仿宋_GBK" w:hAnsi="方正仿宋_GBK" w:eastAsia="方正仿宋_GBK" w:cs="方正仿宋_GBK"/>
          <w:sz w:val="30"/>
          <w:szCs w:val="30"/>
          <w:shd w:val="clear" w:color="auto" w:fill="FFFFFF"/>
        </w:rPr>
        <w:t>本单位2024年度一般公共预算财政拨款支出主要用于以下几个方面：</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0"/>
          <w:szCs w:val="30"/>
          <w:shd w:val="clear" w:color="auto" w:fill="FFFFFF"/>
        </w:rPr>
        <w:t>（1）一般公共服务支出</w:t>
      </w:r>
      <w:r>
        <w:rPr>
          <w:rFonts w:ascii="方正仿宋_GBK" w:hAnsi="方正仿宋_GBK" w:eastAsia="方正仿宋_GBK" w:cs="方正仿宋_GBK"/>
          <w:sz w:val="30"/>
          <w:szCs w:val="30"/>
        </w:rPr>
        <w:t>1372.85</w:t>
      </w:r>
      <w:r>
        <w:rPr>
          <w:rFonts w:ascii="方正仿宋_GBK" w:hAnsi="方正仿宋_GBK" w:eastAsia="方正仿宋_GBK" w:cs="方正仿宋_GBK"/>
          <w:sz w:val="30"/>
          <w:szCs w:val="30"/>
          <w:shd w:val="clear" w:color="auto" w:fill="FFFFFF"/>
        </w:rPr>
        <w:t>万元，占</w:t>
      </w:r>
      <w:r>
        <w:rPr>
          <w:rFonts w:ascii="方正仿宋_GBK" w:hAnsi="方正仿宋_GBK" w:eastAsia="方正仿宋_GBK" w:cs="方正仿宋_GBK"/>
          <w:sz w:val="30"/>
          <w:szCs w:val="30"/>
        </w:rPr>
        <w:t>78.99</w:t>
      </w:r>
      <w:r>
        <w:rPr>
          <w:rFonts w:ascii="方正仿宋_GBK" w:hAnsi="方正仿宋_GBK" w:eastAsia="方正仿宋_GBK" w:cs="方正仿宋_GBK"/>
          <w:sz w:val="30"/>
          <w:szCs w:val="30"/>
          <w:shd w:val="clear" w:color="auto" w:fill="FFFFFF"/>
        </w:rPr>
        <w:t>%，较年初预算数减少77.88万元，下降5.37%，主要原因是</w:t>
      </w:r>
      <w:r>
        <w:rPr>
          <w:rFonts w:ascii="方正仿宋_GBK" w:hAnsi="方正仿宋_GBK" w:eastAsia="方正仿宋_GBK" w:cs="方正仿宋_GBK"/>
          <w:sz w:val="32"/>
          <w:szCs w:val="32"/>
          <w:shd w:val="clear" w:color="auto" w:fill="FFFFFF"/>
        </w:rPr>
        <w:t>本单位严格落实政府过“紧日子”的要求，压减预算，控制经费支出。</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0"/>
          <w:szCs w:val="30"/>
          <w:shd w:val="clear" w:color="auto" w:fill="FFFFFF"/>
        </w:rPr>
        <w:t>（2）教育支出</w:t>
      </w:r>
      <w:r>
        <w:rPr>
          <w:rFonts w:ascii="方正仿宋_GBK" w:hAnsi="方正仿宋_GBK" w:eastAsia="方正仿宋_GBK" w:cs="方正仿宋_GBK"/>
          <w:sz w:val="30"/>
          <w:szCs w:val="30"/>
        </w:rPr>
        <w:t>2.34</w:t>
      </w:r>
      <w:r>
        <w:rPr>
          <w:rFonts w:ascii="方正仿宋_GBK" w:hAnsi="方正仿宋_GBK" w:eastAsia="方正仿宋_GBK" w:cs="方正仿宋_GBK"/>
          <w:sz w:val="30"/>
          <w:szCs w:val="30"/>
          <w:shd w:val="clear" w:color="auto" w:fill="FFFFFF"/>
        </w:rPr>
        <w:t>万元，占</w:t>
      </w:r>
      <w:r>
        <w:rPr>
          <w:rFonts w:ascii="方正仿宋_GBK" w:hAnsi="方正仿宋_GBK" w:eastAsia="方正仿宋_GBK" w:cs="方正仿宋_GBK"/>
          <w:sz w:val="30"/>
          <w:szCs w:val="30"/>
        </w:rPr>
        <w:t>0.13</w:t>
      </w:r>
      <w:r>
        <w:rPr>
          <w:rFonts w:ascii="方正仿宋_GBK" w:hAnsi="方正仿宋_GBK" w:eastAsia="方正仿宋_GBK" w:cs="方正仿宋_GBK"/>
          <w:sz w:val="30"/>
          <w:szCs w:val="30"/>
          <w:shd w:val="clear" w:color="auto" w:fill="FFFFFF"/>
        </w:rPr>
        <w:t>%，较年初预算数减少0.49万元，下降17.31%，主要原因是本年度安排培训人次减少，培训费用也减少。</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0"/>
          <w:szCs w:val="30"/>
          <w:shd w:val="clear" w:color="auto" w:fill="FFFFFF"/>
        </w:rPr>
        <w:t>（3）社会保障与就业支出</w:t>
      </w:r>
      <w:r>
        <w:rPr>
          <w:rFonts w:ascii="方正仿宋_GBK" w:hAnsi="方正仿宋_GBK" w:eastAsia="方正仿宋_GBK" w:cs="方正仿宋_GBK"/>
          <w:sz w:val="30"/>
          <w:szCs w:val="30"/>
        </w:rPr>
        <w:t>235.43</w:t>
      </w:r>
      <w:r>
        <w:rPr>
          <w:rFonts w:ascii="方正仿宋_GBK" w:hAnsi="方正仿宋_GBK" w:eastAsia="方正仿宋_GBK" w:cs="方正仿宋_GBK"/>
          <w:sz w:val="30"/>
          <w:szCs w:val="30"/>
          <w:shd w:val="clear" w:color="auto" w:fill="FFFFFF"/>
        </w:rPr>
        <w:t>万元，占</w:t>
      </w:r>
      <w:r>
        <w:rPr>
          <w:rFonts w:ascii="方正仿宋_GBK" w:hAnsi="方正仿宋_GBK" w:eastAsia="方正仿宋_GBK" w:cs="方正仿宋_GBK"/>
          <w:sz w:val="30"/>
          <w:szCs w:val="30"/>
        </w:rPr>
        <w:t>13.55</w:t>
      </w:r>
      <w:r>
        <w:rPr>
          <w:rFonts w:ascii="方正仿宋_GBK" w:hAnsi="方正仿宋_GBK" w:eastAsia="方正仿宋_GBK" w:cs="方正仿宋_GBK"/>
          <w:sz w:val="30"/>
          <w:szCs w:val="30"/>
          <w:shd w:val="clear" w:color="auto" w:fill="FFFFFF"/>
        </w:rPr>
        <w:t>%，较年初预算数增加25.59万元，增长12.20%，主要原因是2024年财政追加职工社保费政策性补缴支出增加。</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0"/>
          <w:szCs w:val="30"/>
          <w:shd w:val="clear" w:color="auto" w:fill="FFFFFF"/>
        </w:rPr>
        <w:t>（4）卫生健康支出</w:t>
      </w:r>
      <w:r>
        <w:rPr>
          <w:rFonts w:ascii="方正仿宋_GBK" w:hAnsi="方正仿宋_GBK" w:eastAsia="方正仿宋_GBK" w:cs="方正仿宋_GBK"/>
          <w:sz w:val="30"/>
          <w:szCs w:val="30"/>
        </w:rPr>
        <w:t>52.49</w:t>
      </w:r>
      <w:r>
        <w:rPr>
          <w:rFonts w:ascii="方正仿宋_GBK" w:hAnsi="方正仿宋_GBK" w:eastAsia="方正仿宋_GBK" w:cs="方正仿宋_GBK"/>
          <w:sz w:val="30"/>
          <w:szCs w:val="30"/>
          <w:shd w:val="clear" w:color="auto" w:fill="FFFFFF"/>
        </w:rPr>
        <w:t>万元，占</w:t>
      </w:r>
      <w:r>
        <w:rPr>
          <w:rFonts w:ascii="方正仿宋_GBK" w:hAnsi="方正仿宋_GBK" w:eastAsia="方正仿宋_GBK" w:cs="方正仿宋_GBK"/>
          <w:sz w:val="30"/>
          <w:szCs w:val="30"/>
        </w:rPr>
        <w:t>3.02</w:t>
      </w:r>
      <w:r>
        <w:rPr>
          <w:rFonts w:ascii="方正仿宋_GBK" w:hAnsi="方正仿宋_GBK" w:eastAsia="方正仿宋_GBK" w:cs="方正仿宋_GBK"/>
          <w:sz w:val="30"/>
          <w:szCs w:val="30"/>
          <w:shd w:val="clear" w:color="auto" w:fill="FFFFFF"/>
        </w:rPr>
        <w:t>%，较年初预算数增加0.31万元，增长0.59%，主要原因是2024年调整职工医疗保险缴费基数增加。</w:t>
      </w:r>
    </w:p>
    <w:p>
      <w:pPr>
        <w:adjustRightInd w:val="0"/>
        <w:snapToGrid w:val="0"/>
        <w:spacing w:line="594" w:lineRule="exact"/>
        <w:ind w:firstLine="600" w:firstLineChars="200"/>
        <w:rPr>
          <w:rFonts w:hint="default" w:ascii="方正仿宋_GBK" w:hAnsi="方正仿宋_GBK" w:eastAsia="方正仿宋_GBK" w:cs="方正仿宋_GBK"/>
          <w:color w:val="FF0000"/>
          <w:sz w:val="30"/>
          <w:szCs w:val="30"/>
          <w:shd w:val="clear" w:color="auto" w:fill="FFFFFF"/>
        </w:rPr>
      </w:pPr>
      <w:r>
        <w:rPr>
          <w:rFonts w:ascii="方正仿宋_GBK" w:hAnsi="方正仿宋_GBK" w:eastAsia="方正仿宋_GBK" w:cs="方正仿宋_GBK"/>
          <w:sz w:val="30"/>
          <w:szCs w:val="30"/>
          <w:shd w:val="clear" w:color="auto" w:fill="FFFFFF"/>
        </w:rPr>
        <w:t>（5）</w:t>
      </w:r>
      <w:r>
        <w:rPr>
          <w:rFonts w:ascii="方正仿宋_GBK" w:hAnsi="方正仿宋_GBK" w:eastAsia="方正仿宋_GBK" w:cs="方正仿宋_GBK"/>
          <w:sz w:val="30"/>
          <w:szCs w:val="30"/>
        </w:rPr>
        <w:t>住房保障支出74.97</w:t>
      </w:r>
      <w:r>
        <w:rPr>
          <w:rFonts w:ascii="方正仿宋_GBK" w:hAnsi="方正仿宋_GBK" w:eastAsia="方正仿宋_GBK" w:cs="方正仿宋_GBK"/>
          <w:sz w:val="30"/>
          <w:szCs w:val="30"/>
          <w:shd w:val="clear" w:color="auto" w:fill="FFFFFF"/>
        </w:rPr>
        <w:t>万元，占</w:t>
      </w:r>
      <w:r>
        <w:rPr>
          <w:rFonts w:ascii="方正仿宋_GBK" w:hAnsi="方正仿宋_GBK" w:eastAsia="方正仿宋_GBK" w:cs="方正仿宋_GBK"/>
          <w:sz w:val="30"/>
          <w:szCs w:val="30"/>
        </w:rPr>
        <w:t>4.31</w:t>
      </w:r>
      <w:r>
        <w:rPr>
          <w:rFonts w:ascii="方正仿宋_GBK" w:hAnsi="方正仿宋_GBK" w:eastAsia="方正仿宋_GBK" w:cs="方正仿宋_GBK"/>
          <w:sz w:val="30"/>
          <w:szCs w:val="30"/>
          <w:shd w:val="clear" w:color="auto" w:fill="FFFFFF"/>
        </w:rPr>
        <w:t>%，较年初预算数增加4.79万元，增长6.83%，主要原因是2024年调整职工公积金缴存基数增加。</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（四）一般公共预算财政拨款基本支出决算情况说明</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0"/>
          <w:szCs w:val="30"/>
          <w:shd w:val="clear" w:color="auto" w:fill="FFFFFF"/>
        </w:rPr>
        <w:t> 2024年度一般公共</w:t>
      </w:r>
      <w:r>
        <w:rPr>
          <w:rFonts w:hint="eastAsia" w:ascii="方正仿宋_GBK" w:hAnsi="方正仿宋_GBK" w:eastAsia="方正仿宋_GBK" w:cs="方正仿宋_GBK"/>
          <w:sz w:val="30"/>
          <w:szCs w:val="30"/>
          <w:shd w:val="clear" w:color="auto" w:fill="FFFFFF"/>
          <w:lang w:eastAsia="zh-CN"/>
        </w:rPr>
        <w:t>预算</w:t>
      </w:r>
      <w:r>
        <w:rPr>
          <w:rFonts w:ascii="方正仿宋_GBK" w:hAnsi="方正仿宋_GBK" w:eastAsia="方正仿宋_GBK" w:cs="方正仿宋_GBK"/>
          <w:sz w:val="30"/>
          <w:szCs w:val="30"/>
          <w:shd w:val="clear" w:color="auto" w:fill="FFFFFF"/>
        </w:rPr>
        <w:t>财政拨款基本支出</w:t>
      </w:r>
      <w:r>
        <w:rPr>
          <w:rFonts w:ascii="方正仿宋_GBK" w:hAnsi="方正仿宋_GBK" w:eastAsia="方正仿宋_GBK" w:cs="方正仿宋_GBK"/>
          <w:sz w:val="30"/>
          <w:szCs w:val="30"/>
        </w:rPr>
        <w:t>1248.02</w:t>
      </w:r>
      <w:r>
        <w:rPr>
          <w:rFonts w:ascii="方正仿宋_GBK" w:hAnsi="方正仿宋_GBK" w:eastAsia="方正仿宋_GBK" w:cs="方正仿宋_GBK"/>
          <w:sz w:val="30"/>
          <w:szCs w:val="30"/>
          <w:shd w:val="clear" w:color="auto" w:fill="FFFFFF"/>
        </w:rPr>
        <w:t>万元。其中：人员经费</w:t>
      </w:r>
      <w:r>
        <w:rPr>
          <w:rFonts w:ascii="方正仿宋_GBK" w:hAnsi="方正仿宋_GBK" w:eastAsia="方正仿宋_GBK" w:cs="方正仿宋_GBK"/>
          <w:sz w:val="30"/>
          <w:szCs w:val="30"/>
        </w:rPr>
        <w:t>1076.13</w:t>
      </w:r>
      <w:r>
        <w:rPr>
          <w:rFonts w:ascii="方正仿宋_GBK" w:hAnsi="方正仿宋_GBK" w:eastAsia="方正仿宋_GBK" w:cs="方正仿宋_GBK"/>
          <w:sz w:val="30"/>
          <w:szCs w:val="30"/>
          <w:shd w:val="clear" w:color="auto" w:fill="FFFFFF"/>
        </w:rPr>
        <w:t>万元，与2023年度相比，增加36.67万元，增长3.53%，主要原因是2024年调整职工工资和财政追加职工社保费政策性补缴。人员经费用途主要包括</w:t>
      </w:r>
      <w:r>
        <w:rPr>
          <w:rFonts w:ascii="方正仿宋_GBK" w:eastAsia="方正仿宋_GBK" w:hAnsiTheme="minorEastAsia"/>
          <w:sz w:val="32"/>
          <w:szCs w:val="32"/>
        </w:rPr>
        <w:t>基本工资、津贴补贴、奖金、伙食补助费、绩效工资、社会保障缴费、住房公积金、其他工资福利、对个人和家庭补助支出。</w:t>
      </w:r>
      <w:r>
        <w:rPr>
          <w:rFonts w:ascii="方正仿宋_GBK" w:hAnsi="方正仿宋_GBK" w:eastAsia="方正仿宋_GBK" w:cs="方正仿宋_GBK"/>
          <w:sz w:val="30"/>
          <w:szCs w:val="30"/>
          <w:shd w:val="clear" w:color="auto" w:fill="FFFFFF"/>
        </w:rPr>
        <w:t>公用经费</w:t>
      </w:r>
      <w:r>
        <w:rPr>
          <w:rFonts w:ascii="方正仿宋_GBK" w:hAnsi="方正仿宋_GBK" w:eastAsia="方正仿宋_GBK" w:cs="方正仿宋_GBK"/>
          <w:sz w:val="30"/>
          <w:szCs w:val="30"/>
        </w:rPr>
        <w:t>171.90</w:t>
      </w:r>
      <w:r>
        <w:rPr>
          <w:rFonts w:ascii="方正仿宋_GBK" w:hAnsi="方正仿宋_GBK" w:eastAsia="方正仿宋_GBK" w:cs="方正仿宋_GBK"/>
          <w:sz w:val="30"/>
          <w:szCs w:val="30"/>
          <w:shd w:val="clear" w:color="auto" w:fill="FFFFFF"/>
        </w:rPr>
        <w:t>万元，与2023年度相比，减少11.61万元，下降6.33%，主要原因是</w:t>
      </w:r>
      <w:r>
        <w:rPr>
          <w:rFonts w:ascii="方正仿宋_GBK" w:hAnsi="方正仿宋_GBK" w:eastAsia="方正仿宋_GBK" w:cs="方正仿宋_GBK"/>
          <w:sz w:val="32"/>
          <w:szCs w:val="32"/>
          <w:shd w:val="clear" w:color="auto" w:fill="FFFFFF"/>
        </w:rPr>
        <w:t>本单位严格落实政府过“紧日子”的要求，压减预算，控制经费支出。</w:t>
      </w:r>
      <w:r>
        <w:rPr>
          <w:rFonts w:ascii="方正仿宋_GBK" w:hAnsi="方正仿宋_GBK" w:eastAsia="方正仿宋_GBK" w:cs="方正仿宋_GBK"/>
          <w:sz w:val="30"/>
          <w:szCs w:val="30"/>
          <w:shd w:val="clear" w:color="auto" w:fill="FFFFFF"/>
        </w:rPr>
        <w:t>公用经费用途主要包括</w:t>
      </w:r>
      <w:r>
        <w:rPr>
          <w:rFonts w:ascii="方正仿宋_GBK" w:eastAsia="方正仿宋_GBK" w:hAnsiTheme="minorEastAsia"/>
          <w:sz w:val="32"/>
          <w:szCs w:val="32"/>
        </w:rPr>
        <w:t>办公费、印刷费、邮电费、差旅费、因公出国（境）、公务接待费、劳务费、公务用车运行维护费、其他交通费、其他商品服务支出等。</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（五）政府性基金预算收支决算情况说明</w:t>
      </w:r>
    </w:p>
    <w:p>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adjustRightInd w:val="0"/>
        <w:snapToGrid w:val="0"/>
        <w:spacing w:before="0" w:beforeAutospacing="0" w:after="0" w:afterAutospacing="0" w:line="594" w:lineRule="exact"/>
        <w:ind w:firstLine="602" w:firstLineChars="200"/>
        <w:jc w:val="both"/>
        <w:rPr>
          <w:rFonts w:hint="default" w:ascii="方正仿宋_GBK" w:hAnsi="楷体" w:eastAsia="方正仿宋_GBK" w:cs="楷体"/>
          <w:b/>
          <w:bCs/>
          <w:sz w:val="30"/>
          <w:szCs w:val="30"/>
          <w:shd w:val="clear" w:color="auto" w:fill="FFFFFF"/>
        </w:rPr>
      </w:pPr>
      <w:r>
        <w:rPr>
          <w:rFonts w:ascii="方正仿宋_GBK" w:hAnsi="楷体" w:eastAsia="方正仿宋_GBK" w:cs="楷体"/>
          <w:b/>
          <w:bCs/>
          <w:sz w:val="30"/>
          <w:szCs w:val="30"/>
          <w:shd w:val="clear" w:color="auto" w:fill="FFFFFF"/>
        </w:rPr>
        <w:t>（六）国有资本经营预算财政拨款支出决算情况说明</w:t>
      </w:r>
    </w:p>
    <w:p>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eastAsia="方正仿宋_GBK" w:hAnsiTheme="minorEastAsia"/>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adjustRightInd w:val="0"/>
        <w:snapToGrid w:val="0"/>
        <w:spacing w:before="0" w:beforeAutospacing="0" w:after="0" w:afterAutospacing="0" w:line="594" w:lineRule="exact"/>
        <w:ind w:firstLine="643" w:firstLineChars="200"/>
        <w:jc w:val="both"/>
        <w:rPr>
          <w:rStyle w:val="10"/>
          <w:rFonts w:hint="default" w:ascii="方正仿宋_GBK" w:hAnsi="黑体" w:eastAsia="方正仿宋_GBK" w:cs="黑体"/>
          <w:sz w:val="30"/>
          <w:szCs w:val="30"/>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（一）“三公”经费支出总体情况说明</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0"/>
          <w:szCs w:val="30"/>
          <w:shd w:val="clear" w:color="auto" w:fill="FFFFFF"/>
        </w:rPr>
        <w:t>2024年度“三公”经费支出共计</w:t>
      </w:r>
      <w:r>
        <w:rPr>
          <w:rFonts w:ascii="方正仿宋_GBK" w:hAnsi="方正仿宋_GBK" w:eastAsia="方正仿宋_GBK" w:cs="方正仿宋_GBK"/>
          <w:sz w:val="30"/>
          <w:szCs w:val="30"/>
        </w:rPr>
        <w:t>54.29</w:t>
      </w:r>
      <w:r>
        <w:rPr>
          <w:rFonts w:ascii="方正仿宋_GBK" w:hAnsi="方正仿宋_GBK" w:eastAsia="方正仿宋_GBK" w:cs="方正仿宋_GBK"/>
          <w:sz w:val="30"/>
          <w:szCs w:val="30"/>
          <w:shd w:val="clear" w:color="auto" w:fill="FFFFFF"/>
        </w:rPr>
        <w:t>万元，较年初预算数减少10.21万元，下降15.83%，主要原因是</w:t>
      </w:r>
      <w:r>
        <w:rPr>
          <w:rFonts w:ascii="方正仿宋_GBK" w:hAnsi="方正仿宋_GBK" w:eastAsia="方正仿宋_GBK" w:cs="方正仿宋_GBK"/>
          <w:sz w:val="32"/>
          <w:szCs w:val="32"/>
          <w:shd w:val="clear" w:color="auto" w:fill="FFFFFF"/>
        </w:rPr>
        <w:t>本单位本年度无因公出国（境）任务，无政策性更新</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0"/>
          <w:szCs w:val="30"/>
          <w:shd w:val="clear" w:color="auto" w:fill="FFFFFF"/>
        </w:rPr>
        <w:t>较上年支出数减少0.58万元，下降1.06%，主要原因是</w:t>
      </w:r>
      <w:r>
        <w:rPr>
          <w:rFonts w:ascii="方正仿宋_GBK" w:hAnsi="方正仿宋_GBK" w:eastAsia="方正仿宋_GBK" w:cs="方正仿宋_GBK"/>
          <w:sz w:val="32"/>
          <w:szCs w:val="32"/>
          <w:shd w:val="clear" w:color="auto" w:fill="FFFFFF"/>
        </w:rPr>
        <w:t>严格执行中央八项规定及其实施细则精神，严格公务接待支出管理。</w:t>
      </w:r>
    </w:p>
    <w:p>
      <w:pPr>
        <w:pStyle w:val="6"/>
        <w:adjustRightInd w:val="0"/>
        <w:snapToGrid w:val="0"/>
        <w:spacing w:before="0" w:beforeAutospacing="0" w:after="0" w:afterAutospacing="0" w:line="594" w:lineRule="exact"/>
        <w:ind w:firstLine="602" w:firstLineChars="200"/>
        <w:jc w:val="both"/>
        <w:rPr>
          <w:rFonts w:hint="default" w:ascii="方正仿宋_GBK" w:hAnsi="楷体" w:eastAsia="方正仿宋_GBK" w:cs="楷体"/>
          <w:b/>
          <w:bCs/>
          <w:sz w:val="30"/>
          <w:szCs w:val="30"/>
          <w:shd w:val="clear" w:color="auto" w:fill="FFFFFF"/>
        </w:rPr>
      </w:pPr>
      <w:r>
        <w:rPr>
          <w:rFonts w:ascii="方正仿宋_GBK" w:hAnsi="楷体" w:eastAsia="方正仿宋_GBK" w:cs="楷体"/>
          <w:b/>
          <w:bCs/>
          <w:sz w:val="30"/>
          <w:szCs w:val="30"/>
          <w:shd w:val="clear" w:color="auto" w:fill="FFFFFF"/>
        </w:rPr>
        <w:t>（二）“三公”经费分项支出情况</w:t>
      </w:r>
    </w:p>
    <w:p>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eastAsia="方正仿宋_GBK" w:hAnsiTheme="minorEastAsia"/>
          <w:sz w:val="32"/>
          <w:szCs w:val="32"/>
        </w:rPr>
      </w:pPr>
      <w:r>
        <w:rPr>
          <w:rFonts w:ascii="方正仿宋_GBK" w:eastAsia="方正仿宋_GBK" w:hAnsiTheme="minorEastAsia"/>
          <w:sz w:val="32"/>
          <w:szCs w:val="32"/>
        </w:rPr>
        <w:t>2024年度本单位因公出国（境）费用0.00万元，费用支出较年初预算数减少2.50万元，下降100.00%，主要原因是我办进一步规范因公出国（境）活动，本单位2024年未发生因公出国（境）费用支出。</w:t>
      </w:r>
      <w:r>
        <w:rPr>
          <w:rFonts w:ascii="方正仿宋_GBK" w:hAnsi="方正仿宋_GBK" w:eastAsia="方正仿宋_GBK" w:cs="方正仿宋_GBK"/>
          <w:sz w:val="32"/>
          <w:szCs w:val="32"/>
          <w:shd w:val="clear" w:color="auto" w:fill="FFFFFF"/>
        </w:rPr>
        <w:t>较上年支出数无增减，主要原因</w:t>
      </w:r>
      <w:r>
        <w:rPr>
          <w:rFonts w:ascii="方正仿宋_GBK" w:hAnsi="方正仿宋_GBK" w:eastAsia="方正仿宋_GBK" w:cs="方正仿宋_GBK"/>
          <w:sz w:val="30"/>
          <w:szCs w:val="30"/>
          <w:shd w:val="clear" w:color="auto" w:fill="FFFFFF"/>
        </w:rPr>
        <w:t>是</w:t>
      </w:r>
      <w:r>
        <w:rPr>
          <w:rFonts w:ascii="方正仿宋_GBK" w:eastAsia="方正仿宋_GBK" w:hAnsiTheme="minorEastAsia"/>
          <w:sz w:val="32"/>
          <w:szCs w:val="32"/>
        </w:rPr>
        <w:t>我办进一步规范因公出国（境）活动，本单位2024年未发生因公出国（境）费用支出。</w:t>
      </w:r>
    </w:p>
    <w:p>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eastAsia="方正仿宋_GBK" w:hAnsiTheme="minorEastAsia"/>
          <w:sz w:val="32"/>
          <w:szCs w:val="32"/>
        </w:rPr>
      </w:pP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购置费0.00万元。费用支出较年初预算数无增减，主要原因是年初预算未安排且本年未发生</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购置费用。较上年支出数无增减，主要原因是上年和本年均未发生</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购置费用。</w:t>
      </w:r>
    </w:p>
    <w:p>
      <w:pPr>
        <w:pStyle w:val="6"/>
        <w:shd w:val="clear" w:color="auto" w:fill="FFFFFF"/>
        <w:adjustRightInd w:val="0"/>
        <w:snapToGrid w:val="0"/>
        <w:spacing w:before="0" w:beforeAutospacing="0" w:after="0" w:afterAutospacing="0" w:line="594" w:lineRule="exact"/>
        <w:ind w:firstLine="600" w:firstLineChars="200"/>
        <w:jc w:val="both"/>
        <w:rPr>
          <w:rFonts w:hint="default" w:ascii="方正仿宋_GBK" w:hAnsi="仿宋" w:eastAsia="方正仿宋_GBK"/>
          <w:sz w:val="32"/>
          <w:szCs w:val="32"/>
        </w:rPr>
      </w:pPr>
      <w:r>
        <w:rPr>
          <w:rFonts w:hint="eastAsia" w:ascii="方正仿宋_GBK" w:hAnsi="方正仿宋_GBK" w:eastAsia="方正仿宋_GBK" w:cs="方正仿宋_GBK"/>
          <w:sz w:val="30"/>
          <w:szCs w:val="30"/>
          <w:shd w:val="clear" w:color="auto" w:fill="FFFFFF"/>
          <w:lang w:eastAsia="zh-CN"/>
        </w:rPr>
        <w:t>公务用车</w:t>
      </w:r>
      <w:r>
        <w:rPr>
          <w:rFonts w:ascii="方正仿宋_GBK" w:hAnsi="方正仿宋_GBK" w:eastAsia="方正仿宋_GBK" w:cs="方正仿宋_GBK"/>
          <w:sz w:val="30"/>
          <w:szCs w:val="30"/>
          <w:shd w:val="clear" w:color="auto" w:fill="FFFFFF"/>
        </w:rPr>
        <w:t>运行维护费</w:t>
      </w:r>
      <w:r>
        <w:rPr>
          <w:rFonts w:ascii="方正仿宋_GBK" w:hAnsi="方正仿宋_GBK" w:eastAsia="方正仿宋_GBK" w:cs="方正仿宋_GBK"/>
          <w:sz w:val="30"/>
          <w:szCs w:val="30"/>
        </w:rPr>
        <w:t>41.93</w:t>
      </w:r>
      <w:r>
        <w:rPr>
          <w:rFonts w:ascii="方正仿宋_GBK" w:hAnsi="方正仿宋_GBK" w:eastAsia="方正仿宋_GBK" w:cs="方正仿宋_GBK"/>
          <w:sz w:val="30"/>
          <w:szCs w:val="30"/>
          <w:shd w:val="clear" w:color="auto" w:fill="FFFFFF"/>
        </w:rPr>
        <w:t>万元，主要用于</w:t>
      </w:r>
      <w:r>
        <w:rPr>
          <w:rFonts w:ascii="方正仿宋_GBK" w:eastAsia="方正仿宋_GBK" w:hAnsiTheme="minorEastAsia"/>
          <w:sz w:val="32"/>
          <w:szCs w:val="32"/>
        </w:rPr>
        <w:t>机要文件交换、市内外因公出行、行政业务检查等工作所需车辆的燃料费、维修维护费、ETC通行费、保险费等。</w:t>
      </w:r>
      <w:r>
        <w:rPr>
          <w:rFonts w:ascii="方正仿宋_GBK" w:hAnsi="方正仿宋_GBK" w:eastAsia="方正仿宋_GBK" w:cs="方正仿宋_GBK"/>
          <w:sz w:val="30"/>
          <w:szCs w:val="30"/>
          <w:shd w:val="clear" w:color="auto" w:fill="FFFFFF"/>
        </w:rPr>
        <w:t>费用支出较年初预算数增加5.93万元，增长16.47%，主要原因是</w:t>
      </w:r>
      <w:r>
        <w:rPr>
          <w:rFonts w:ascii="方正仿宋_GBK" w:hAnsi="方正仿宋_GBK" w:eastAsia="方正仿宋_GBK" w:cs="方正仿宋_GBK"/>
          <w:sz w:val="32"/>
          <w:szCs w:val="32"/>
          <w:shd w:val="clear" w:color="auto" w:fill="FFFFFF"/>
        </w:rPr>
        <w:t>本单位2024年</w:t>
      </w:r>
      <w:r>
        <w:rPr>
          <w:rFonts w:ascii="方正仿宋_GBK" w:eastAsia="方正仿宋_GBK"/>
          <w:sz w:val="32"/>
          <w:szCs w:val="32"/>
        </w:rPr>
        <w:t>度</w:t>
      </w:r>
      <w:r>
        <w:rPr>
          <w:rFonts w:hint="eastAsia" w:ascii="方正仿宋_GBK" w:eastAsia="方正仿宋_GBK"/>
          <w:sz w:val="32"/>
          <w:szCs w:val="32"/>
          <w:lang w:eastAsia="zh-CN"/>
        </w:rPr>
        <w:t>环保督察</w:t>
      </w:r>
      <w:r>
        <w:rPr>
          <w:rFonts w:ascii="方正仿宋_GBK" w:eastAsia="方正仿宋_GBK"/>
          <w:sz w:val="32"/>
          <w:szCs w:val="32"/>
        </w:rPr>
        <w:t>、</w:t>
      </w:r>
      <w:r>
        <w:rPr>
          <w:rFonts w:ascii="方正仿宋_GBK" w:hAnsi="仿宋" w:eastAsia="方正仿宋_GBK"/>
          <w:sz w:val="32"/>
          <w:szCs w:val="32"/>
        </w:rPr>
        <w:t>市内外因公出行、行政业务检查等工作开展，</w:t>
      </w:r>
      <w:r>
        <w:rPr>
          <w:rFonts w:hint="eastAsia" w:ascii="方正仿宋_GBK" w:hAnsi="仿宋" w:eastAsia="方正仿宋_GBK"/>
          <w:sz w:val="32"/>
          <w:szCs w:val="32"/>
          <w:lang w:eastAsia="zh-CN"/>
        </w:rPr>
        <w:t>公务用车</w:t>
      </w:r>
      <w:r>
        <w:rPr>
          <w:rFonts w:ascii="方正仿宋_GBK" w:hAnsi="仿宋" w:eastAsia="方正仿宋_GBK"/>
          <w:sz w:val="32"/>
          <w:szCs w:val="32"/>
        </w:rPr>
        <w:t>运行维护费略有增加</w:t>
      </w:r>
      <w:r>
        <w:rPr>
          <w:rFonts w:ascii="方正仿宋_GBK" w:eastAsia="方正仿宋_GBK" w:hAnsiTheme="minorEastAsia"/>
          <w:sz w:val="32"/>
          <w:szCs w:val="32"/>
        </w:rPr>
        <w:t>。</w:t>
      </w:r>
      <w:r>
        <w:rPr>
          <w:rFonts w:ascii="方正仿宋_GBK" w:hAnsi="方正仿宋_GBK" w:eastAsia="方正仿宋_GBK" w:cs="方正仿宋_GBK"/>
          <w:sz w:val="30"/>
          <w:szCs w:val="30"/>
          <w:shd w:val="clear" w:color="auto" w:fill="FFFFFF"/>
        </w:rPr>
        <w:t>较上年支出数增加0.45万元，增长1.08%，主要原因是</w:t>
      </w:r>
      <w:r>
        <w:rPr>
          <w:rFonts w:ascii="方正仿宋_GBK" w:hAnsi="方正仿宋_GBK" w:eastAsia="方正仿宋_GBK" w:cs="方正仿宋_GBK"/>
          <w:sz w:val="32"/>
          <w:szCs w:val="32"/>
          <w:shd w:val="clear" w:color="auto" w:fill="FFFFFF"/>
        </w:rPr>
        <w:t>本单位2024年</w:t>
      </w:r>
      <w:r>
        <w:rPr>
          <w:rFonts w:ascii="方正仿宋_GBK" w:eastAsia="方正仿宋_GBK"/>
          <w:sz w:val="32"/>
          <w:szCs w:val="32"/>
        </w:rPr>
        <w:t>度</w:t>
      </w:r>
      <w:r>
        <w:rPr>
          <w:rFonts w:ascii="方正仿宋_GBK" w:hAnsi="仿宋" w:eastAsia="方正仿宋_GBK"/>
          <w:sz w:val="32"/>
          <w:szCs w:val="32"/>
        </w:rPr>
        <w:t>市内外因公出行、行政业务检查等工作开展，</w:t>
      </w:r>
      <w:r>
        <w:rPr>
          <w:rFonts w:hint="eastAsia" w:ascii="方正仿宋_GBK" w:hAnsi="仿宋" w:eastAsia="方正仿宋_GBK"/>
          <w:sz w:val="32"/>
          <w:szCs w:val="32"/>
          <w:lang w:eastAsia="zh-CN"/>
        </w:rPr>
        <w:t>公务用车</w:t>
      </w:r>
      <w:r>
        <w:rPr>
          <w:rFonts w:ascii="方正仿宋_GBK" w:hAnsi="仿宋" w:eastAsia="方正仿宋_GBK"/>
          <w:sz w:val="32"/>
          <w:szCs w:val="32"/>
        </w:rPr>
        <w:t>运行维护费略有增加。</w:t>
      </w:r>
    </w:p>
    <w:p>
      <w:pPr>
        <w:pStyle w:val="6"/>
        <w:shd w:val="clear" w:color="auto" w:fill="FFFFFF"/>
        <w:adjustRightInd w:val="0"/>
        <w:snapToGrid w:val="0"/>
        <w:spacing w:before="0" w:beforeAutospacing="0" w:after="0" w:afterAutospacing="0" w:line="594" w:lineRule="exact"/>
        <w:ind w:firstLine="600" w:firstLineChars="200"/>
        <w:jc w:val="both"/>
        <w:rPr>
          <w:rFonts w:hint="default" w:ascii="方正仿宋_GBK" w:eastAsia="方正仿宋_GBK" w:hAnsiTheme="minorEastAsia"/>
          <w:sz w:val="32"/>
          <w:szCs w:val="32"/>
        </w:rPr>
      </w:pPr>
      <w:r>
        <w:rPr>
          <w:rFonts w:ascii="方正仿宋_GBK" w:hAnsi="方正仿宋_GBK" w:eastAsia="方正仿宋_GBK" w:cs="方正仿宋_GBK"/>
          <w:sz w:val="30"/>
          <w:szCs w:val="30"/>
          <w:shd w:val="clear" w:color="auto" w:fill="FFFFFF"/>
        </w:rPr>
        <w:t>公务接待费</w:t>
      </w:r>
      <w:r>
        <w:rPr>
          <w:rFonts w:ascii="方正仿宋_GBK" w:hAnsi="方正仿宋_GBK" w:eastAsia="方正仿宋_GBK" w:cs="方正仿宋_GBK"/>
          <w:sz w:val="30"/>
          <w:szCs w:val="30"/>
        </w:rPr>
        <w:t>12.35</w:t>
      </w:r>
      <w:r>
        <w:rPr>
          <w:rFonts w:ascii="方正仿宋_GBK" w:hAnsi="方正仿宋_GBK" w:eastAsia="方正仿宋_GBK" w:cs="方正仿宋_GBK"/>
          <w:sz w:val="30"/>
          <w:szCs w:val="30"/>
          <w:shd w:val="clear" w:color="auto" w:fill="FFFFFF"/>
        </w:rPr>
        <w:t>万元，主要用于接待</w:t>
      </w:r>
      <w:r>
        <w:rPr>
          <w:rFonts w:ascii="方正仿宋_GBK" w:eastAsia="方正仿宋_GBK" w:hAnsiTheme="minorEastAsia"/>
          <w:sz w:val="32"/>
          <w:szCs w:val="32"/>
        </w:rPr>
        <w:t>市内其他区县及有关单位到我单位学习调研政府工作，接受相关部门检查指导工作及招商引资工作发生的接待支出。</w:t>
      </w:r>
      <w:r>
        <w:rPr>
          <w:rFonts w:ascii="方正仿宋_GBK" w:hAnsi="方正仿宋_GBK" w:eastAsia="方正仿宋_GBK" w:cs="方正仿宋_GBK"/>
          <w:sz w:val="30"/>
          <w:szCs w:val="30"/>
          <w:shd w:val="clear" w:color="auto" w:fill="FFFFFF"/>
        </w:rPr>
        <w:t>费用支出较年初预算数减少13.65万元，下降52.50%，较上年支出数减少1.03万元，下降7.70%，</w:t>
      </w:r>
      <w:r>
        <w:rPr>
          <w:rFonts w:ascii="方正仿宋_GBK" w:eastAsia="方正仿宋_GBK" w:hAnsiTheme="minorEastAsia"/>
          <w:sz w:val="32"/>
          <w:szCs w:val="32"/>
        </w:rPr>
        <w:t>较年初预算和上年决算下降的主要原因一是认真贯彻落实中央八项规定精神和厉行节约要求，从严控制“三公”经费。二是强化公务接待支出管理，严格遵守公务接待开支范围和开支标准，严格控制陪餐人数，对应由接待对象承担的费用一律由接待对象自行支付，公务接待费下降。</w:t>
      </w:r>
    </w:p>
    <w:p>
      <w:pPr>
        <w:pStyle w:val="6"/>
        <w:shd w:val="clear" w:color="auto" w:fill="FFFFFF"/>
        <w:adjustRightInd w:val="0"/>
        <w:snapToGrid w:val="0"/>
        <w:spacing w:before="0" w:beforeAutospacing="0" w:after="0" w:afterAutospacing="0" w:line="594" w:lineRule="exact"/>
        <w:ind w:firstLine="602" w:firstLineChars="200"/>
        <w:jc w:val="both"/>
        <w:rPr>
          <w:rFonts w:hint="default" w:ascii="方正仿宋_GBK" w:hAnsi="楷体" w:eastAsia="方正仿宋_GBK" w:cs="楷体"/>
          <w:b/>
          <w:bCs/>
          <w:sz w:val="30"/>
          <w:szCs w:val="30"/>
          <w:shd w:val="clear" w:color="auto" w:fill="FFFFFF"/>
        </w:rPr>
      </w:pPr>
      <w:r>
        <w:rPr>
          <w:rFonts w:ascii="方正仿宋_GBK" w:hAnsi="楷体" w:eastAsia="方正仿宋_GBK" w:cs="楷体"/>
          <w:b/>
          <w:bCs/>
          <w:sz w:val="30"/>
          <w:szCs w:val="30"/>
          <w:shd w:val="clear" w:color="auto" w:fill="FFFFFF"/>
        </w:rPr>
        <w:t>（三）“三公”经费实物量情况</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0"/>
          <w:szCs w:val="30"/>
          <w:shd w:val="clear" w:color="auto" w:fill="FFFFFF"/>
        </w:rPr>
        <w:t>2024年度本单位因公出国（境）共计</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个团组，</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人；公务用车购置</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辆，</w:t>
      </w:r>
      <w:r>
        <w:rPr>
          <w:rFonts w:hint="eastAsia" w:ascii="方正仿宋_GBK" w:hAnsi="方正仿宋_GBK" w:eastAsia="方正仿宋_GBK" w:cs="方正仿宋_GBK"/>
          <w:sz w:val="30"/>
          <w:szCs w:val="30"/>
          <w:shd w:val="clear" w:color="auto" w:fill="FFFFFF"/>
          <w:lang w:eastAsia="zh-CN"/>
        </w:rPr>
        <w:t>公务用车</w:t>
      </w:r>
      <w:r>
        <w:rPr>
          <w:rFonts w:ascii="方正仿宋_GBK" w:hAnsi="方正仿宋_GBK" w:eastAsia="方正仿宋_GBK" w:cs="方正仿宋_GBK"/>
          <w:sz w:val="30"/>
          <w:szCs w:val="30"/>
          <w:shd w:val="clear" w:color="auto" w:fill="FFFFFF"/>
        </w:rPr>
        <w:t>保有量为</w:t>
      </w:r>
      <w:r>
        <w:rPr>
          <w:rFonts w:ascii="方正仿宋_GBK" w:hAnsi="方正仿宋_GBK" w:eastAsia="方正仿宋_GBK" w:cs="方正仿宋_GBK"/>
          <w:sz w:val="30"/>
          <w:szCs w:val="30"/>
        </w:rPr>
        <w:t>6</w:t>
      </w:r>
      <w:r>
        <w:rPr>
          <w:rFonts w:ascii="方正仿宋_GBK" w:hAnsi="方正仿宋_GBK" w:eastAsia="方正仿宋_GBK" w:cs="方正仿宋_GBK"/>
          <w:sz w:val="30"/>
          <w:szCs w:val="30"/>
          <w:shd w:val="clear" w:color="auto" w:fill="FFFFFF"/>
        </w:rPr>
        <w:t>辆；国内公务接待</w:t>
      </w:r>
      <w:r>
        <w:rPr>
          <w:rFonts w:ascii="方正仿宋_GBK" w:hAnsi="方正仿宋_GBK" w:eastAsia="方正仿宋_GBK" w:cs="方正仿宋_GBK"/>
          <w:sz w:val="30"/>
          <w:szCs w:val="30"/>
        </w:rPr>
        <w:t>186</w:t>
      </w:r>
      <w:r>
        <w:rPr>
          <w:rFonts w:ascii="方正仿宋_GBK" w:hAnsi="方正仿宋_GBK" w:eastAsia="方正仿宋_GBK" w:cs="方正仿宋_GBK"/>
          <w:sz w:val="30"/>
          <w:szCs w:val="30"/>
          <w:shd w:val="clear" w:color="auto" w:fill="FFFFFF"/>
        </w:rPr>
        <w:t>批次</w:t>
      </w:r>
      <w:r>
        <w:rPr>
          <w:rFonts w:ascii="方正仿宋_GBK" w:hAnsi="方正仿宋_GBK" w:eastAsia="方正仿宋_GBK" w:cs="方正仿宋_GBK"/>
          <w:sz w:val="30"/>
          <w:szCs w:val="30"/>
        </w:rPr>
        <w:t>1361</w:t>
      </w:r>
      <w:r>
        <w:rPr>
          <w:rFonts w:ascii="方正仿宋_GBK" w:hAnsi="方正仿宋_GBK" w:eastAsia="方正仿宋_GBK" w:cs="方正仿宋_GBK"/>
          <w:sz w:val="30"/>
          <w:szCs w:val="30"/>
          <w:shd w:val="clear" w:color="auto" w:fill="FFFFFF"/>
        </w:rPr>
        <w:t>人，其中：国内外事接待</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批次，</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人；国（境）外公务接待</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批次，</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人。2024年本单位人均接待费</w:t>
      </w:r>
      <w:r>
        <w:rPr>
          <w:rFonts w:ascii="方正仿宋_GBK" w:hAnsi="方正仿宋_GBK" w:eastAsia="方正仿宋_GBK" w:cs="方正仿宋_GBK"/>
          <w:sz w:val="30"/>
          <w:szCs w:val="30"/>
        </w:rPr>
        <w:t>90.78</w:t>
      </w:r>
      <w:r>
        <w:rPr>
          <w:rFonts w:ascii="方正仿宋_GBK" w:hAnsi="方正仿宋_GBK" w:eastAsia="方正仿宋_GBK" w:cs="方正仿宋_GBK"/>
          <w:sz w:val="30"/>
          <w:szCs w:val="30"/>
          <w:shd w:val="clear" w:color="auto" w:fill="FFFFFF"/>
        </w:rPr>
        <w:t>元，车均购置费</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万元，车均维护费</w:t>
      </w:r>
      <w:r>
        <w:rPr>
          <w:rFonts w:ascii="方正仿宋_GBK" w:hAnsi="方正仿宋_GBK" w:eastAsia="方正仿宋_GBK" w:cs="方正仿宋_GBK"/>
          <w:sz w:val="30"/>
          <w:szCs w:val="30"/>
        </w:rPr>
        <w:t>6.99</w:t>
      </w:r>
      <w:r>
        <w:rPr>
          <w:rFonts w:ascii="方正仿宋_GBK" w:hAnsi="方正仿宋_GBK" w:eastAsia="方正仿宋_GBK" w:cs="方正仿宋_GBK"/>
          <w:sz w:val="30"/>
          <w:szCs w:val="30"/>
          <w:shd w:val="clear" w:color="auto" w:fill="FFFFFF"/>
        </w:rPr>
        <w:t>万元。</w:t>
      </w:r>
    </w:p>
    <w:p>
      <w:pPr>
        <w:pStyle w:val="6"/>
        <w:shd w:val="clear" w:color="auto" w:fill="FFFFFF"/>
        <w:adjustRightInd w:val="0"/>
        <w:snapToGrid w:val="0"/>
        <w:spacing w:before="0" w:beforeAutospacing="0" w:after="0" w:afterAutospacing="0" w:line="594" w:lineRule="exact"/>
        <w:ind w:firstLine="602" w:firstLineChars="200"/>
        <w:rPr>
          <w:rStyle w:val="10"/>
          <w:rFonts w:hint="default" w:ascii="方正仿宋_GBK" w:hAnsi="黑体" w:eastAsia="方正仿宋_GBK" w:cs="黑体"/>
          <w:sz w:val="30"/>
          <w:szCs w:val="30"/>
          <w:shd w:val="clear" w:color="auto" w:fill="FFFFFF"/>
        </w:rPr>
      </w:pPr>
      <w:r>
        <w:rPr>
          <w:rStyle w:val="10"/>
          <w:rFonts w:ascii="方正仿宋_GBK" w:hAnsi="黑体" w:eastAsia="方正仿宋_GBK" w:cs="黑体"/>
          <w:sz w:val="30"/>
          <w:szCs w:val="30"/>
          <w:shd w:val="clear" w:color="auto" w:fill="FFFFFF"/>
        </w:rPr>
        <w:t>四、其他需要说明的事项</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（一）财政拨款会议费和培训费情况说明</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0"/>
          <w:szCs w:val="30"/>
          <w:shd w:val="clear" w:color="auto" w:fill="FFFFFF"/>
        </w:rPr>
        <w:t>本年度会议费支出</w:t>
      </w:r>
      <w:r>
        <w:rPr>
          <w:rFonts w:ascii="方正仿宋_GBK" w:hAnsi="方正仿宋_GBK" w:eastAsia="方正仿宋_GBK" w:cs="方正仿宋_GBK"/>
          <w:sz w:val="30"/>
          <w:szCs w:val="30"/>
        </w:rPr>
        <w:t>3.80</w:t>
      </w:r>
      <w:r>
        <w:rPr>
          <w:rFonts w:ascii="方正仿宋_GBK" w:hAnsi="方正仿宋_GBK" w:eastAsia="方正仿宋_GBK" w:cs="方正仿宋_GBK"/>
          <w:sz w:val="30"/>
          <w:szCs w:val="30"/>
          <w:shd w:val="clear" w:color="auto" w:fill="FFFFFF"/>
        </w:rPr>
        <w:t>万元，与2023年度相比，增加0.73万元，增长23.78%，主要原因是本年度召开全县经济工作分析会议、政府工作安排部署会议等增加。本年度培训费支出</w:t>
      </w:r>
      <w:r>
        <w:rPr>
          <w:rFonts w:ascii="方正仿宋_GBK" w:hAnsi="方正仿宋_GBK" w:eastAsia="方正仿宋_GBK" w:cs="方正仿宋_GBK"/>
          <w:sz w:val="30"/>
          <w:szCs w:val="30"/>
        </w:rPr>
        <w:t>2.34</w:t>
      </w:r>
      <w:r>
        <w:rPr>
          <w:rFonts w:ascii="方正仿宋_GBK" w:hAnsi="方正仿宋_GBK" w:eastAsia="方正仿宋_GBK" w:cs="方正仿宋_GBK"/>
          <w:sz w:val="30"/>
          <w:szCs w:val="30"/>
          <w:shd w:val="clear" w:color="auto" w:fill="FFFFFF"/>
        </w:rPr>
        <w:t>万元，与2023年度相比，减少0.29万元，下降11.03%，主要原因是</w:t>
      </w:r>
      <w:r>
        <w:rPr>
          <w:rFonts w:ascii="方正仿宋_GBK" w:hAnsi="方正仿宋_GBK" w:eastAsia="方正仿宋_GBK" w:cs="方正仿宋_GBK"/>
          <w:sz w:val="32"/>
          <w:szCs w:val="32"/>
          <w:shd w:val="clear" w:color="auto" w:fill="FFFFFF"/>
        </w:rPr>
        <w:t>本部门本年度组织及参加培训的人次减少，培训费用也减少。</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（二）机关运行经费情况说明</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0"/>
          <w:szCs w:val="30"/>
          <w:shd w:val="clear" w:color="auto" w:fill="FFFFFF"/>
        </w:rPr>
        <w:t>2024年度本单位机关运行经费支出</w:t>
      </w:r>
      <w:r>
        <w:rPr>
          <w:rFonts w:ascii="方正仿宋_GBK" w:hAnsi="方正仿宋_GBK" w:eastAsia="方正仿宋_GBK" w:cs="方正仿宋_GBK"/>
          <w:sz w:val="30"/>
          <w:szCs w:val="30"/>
        </w:rPr>
        <w:t>171.90</w:t>
      </w:r>
      <w:r>
        <w:rPr>
          <w:rFonts w:ascii="方正仿宋_GBK" w:hAnsi="方正仿宋_GBK" w:eastAsia="方正仿宋_GBK" w:cs="方正仿宋_GBK"/>
          <w:sz w:val="30"/>
          <w:szCs w:val="30"/>
          <w:shd w:val="clear" w:color="auto" w:fill="FFFFFF"/>
        </w:rPr>
        <w:t>万元，机关运行经费主要用于开支</w:t>
      </w:r>
      <w:r>
        <w:rPr>
          <w:rFonts w:ascii="方正仿宋_GBK" w:eastAsia="方正仿宋_GBK" w:hAnsiTheme="minorEastAsia"/>
          <w:sz w:val="32"/>
          <w:szCs w:val="32"/>
        </w:rPr>
        <w:t>办公费、印刷费、邮电费、差旅费、公务接待费、劳务费、日常维护费、公务用车运行维护费、其他交通费、其他商品和服务支出等。</w:t>
      </w:r>
      <w:r>
        <w:rPr>
          <w:rFonts w:ascii="方正仿宋_GBK" w:hAnsi="方正仿宋_GBK" w:eastAsia="方正仿宋_GBK" w:cs="方正仿宋_GBK"/>
          <w:sz w:val="30"/>
          <w:szCs w:val="30"/>
          <w:shd w:val="clear" w:color="auto" w:fill="FFFFFF"/>
        </w:rPr>
        <w:t>机关运行经费较上年支出数减少11.61万元，下降6.33%，主要原因是</w:t>
      </w:r>
      <w:r>
        <w:rPr>
          <w:rFonts w:ascii="方正仿宋_GBK" w:hAnsi="方正仿宋_GBK" w:eastAsia="方正仿宋_GBK" w:cs="方正仿宋_GBK"/>
          <w:sz w:val="32"/>
          <w:szCs w:val="32"/>
          <w:shd w:val="clear" w:color="auto" w:fill="FFFFFF"/>
        </w:rPr>
        <w:t>本单位严格落实政府过“紧日子”的要求，压减预算，控制经费支出。</w:t>
      </w:r>
    </w:p>
    <w:p>
      <w:pPr>
        <w:pStyle w:val="6"/>
        <w:adjustRightInd w:val="0"/>
        <w:snapToGrid w:val="0"/>
        <w:spacing w:before="0" w:beforeAutospacing="0" w:after="0" w:afterAutospacing="0" w:line="594" w:lineRule="exact"/>
        <w:ind w:firstLine="602" w:firstLineChars="200"/>
        <w:jc w:val="both"/>
        <w:rPr>
          <w:rFonts w:hint="default" w:ascii="方正仿宋_GBK" w:hAnsi="楷体" w:eastAsia="方正仿宋_GBK" w:cs="楷体"/>
          <w:b/>
          <w:bCs/>
          <w:sz w:val="30"/>
          <w:szCs w:val="30"/>
          <w:shd w:val="clear" w:color="auto" w:fill="FFFFFF"/>
        </w:rPr>
      </w:pPr>
      <w:r>
        <w:rPr>
          <w:rFonts w:ascii="方正仿宋_GBK" w:hAnsi="楷体" w:eastAsia="方正仿宋_GBK" w:cs="楷体"/>
          <w:b/>
          <w:bCs/>
          <w:sz w:val="30"/>
          <w:szCs w:val="30"/>
          <w:shd w:val="clear" w:color="auto" w:fill="FFFFFF"/>
        </w:rPr>
        <w:t>（三）国有资产占用情况说明</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sz w:val="30"/>
          <w:szCs w:val="30"/>
        </w:rPr>
      </w:pPr>
      <w:r>
        <w:rPr>
          <w:rFonts w:ascii="方正仿宋_GBK" w:hAnsi="方正仿宋_GBK" w:eastAsia="方正仿宋_GBK" w:cs="方正仿宋_GBK"/>
          <w:sz w:val="30"/>
          <w:szCs w:val="30"/>
          <w:shd w:val="clear" w:color="auto" w:fill="FFFFFF"/>
        </w:rPr>
        <w:t>截至2024年12月31日，本单位共有车辆</w:t>
      </w:r>
      <w:r>
        <w:rPr>
          <w:rFonts w:ascii="方正仿宋_GBK" w:hAnsi="方正仿宋_GBK" w:eastAsia="方正仿宋_GBK" w:cs="方正仿宋_GBK"/>
          <w:sz w:val="30"/>
          <w:szCs w:val="30"/>
        </w:rPr>
        <w:t>6</w:t>
      </w:r>
      <w:r>
        <w:rPr>
          <w:rFonts w:ascii="方正仿宋_GBK" w:hAnsi="方正仿宋_GBK" w:eastAsia="方正仿宋_GBK" w:cs="方正仿宋_GBK"/>
          <w:sz w:val="30"/>
          <w:szCs w:val="30"/>
          <w:shd w:val="clear" w:color="auto" w:fill="FFFFFF"/>
        </w:rPr>
        <w:t>辆，其中，副部（省）级及以上领导用车</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辆、主要负责人用车</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辆、机要通信用车</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辆、应急保障用车</w:t>
      </w:r>
      <w:r>
        <w:rPr>
          <w:rFonts w:ascii="方正仿宋_GBK" w:hAnsi="方正仿宋_GBK" w:eastAsia="方正仿宋_GBK" w:cs="方正仿宋_GBK"/>
          <w:sz w:val="30"/>
          <w:szCs w:val="30"/>
        </w:rPr>
        <w:t>6</w:t>
      </w:r>
      <w:r>
        <w:rPr>
          <w:rFonts w:ascii="方正仿宋_GBK" w:hAnsi="方正仿宋_GBK" w:eastAsia="方正仿宋_GBK" w:cs="方正仿宋_GBK"/>
          <w:sz w:val="30"/>
          <w:szCs w:val="30"/>
          <w:shd w:val="clear" w:color="auto" w:fill="FFFFFF"/>
        </w:rPr>
        <w:t>辆、执法执勤用车</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辆，特种专业技术用车</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辆，离退休干部用车</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辆。单价100万元（含）以上专用设备</w:t>
      </w:r>
      <w:r>
        <w:rPr>
          <w:rFonts w:ascii="方正仿宋_GBK" w:hAnsi="方正仿宋_GBK" w:eastAsia="方正仿宋_GBK" w:cs="方正仿宋_GBK"/>
          <w:sz w:val="30"/>
          <w:szCs w:val="30"/>
        </w:rPr>
        <w:t>0</w:t>
      </w:r>
      <w:r>
        <w:rPr>
          <w:rFonts w:ascii="方正仿宋_GBK" w:hAnsi="方正仿宋_GBK" w:eastAsia="方正仿宋_GBK" w:cs="方正仿宋_GBK"/>
          <w:sz w:val="30"/>
          <w:szCs w:val="30"/>
          <w:shd w:val="clear" w:color="auto" w:fill="FFFFFF"/>
        </w:rPr>
        <w:t>台（套）。</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（四）政府采购支出情况说明</w:t>
      </w:r>
    </w:p>
    <w:p>
      <w:pPr>
        <w:pStyle w:val="6"/>
        <w:adjustRightInd w:val="0"/>
        <w:snapToGrid w:val="0"/>
        <w:spacing w:before="0" w:beforeAutospacing="0" w:after="0" w:afterAutospacing="0" w:line="594" w:lineRule="exact"/>
        <w:ind w:firstLine="600" w:firstLineChars="200"/>
        <w:jc w:val="both"/>
        <w:rPr>
          <w:rFonts w:hint="default" w:ascii="方正仿宋_GBK" w:hAnsi="方正仿宋_GBK" w:eastAsia="方正仿宋_GBK" w:cs="方正仿宋_GBK"/>
          <w:color w:val="FF0000"/>
          <w:sz w:val="30"/>
          <w:szCs w:val="30"/>
          <w:shd w:val="clear" w:color="auto" w:fill="FFFFFF"/>
        </w:rPr>
      </w:pPr>
      <w:r>
        <w:rPr>
          <w:rFonts w:ascii="方正仿宋_GBK" w:hAnsi="方正仿宋_GBK" w:eastAsia="方正仿宋_GBK" w:cs="方正仿宋_GBK"/>
          <w:sz w:val="30"/>
          <w:szCs w:val="30"/>
          <w:shd w:val="clear" w:color="auto" w:fill="FFFFFF"/>
        </w:rPr>
        <w:t>2024年度本单位政府采购支出总额</w:t>
      </w:r>
      <w:r>
        <w:rPr>
          <w:rFonts w:ascii="方正仿宋_GBK" w:hAnsi="方正仿宋_GBK" w:eastAsia="方正仿宋_GBK" w:cs="方正仿宋_GBK"/>
          <w:sz w:val="30"/>
          <w:szCs w:val="30"/>
        </w:rPr>
        <w:t>37.23</w:t>
      </w:r>
      <w:r>
        <w:rPr>
          <w:rFonts w:ascii="方正仿宋_GBK" w:hAnsi="方正仿宋_GBK" w:eastAsia="方正仿宋_GBK" w:cs="方正仿宋_GBK"/>
          <w:sz w:val="30"/>
          <w:szCs w:val="30"/>
          <w:shd w:val="clear" w:color="auto" w:fill="FFFFFF"/>
        </w:rPr>
        <w:t>万元，其中：政府采购货物支出</w:t>
      </w:r>
      <w:r>
        <w:rPr>
          <w:rFonts w:ascii="方正仿宋_GBK" w:hAnsi="方正仿宋_GBK" w:eastAsia="方正仿宋_GBK" w:cs="方正仿宋_GBK"/>
          <w:sz w:val="30"/>
          <w:szCs w:val="30"/>
        </w:rPr>
        <w:t>37.23</w:t>
      </w:r>
      <w:r>
        <w:rPr>
          <w:rFonts w:ascii="方正仿宋_GBK" w:hAnsi="方正仿宋_GBK" w:eastAsia="方正仿宋_GBK" w:cs="方正仿宋_GBK"/>
          <w:sz w:val="30"/>
          <w:szCs w:val="30"/>
          <w:shd w:val="clear" w:color="auto" w:fill="FFFFFF"/>
        </w:rPr>
        <w:t>万元、政府采购工程支出</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万元、政府采购服务支出</w:t>
      </w:r>
      <w:r>
        <w:rPr>
          <w:rFonts w:ascii="方正仿宋_GBK" w:hAnsi="方正仿宋_GBK" w:eastAsia="方正仿宋_GBK" w:cs="方正仿宋_GBK"/>
          <w:sz w:val="30"/>
          <w:szCs w:val="30"/>
        </w:rPr>
        <w:t>0.00</w:t>
      </w:r>
      <w:r>
        <w:rPr>
          <w:rFonts w:ascii="方正仿宋_GBK" w:hAnsi="方正仿宋_GBK" w:eastAsia="方正仿宋_GBK" w:cs="方正仿宋_GBK"/>
          <w:sz w:val="30"/>
          <w:szCs w:val="30"/>
          <w:shd w:val="clear" w:color="auto" w:fill="FFFFFF"/>
        </w:rPr>
        <w:t>万元。授予中小企业合同金额</w:t>
      </w:r>
      <w:r>
        <w:rPr>
          <w:rFonts w:ascii="方正仿宋_GBK" w:hAnsi="方正仿宋_GBK" w:eastAsia="方正仿宋_GBK" w:cs="方正仿宋_GBK"/>
          <w:sz w:val="30"/>
          <w:szCs w:val="30"/>
        </w:rPr>
        <w:t>37.23万</w:t>
      </w:r>
      <w:r>
        <w:rPr>
          <w:rFonts w:ascii="方正仿宋_GBK" w:hAnsi="方正仿宋_GBK" w:eastAsia="方正仿宋_GBK" w:cs="方正仿宋_GBK"/>
          <w:sz w:val="30"/>
          <w:szCs w:val="30"/>
          <w:shd w:val="clear" w:color="auto" w:fill="FFFFFF"/>
        </w:rPr>
        <w:t>元，占政府采购支出总额的</w:t>
      </w:r>
      <w:r>
        <w:rPr>
          <w:rFonts w:ascii="方正仿宋_GBK" w:hAnsi="方正仿宋_GBK" w:eastAsia="方正仿宋_GBK" w:cs="方正仿宋_GBK"/>
          <w:sz w:val="30"/>
          <w:szCs w:val="30"/>
        </w:rPr>
        <w:t>100.00</w:t>
      </w:r>
      <w:r>
        <w:rPr>
          <w:rFonts w:ascii="方正仿宋_GBK" w:hAnsi="方正仿宋_GBK" w:eastAsia="方正仿宋_GBK" w:cs="方正仿宋_GBK"/>
          <w:sz w:val="30"/>
          <w:szCs w:val="30"/>
          <w:shd w:val="clear" w:color="auto" w:fill="FFFFFF"/>
        </w:rPr>
        <w:t>%，其中：授予小微企业合同金额</w:t>
      </w:r>
      <w:r>
        <w:rPr>
          <w:rFonts w:ascii="方正仿宋_GBK" w:hAnsi="方正仿宋_GBK" w:eastAsia="方正仿宋_GBK" w:cs="方正仿宋_GBK"/>
          <w:sz w:val="30"/>
          <w:szCs w:val="30"/>
        </w:rPr>
        <w:t>37.23</w:t>
      </w:r>
      <w:r>
        <w:rPr>
          <w:rFonts w:ascii="方正仿宋_GBK" w:hAnsi="方正仿宋_GBK" w:eastAsia="方正仿宋_GBK" w:cs="方正仿宋_GBK"/>
          <w:sz w:val="30"/>
          <w:szCs w:val="30"/>
          <w:shd w:val="clear" w:color="auto" w:fill="FFFFFF"/>
        </w:rPr>
        <w:t>万元，占政府采购支出总额的</w:t>
      </w:r>
      <w:r>
        <w:rPr>
          <w:rFonts w:ascii="方正仿宋_GBK" w:hAnsi="方正仿宋_GBK" w:eastAsia="方正仿宋_GBK" w:cs="方正仿宋_GBK"/>
          <w:sz w:val="30"/>
          <w:szCs w:val="30"/>
        </w:rPr>
        <w:t>100.00</w:t>
      </w:r>
      <w:r>
        <w:rPr>
          <w:rFonts w:ascii="方正仿宋_GBK" w:hAnsi="方正仿宋_GBK" w:eastAsia="方正仿宋_GBK" w:cs="方正仿宋_GBK"/>
          <w:sz w:val="30"/>
          <w:szCs w:val="30"/>
          <w:shd w:val="clear" w:color="auto" w:fill="FFFFFF"/>
        </w:rPr>
        <w:t xml:space="preserve"> %。主要用于采购开发</w:t>
      </w:r>
      <w:r>
        <w:rPr>
          <w:rFonts w:hint="default" w:ascii="方正仿宋_GBK" w:hAnsi="方正仿宋_GBK" w:eastAsia="方正仿宋_GBK" w:cs="方正仿宋_GBK"/>
          <w:sz w:val="30"/>
          <w:szCs w:val="30"/>
          <w:shd w:val="clear" w:color="auto" w:fill="FFFFFF"/>
        </w:rPr>
        <w:t>OA系统与档案系统协同办公</w:t>
      </w:r>
      <w:r>
        <w:rPr>
          <w:rFonts w:ascii="方正仿宋_GBK" w:eastAsia="方正仿宋_GBK" w:hAnsiTheme="minorEastAsia"/>
          <w:sz w:val="32"/>
          <w:szCs w:val="32"/>
        </w:rPr>
        <w:t>。</w:t>
      </w:r>
    </w:p>
    <w:p>
      <w:pPr>
        <w:pStyle w:val="6"/>
        <w:shd w:val="clear" w:color="auto" w:fill="FFFFFF"/>
        <w:adjustRightInd w:val="0"/>
        <w:snapToGrid w:val="0"/>
        <w:spacing w:before="0" w:beforeAutospacing="0" w:after="0" w:afterAutospacing="0" w:line="594" w:lineRule="exact"/>
        <w:ind w:firstLine="643" w:firstLineChars="200"/>
        <w:rPr>
          <w:rStyle w:val="10"/>
          <w:rFonts w:hint="default" w:ascii="方正仿宋_GBK" w:hAnsi="黑体" w:eastAsia="方正仿宋_GBK" w:cs="黑体"/>
          <w:sz w:val="30"/>
          <w:szCs w:val="30"/>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（一）单位自评情况</w:t>
      </w: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r>
        <w:rPr>
          <w:rFonts w:hint="eastAsia" w:ascii="方正仿宋_GBK" w:hAnsi="方正仿宋_GBK" w:eastAsia="方正仿宋_GBK" w:cs="方正仿宋_GBK"/>
          <w:sz w:val="30"/>
          <w:szCs w:val="30"/>
          <w:shd w:val="clear" w:color="auto" w:fill="FFFFFF"/>
        </w:rPr>
        <w:t>根据预算绩效管理要求，我单位对5个二级项目开展了绩效自评，涉及财政拨款项目支出资金490.05万元。</w:t>
      </w: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r>
        <w:rPr>
          <w:rFonts w:hint="eastAsia" w:ascii="方正仿宋_GBK" w:hAnsi="方正仿宋_GBK" w:eastAsia="方正仿宋_GBK" w:cs="方正仿宋_GBK"/>
          <w:sz w:val="30"/>
          <w:szCs w:val="30"/>
          <w:shd w:val="clear" w:color="auto" w:fill="FFFFFF"/>
        </w:rPr>
        <w:drawing>
          <wp:anchor distT="0" distB="0" distL="114300" distR="114300" simplePos="0" relativeHeight="251659264" behindDoc="0" locked="0" layoutInCell="1" allowOverlap="1">
            <wp:simplePos x="0" y="0"/>
            <wp:positionH relativeFrom="column">
              <wp:posOffset>-24130</wp:posOffset>
            </wp:positionH>
            <wp:positionV relativeFrom="paragraph">
              <wp:posOffset>71120</wp:posOffset>
            </wp:positionV>
            <wp:extent cx="5281295" cy="5150485"/>
            <wp:effectExtent l="19050" t="0" r="0" b="0"/>
            <wp:wrapTopAndBottom/>
            <wp:docPr id="1" name="图片 0" descr="老体协专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老体协专项.png"/>
                    <pic:cNvPicPr>
                      <a:picLocks noChangeAspect="1"/>
                    </pic:cNvPicPr>
                  </pic:nvPicPr>
                  <pic:blipFill>
                    <a:blip r:embed="rId7"/>
                    <a:stretch>
                      <a:fillRect/>
                    </a:stretch>
                  </pic:blipFill>
                  <pic:spPr>
                    <a:xfrm>
                      <a:off x="0" y="0"/>
                      <a:ext cx="5281295" cy="5150485"/>
                    </a:xfrm>
                    <a:prstGeom prst="rect">
                      <a:avLst/>
                    </a:prstGeom>
                  </pic:spPr>
                </pic:pic>
              </a:graphicData>
            </a:graphic>
          </wp:anchor>
        </w:drawing>
      </w: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p>
    <w:p>
      <w:pPr>
        <w:pStyle w:val="12"/>
        <w:autoSpaceDE w:val="0"/>
        <w:adjustRightInd w:val="0"/>
        <w:snapToGrid w:val="0"/>
        <w:spacing w:before="0" w:beforeAutospacing="0" w:after="0" w:afterAutospacing="0" w:line="594" w:lineRule="exact"/>
        <w:ind w:firstLine="600" w:firstLineChars="200"/>
        <w:rPr>
          <w:rFonts w:ascii="方正仿宋_GBK" w:hAnsi="方正仿宋_GBK" w:eastAsia="方正仿宋_GBK" w:cs="方正仿宋_GBK"/>
          <w:sz w:val="30"/>
          <w:szCs w:val="30"/>
          <w:shd w:val="clear" w:color="auto" w:fill="FFFFFF"/>
        </w:rPr>
      </w:pPr>
      <w:r>
        <w:rPr>
          <w:rFonts w:hint="eastAsia" w:ascii="方正仿宋_GBK" w:hAnsi="方正仿宋_GBK" w:eastAsia="方正仿宋_GBK" w:cs="方正仿宋_GBK"/>
          <w:sz w:val="30"/>
          <w:szCs w:val="30"/>
        </w:rPr>
        <w:drawing>
          <wp:anchor distT="0" distB="0" distL="114300" distR="114300" simplePos="0" relativeHeight="251660288" behindDoc="0" locked="0" layoutInCell="1" allowOverlap="1">
            <wp:simplePos x="0" y="0"/>
            <wp:positionH relativeFrom="column">
              <wp:posOffset>-24130</wp:posOffset>
            </wp:positionH>
            <wp:positionV relativeFrom="paragraph">
              <wp:posOffset>71120</wp:posOffset>
            </wp:positionV>
            <wp:extent cx="5281295" cy="4693285"/>
            <wp:effectExtent l="19050" t="0" r="0" b="0"/>
            <wp:wrapTopAndBottom/>
            <wp:docPr id="3" name="图片 2" descr="开发OA专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开发OA专项.png"/>
                    <pic:cNvPicPr>
                      <a:picLocks noChangeAspect="1"/>
                    </pic:cNvPicPr>
                  </pic:nvPicPr>
                  <pic:blipFill>
                    <a:blip r:embed="rId8"/>
                    <a:stretch>
                      <a:fillRect/>
                    </a:stretch>
                  </pic:blipFill>
                  <pic:spPr>
                    <a:xfrm>
                      <a:off x="0" y="0"/>
                      <a:ext cx="5281295" cy="4693285"/>
                    </a:xfrm>
                    <a:prstGeom prst="rect">
                      <a:avLst/>
                    </a:prstGeom>
                  </pic:spPr>
                </pic:pic>
              </a:graphicData>
            </a:graphic>
          </wp:anchor>
        </w:drawing>
      </w:r>
      <w:r>
        <w:rPr>
          <w:rFonts w:hint="eastAsia" w:ascii="方正仿宋_GBK" w:hAnsi="楷体" w:eastAsia="方正仿宋_GBK" w:cs="楷体"/>
          <w:b/>
          <w:bCs/>
          <w:sz w:val="30"/>
          <w:szCs w:val="30"/>
          <w:shd w:val="clear" w:color="auto" w:fill="FFFFFF"/>
        </w:rPr>
        <w:t>（二）单位绩效评价情况</w:t>
      </w:r>
    </w:p>
    <w:p>
      <w:pPr>
        <w:pStyle w:val="14"/>
        <w:autoSpaceDE w:val="0"/>
        <w:adjustRightInd w:val="0"/>
        <w:snapToGrid w:val="0"/>
        <w:spacing w:line="594"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本年度本单位未组织开展绩效评价。</w:t>
      </w:r>
    </w:p>
    <w:p>
      <w:pPr>
        <w:pStyle w:val="11"/>
        <w:autoSpaceDE w:val="0"/>
        <w:adjustRightInd w:val="0"/>
        <w:snapToGrid w:val="0"/>
        <w:spacing w:line="594" w:lineRule="exact"/>
        <w:ind w:firstLine="602"/>
        <w:rPr>
          <w:rFonts w:ascii="方正仿宋_GBK" w:hAnsi="楷体" w:eastAsia="方正仿宋_GBK" w:cs="楷体"/>
          <w:b/>
          <w:bCs/>
          <w:sz w:val="30"/>
          <w:szCs w:val="30"/>
          <w:shd w:val="clear" w:color="auto" w:fill="FFFFFF"/>
        </w:rPr>
      </w:pPr>
      <w:r>
        <w:rPr>
          <w:rFonts w:hint="eastAsia" w:ascii="方正仿宋_GBK" w:hAnsi="楷体" w:eastAsia="方正仿宋_GBK" w:cs="楷体"/>
          <w:b/>
          <w:bCs/>
          <w:sz w:val="30"/>
          <w:szCs w:val="30"/>
          <w:shd w:val="clear" w:color="auto" w:fill="FFFFFF"/>
        </w:rPr>
        <w:t>（三）财政绩效评价情况</w:t>
      </w:r>
    </w:p>
    <w:p>
      <w:pPr>
        <w:pStyle w:val="14"/>
        <w:autoSpaceDE w:val="0"/>
        <w:adjustRightInd w:val="0"/>
        <w:snapToGrid w:val="0"/>
        <w:spacing w:line="594"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本年度县财政局未委托第三方对我单位开展绩效评价。</w:t>
      </w:r>
    </w:p>
    <w:p>
      <w:pPr>
        <w:pStyle w:val="6"/>
        <w:shd w:val="clear" w:color="auto" w:fill="FFFFFF"/>
        <w:adjustRightInd w:val="0"/>
        <w:snapToGrid w:val="0"/>
        <w:spacing w:before="0" w:beforeAutospacing="0" w:after="0" w:afterAutospacing="0" w:line="594" w:lineRule="exact"/>
        <w:ind w:firstLine="602" w:firstLineChars="200"/>
        <w:rPr>
          <w:rStyle w:val="10"/>
          <w:rFonts w:hint="default" w:ascii="方正仿宋_GBK" w:hAnsi="黑体" w:eastAsia="方正仿宋_GBK" w:cs="黑体"/>
          <w:sz w:val="30"/>
          <w:szCs w:val="30"/>
          <w:shd w:val="clear" w:color="auto" w:fill="FFFFFF"/>
        </w:rPr>
      </w:pPr>
      <w:r>
        <w:rPr>
          <w:rStyle w:val="10"/>
          <w:rFonts w:ascii="方正仿宋_GBK" w:hAnsi="黑体" w:eastAsia="方正仿宋_GBK" w:cs="黑体"/>
          <w:sz w:val="30"/>
          <w:szCs w:val="30"/>
          <w:shd w:val="clear" w:color="auto" w:fill="FFFFFF"/>
        </w:rPr>
        <w:t>  六、专业名词解释</w:t>
      </w:r>
    </w:p>
    <w:p>
      <w:pPr>
        <w:pStyle w:val="6"/>
        <w:adjustRightInd w:val="0"/>
        <w:snapToGrid w:val="0"/>
        <w:spacing w:before="0" w:beforeAutospacing="0" w:after="0" w:afterAutospacing="0" w:line="594" w:lineRule="exact"/>
        <w:ind w:firstLine="602" w:firstLineChars="200"/>
        <w:jc w:val="both"/>
        <w:rPr>
          <w:rFonts w:hint="default" w:ascii="方正仿宋_GBK" w:hAnsi="方正仿宋_GBK" w:eastAsia="方正仿宋_GBK" w:cs="方正仿宋_GBK"/>
          <w:sz w:val="32"/>
          <w:szCs w:val="32"/>
        </w:rPr>
      </w:pPr>
      <w:r>
        <w:rPr>
          <w:rFonts w:cs="宋体"/>
          <w:b/>
          <w:bCs/>
          <w:sz w:val="30"/>
          <w:szCs w:val="30"/>
          <w:shd w:val="clear" w:color="auto" w:fill="FFFFFF"/>
        </w:rPr>
        <w:t> </w:t>
      </w:r>
      <w:r>
        <w:rPr>
          <w:rFonts w:ascii="方正仿宋_GBK" w:hAnsi="楷体" w:eastAsia="方正仿宋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（二）事业收入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（三）经营收入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（四）其他收入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（五）使用非财政拨款结余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（六）年初结转和结余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（七）结余分配</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（八）年末结转和结余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（九）基本支出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（十）项目支出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（十一）经营支出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（十二）“三公”经费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（十三）机关运行经费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（十四）工资福利支出（支出经济分类科目类级）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（十五）商品和服务支出（支出经济分类科目类级）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（十六）对个人和家庭的补助（支出经济分类科目类级）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（十七）其他资本性支出（支出经济分类科目类级）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adjustRightInd w:val="0"/>
        <w:snapToGrid w:val="0"/>
        <w:spacing w:before="0" w:beforeAutospacing="0" w:after="0" w:afterAutospacing="0" w:line="594" w:lineRule="exact"/>
        <w:ind w:firstLine="643" w:firstLineChars="200"/>
        <w:jc w:val="both"/>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方正仿宋_GBK" w:hAnsi="黑体" w:eastAsia="方正仿宋_GBK" w:cs="黑体"/>
          <w:sz w:val="32"/>
          <w:szCs w:val="32"/>
          <w:shd w:val="clear" w:color="auto" w:fill="FFFFFF"/>
        </w:rPr>
        <w:t>七、决算公开联系方式及信息反馈渠道</w:t>
      </w:r>
    </w:p>
    <w:p>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eastAsia="方正仿宋_GBK" w:hAnsiTheme="minorEastAsia"/>
          <w:sz w:val="32"/>
          <w:szCs w:val="32"/>
        </w:rPr>
      </w:pPr>
      <w:r>
        <w:rPr>
          <w:rFonts w:ascii="方正仿宋_GBK" w:eastAsia="方正仿宋_GBK" w:hAnsiTheme="minorEastAsia"/>
          <w:sz w:val="32"/>
          <w:szCs w:val="32"/>
        </w:rPr>
        <w:t>联系人：皮老师      联系电话：023-74522003</w:t>
      </w:r>
    </w:p>
    <w:p>
      <w:pPr>
        <w:pStyle w:val="6"/>
        <w:adjustRightInd w:val="0"/>
        <w:snapToGrid w:val="0"/>
        <w:spacing w:before="0" w:beforeAutospacing="0" w:after="0" w:afterAutospacing="0" w:line="594" w:lineRule="exact"/>
        <w:ind w:firstLine="602" w:firstLineChars="200"/>
        <w:jc w:val="both"/>
        <w:rPr>
          <w:rStyle w:val="10"/>
          <w:rFonts w:hint="default" w:ascii="方正仿宋_GBK" w:hAnsi="方正仿宋_GBK" w:eastAsia="方正仿宋_GBK" w:cs="方正仿宋_GBK"/>
          <w:sz w:val="30"/>
          <w:szCs w:val="30"/>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垫江县人民政府办公室（本级）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1,680.70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1,372.85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235.43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52.49</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1,680.70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1,738.08</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1,738.08</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1,738.08</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垫江县人民政府办公室（本级）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1,680.70</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1,680.70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1,315.47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1,315.47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1,315.47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1,315.47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882.89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882.89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垫江县人民政府办公室（本级）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1,738.08</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1,248.02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490.05</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882.89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882.89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882.89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882.89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垫江县人民政府办公室（本级）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1,738.08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1,738.08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1,738.08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1,738.08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1,738.08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1"/>
        <w:gridCol w:w="4087"/>
        <w:gridCol w:w="3319"/>
        <w:gridCol w:w="3309"/>
        <w:gridCol w:w="335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垫江县人民政府办公室（本级）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1,738.08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1,248.02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490.05</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489.96</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52.49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52.49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垫江县人民政府办公室（本级）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1,076.13</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171.90</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垫江县人民政府办公室（本级）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垫江县人民政府办公室（本级）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垫江县人民政府办公室（本级）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171.90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54.29</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54.29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171.90</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41.93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37.23</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37.23</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37.23</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37.23</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68.21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cs="宋体" w:asciiTheme="minorEastAsia" w:hAnsiTheme="minorEastAsia" w:eastAsiaTheme="minorEastAsia"/>
          <w:sz w:val="16"/>
          <w:szCs w:val="16"/>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31 -</w:t>
                </w:r>
                <w:r>
                  <w:rPr>
                    <w:rFonts w:hint="default"/>
                  </w:rPr>
                  <w:fldChar w:fldCharType="end"/>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MWM2YmFhNjI2ZjBiMzdmZDQ5YWQxZGNmMDQ4ZWEifQ=="/>
  </w:docVars>
  <w:rsids>
    <w:rsidRoot w:val="00B03CCD"/>
    <w:rsid w:val="000239C6"/>
    <w:rsid w:val="00072B22"/>
    <w:rsid w:val="00094912"/>
    <w:rsid w:val="000B4D85"/>
    <w:rsid w:val="000B6CC1"/>
    <w:rsid w:val="0012531C"/>
    <w:rsid w:val="00193F02"/>
    <w:rsid w:val="001D0551"/>
    <w:rsid w:val="001D3BB7"/>
    <w:rsid w:val="001D6BA6"/>
    <w:rsid w:val="00222F35"/>
    <w:rsid w:val="00255EE4"/>
    <w:rsid w:val="002704CC"/>
    <w:rsid w:val="00270837"/>
    <w:rsid w:val="002B254B"/>
    <w:rsid w:val="002E11C2"/>
    <w:rsid w:val="002E30DB"/>
    <w:rsid w:val="00331EFC"/>
    <w:rsid w:val="00334057"/>
    <w:rsid w:val="00343C71"/>
    <w:rsid w:val="00345222"/>
    <w:rsid w:val="00346AEA"/>
    <w:rsid w:val="003A71A6"/>
    <w:rsid w:val="003B0F58"/>
    <w:rsid w:val="003E6D18"/>
    <w:rsid w:val="0043437E"/>
    <w:rsid w:val="00440706"/>
    <w:rsid w:val="00446750"/>
    <w:rsid w:val="00466C9B"/>
    <w:rsid w:val="00466EAF"/>
    <w:rsid w:val="004E7699"/>
    <w:rsid w:val="00550ABE"/>
    <w:rsid w:val="00555EBF"/>
    <w:rsid w:val="00576B13"/>
    <w:rsid w:val="0060667E"/>
    <w:rsid w:val="00631308"/>
    <w:rsid w:val="006403E1"/>
    <w:rsid w:val="006464BC"/>
    <w:rsid w:val="00693DDE"/>
    <w:rsid w:val="006A12F6"/>
    <w:rsid w:val="006D598D"/>
    <w:rsid w:val="007219B6"/>
    <w:rsid w:val="00770383"/>
    <w:rsid w:val="00777F46"/>
    <w:rsid w:val="007819D4"/>
    <w:rsid w:val="007A5CF6"/>
    <w:rsid w:val="007B419D"/>
    <w:rsid w:val="007B7C4B"/>
    <w:rsid w:val="007D3D39"/>
    <w:rsid w:val="007F782C"/>
    <w:rsid w:val="00803701"/>
    <w:rsid w:val="008E7E7B"/>
    <w:rsid w:val="00921864"/>
    <w:rsid w:val="00994AF7"/>
    <w:rsid w:val="009B67B8"/>
    <w:rsid w:val="009B7E28"/>
    <w:rsid w:val="009D2B67"/>
    <w:rsid w:val="00A31B44"/>
    <w:rsid w:val="00A4389E"/>
    <w:rsid w:val="00A566F9"/>
    <w:rsid w:val="00AD7C81"/>
    <w:rsid w:val="00AF03B8"/>
    <w:rsid w:val="00AF231F"/>
    <w:rsid w:val="00AF2751"/>
    <w:rsid w:val="00B03CCD"/>
    <w:rsid w:val="00B1061D"/>
    <w:rsid w:val="00B3334B"/>
    <w:rsid w:val="00BC4FFA"/>
    <w:rsid w:val="00BE2B89"/>
    <w:rsid w:val="00C10E9E"/>
    <w:rsid w:val="00C20C3E"/>
    <w:rsid w:val="00C36103"/>
    <w:rsid w:val="00C52B26"/>
    <w:rsid w:val="00C914ED"/>
    <w:rsid w:val="00CA0695"/>
    <w:rsid w:val="00CF2ACF"/>
    <w:rsid w:val="00D634FD"/>
    <w:rsid w:val="00D72004"/>
    <w:rsid w:val="00D9694B"/>
    <w:rsid w:val="00DA3815"/>
    <w:rsid w:val="00DC5473"/>
    <w:rsid w:val="00DE466D"/>
    <w:rsid w:val="00E41FC9"/>
    <w:rsid w:val="00E64893"/>
    <w:rsid w:val="00E96AB1"/>
    <w:rsid w:val="00ED4D76"/>
    <w:rsid w:val="00F02C23"/>
    <w:rsid w:val="00F2569A"/>
    <w:rsid w:val="00F273D6"/>
    <w:rsid w:val="00F418B5"/>
    <w:rsid w:val="00F50D37"/>
    <w:rsid w:val="00F73F90"/>
    <w:rsid w:val="00F77E0C"/>
    <w:rsid w:val="00F9034E"/>
    <w:rsid w:val="00F93548"/>
    <w:rsid w:val="00FA7AD6"/>
    <w:rsid w:val="00FB4B3B"/>
    <w:rsid w:val="00FF02B4"/>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315B"/>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8FF6862"/>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2FDE1B"/>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2612</Words>
  <Characters>14891</Characters>
  <Lines>124</Lines>
  <Paragraphs>34</Paragraphs>
  <TotalTime>22</TotalTime>
  <ScaleCrop>false</ScaleCrop>
  <LinksUpToDate>false</LinksUpToDate>
  <CharactersWithSpaces>17469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WPS_1664260647</cp:lastModifiedBy>
  <dcterms:modified xsi:type="dcterms:W3CDTF">2025-09-24T03:43:59Z</dcterms:modified>
  <dc:title>垫江县人民政府办公室（本级）</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